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60584" w14:textId="776A9407" w:rsidR="00015C3A" w:rsidRDefault="00015C3A" w:rsidP="00015C3A">
      <w:pPr>
        <w:pStyle w:val="Title"/>
      </w:pPr>
      <w:r>
        <w:t xml:space="preserve">Landscape Equipment Electrification Program </w:t>
      </w:r>
      <w:r w:rsidR="0081384E">
        <w:t>(LEEP)</w:t>
      </w:r>
    </w:p>
    <w:p w14:paraId="17A31EF0" w14:textId="3C4D0BF2" w:rsidR="00015C3A" w:rsidRDefault="00015C3A" w:rsidP="00015C3A">
      <w:pPr>
        <w:pStyle w:val="Title"/>
      </w:pPr>
      <w:r>
        <w:t>Workplan and Narrative</w:t>
      </w:r>
    </w:p>
    <w:p w14:paraId="2C6F8E85" w14:textId="2FF14858" w:rsidR="00015C3A" w:rsidRPr="00015C3A" w:rsidRDefault="00015C3A" w:rsidP="00015C3A"/>
    <w:p w14:paraId="3C9F9511" w14:textId="324006D8" w:rsidR="004C35F4" w:rsidRPr="00F536C7" w:rsidRDefault="004C35F4" w:rsidP="004C35F4">
      <w:pPr>
        <w:pStyle w:val="Title"/>
        <w:rPr>
          <w:b w:val="0"/>
          <w:bCs w:val="0"/>
          <w:sz w:val="24"/>
          <w:szCs w:val="24"/>
        </w:rPr>
      </w:pPr>
      <w:r w:rsidRPr="00F536C7">
        <w:rPr>
          <w:b w:val="0"/>
          <w:bCs w:val="0"/>
          <w:sz w:val="24"/>
          <w:szCs w:val="24"/>
        </w:rPr>
        <w:t>Climate Pollution Reduction Grants – Implementation Grant</w:t>
      </w:r>
      <w:r w:rsidR="00015C3A" w:rsidRPr="00F536C7">
        <w:rPr>
          <w:b w:val="0"/>
          <w:bCs w:val="0"/>
          <w:sz w:val="24"/>
          <w:szCs w:val="24"/>
        </w:rPr>
        <w:t xml:space="preserve"> </w:t>
      </w:r>
      <w:r w:rsidR="00F536C7">
        <w:rPr>
          <w:b w:val="0"/>
          <w:bCs w:val="0"/>
          <w:sz w:val="24"/>
          <w:szCs w:val="24"/>
        </w:rPr>
        <w:t>Proposal</w:t>
      </w:r>
    </w:p>
    <w:p w14:paraId="37FCF9A8" w14:textId="77777777" w:rsidR="002930EC" w:rsidRDefault="002930EC" w:rsidP="002930EC">
      <w:pPr>
        <w:pStyle w:val="Heading1"/>
        <w:ind w:left="360"/>
      </w:pPr>
    </w:p>
    <w:p w14:paraId="2B15F0F3" w14:textId="7F85AFAD" w:rsidR="004C35F4" w:rsidRPr="00DB7AC8" w:rsidRDefault="004C35F4" w:rsidP="00AF00F5">
      <w:pPr>
        <w:pStyle w:val="Heading1"/>
        <w:numPr>
          <w:ilvl w:val="0"/>
          <w:numId w:val="7"/>
        </w:numPr>
        <w:ind w:left="360"/>
      </w:pPr>
      <w:r w:rsidRPr="00DB7AC8">
        <w:t>Overall Project Summary and Approach</w:t>
      </w:r>
      <w:r w:rsidR="00F2466C" w:rsidRPr="00DB7AC8">
        <w:t xml:space="preserve"> </w:t>
      </w:r>
    </w:p>
    <w:p w14:paraId="39923004" w14:textId="34D1B3A8" w:rsidR="00015C3A" w:rsidRDefault="00D156EE" w:rsidP="00066DDB">
      <w:pPr>
        <w:pStyle w:val="ListParagraph"/>
        <w:ind w:left="0"/>
        <w:rPr>
          <w:sz w:val="22"/>
          <w:szCs w:val="22"/>
        </w:rPr>
      </w:pPr>
      <w:r>
        <w:rPr>
          <w:sz w:val="22"/>
          <w:szCs w:val="22"/>
        </w:rPr>
        <w:t xml:space="preserve">Gasoline and diesel-powered landscape equipment is a ubiquitous source of tailpipe emissions including carbon dioxide, </w:t>
      </w:r>
      <w:r w:rsidR="00F965C1">
        <w:rPr>
          <w:sz w:val="22"/>
          <w:szCs w:val="22"/>
        </w:rPr>
        <w:t>criteria air pollutants</w:t>
      </w:r>
      <w:r w:rsidR="00F2466C">
        <w:rPr>
          <w:sz w:val="22"/>
          <w:szCs w:val="22"/>
        </w:rPr>
        <w:t>,</w:t>
      </w:r>
      <w:r w:rsidR="00F965C1">
        <w:rPr>
          <w:sz w:val="22"/>
          <w:szCs w:val="22"/>
        </w:rPr>
        <w:t xml:space="preserve"> </w:t>
      </w:r>
      <w:r>
        <w:rPr>
          <w:sz w:val="22"/>
          <w:szCs w:val="22"/>
        </w:rPr>
        <w:t xml:space="preserve">hazardous air pollutants, and noise pollution, across the Chicago Metropolitan Statistical Area.  In the </w:t>
      </w:r>
      <w:r w:rsidR="00F2466C">
        <w:rPr>
          <w:sz w:val="22"/>
          <w:szCs w:val="22"/>
        </w:rPr>
        <w:t>commercial</w:t>
      </w:r>
      <w:r>
        <w:rPr>
          <w:sz w:val="22"/>
          <w:szCs w:val="22"/>
        </w:rPr>
        <w:t xml:space="preserve"> landscape industry, equipment operators are typically low-income persons of color who bear </w:t>
      </w:r>
      <w:r w:rsidR="0050347E">
        <w:rPr>
          <w:sz w:val="22"/>
          <w:szCs w:val="22"/>
        </w:rPr>
        <w:t xml:space="preserve">disproportionate </w:t>
      </w:r>
      <w:r>
        <w:rPr>
          <w:sz w:val="22"/>
          <w:szCs w:val="22"/>
        </w:rPr>
        <w:t>harmful effects of prolonged exposure from gasoline-powered equipment.</w:t>
      </w:r>
    </w:p>
    <w:p w14:paraId="64BB8284" w14:textId="77777777" w:rsidR="00D156EE" w:rsidRDefault="00D156EE" w:rsidP="00066DDB">
      <w:pPr>
        <w:pStyle w:val="ListParagraph"/>
        <w:ind w:left="0"/>
        <w:rPr>
          <w:sz w:val="22"/>
          <w:szCs w:val="22"/>
        </w:rPr>
      </w:pPr>
    </w:p>
    <w:p w14:paraId="2513868E" w14:textId="660F30D2" w:rsidR="007E4970" w:rsidRPr="00976A7A" w:rsidRDefault="009409B4" w:rsidP="00066DDB">
      <w:pPr>
        <w:pStyle w:val="ListParagraph"/>
        <w:ind w:left="0"/>
        <w:rPr>
          <w:sz w:val="22"/>
          <w:szCs w:val="22"/>
        </w:rPr>
      </w:pPr>
      <w:r w:rsidRPr="00976A7A">
        <w:rPr>
          <w:sz w:val="22"/>
          <w:szCs w:val="22"/>
        </w:rPr>
        <w:t xml:space="preserve">The Landscape Equipment Electrification Program </w:t>
      </w:r>
      <w:r w:rsidR="0050347E" w:rsidRPr="00976A7A">
        <w:rPr>
          <w:sz w:val="22"/>
          <w:szCs w:val="22"/>
        </w:rPr>
        <w:t xml:space="preserve">(LEEP) </w:t>
      </w:r>
      <w:r w:rsidRPr="00976A7A">
        <w:rPr>
          <w:sz w:val="22"/>
          <w:szCs w:val="22"/>
        </w:rPr>
        <w:t xml:space="preserve">will accelerate adoption of </w:t>
      </w:r>
      <w:r w:rsidR="00976A7A" w:rsidRPr="00976A7A">
        <w:rPr>
          <w:sz w:val="22"/>
          <w:szCs w:val="22"/>
        </w:rPr>
        <w:t xml:space="preserve">electric </w:t>
      </w:r>
      <w:r w:rsidRPr="00976A7A">
        <w:rPr>
          <w:sz w:val="22"/>
          <w:szCs w:val="22"/>
        </w:rPr>
        <w:t xml:space="preserve">zero emission </w:t>
      </w:r>
      <w:r w:rsidR="00976A7A" w:rsidRPr="00976A7A">
        <w:rPr>
          <w:sz w:val="22"/>
          <w:szCs w:val="22"/>
        </w:rPr>
        <w:t>equipment</w:t>
      </w:r>
      <w:r w:rsidR="000A7841" w:rsidRPr="00976A7A">
        <w:rPr>
          <w:sz w:val="22"/>
          <w:szCs w:val="22"/>
        </w:rPr>
        <w:t xml:space="preserve"> (ZEE)</w:t>
      </w:r>
      <w:r w:rsidR="00976A7A" w:rsidRPr="00976A7A">
        <w:rPr>
          <w:sz w:val="22"/>
          <w:szCs w:val="22"/>
        </w:rPr>
        <w:t xml:space="preserve"> </w:t>
      </w:r>
      <w:r w:rsidRPr="00976A7A">
        <w:rPr>
          <w:sz w:val="22"/>
          <w:szCs w:val="22"/>
        </w:rPr>
        <w:t>in both the residential and commercial landscape sectors.  With Climate Pollution Reduction Grant funding</w:t>
      </w:r>
      <w:r w:rsidR="00DB239A" w:rsidRPr="00976A7A">
        <w:rPr>
          <w:sz w:val="22"/>
          <w:szCs w:val="22"/>
        </w:rPr>
        <w:t>, the Metropolitan Mayors Caucus</w:t>
      </w:r>
      <w:r w:rsidR="0050347E" w:rsidRPr="00976A7A">
        <w:rPr>
          <w:sz w:val="22"/>
          <w:szCs w:val="22"/>
        </w:rPr>
        <w:t xml:space="preserve"> (Caucus)</w:t>
      </w:r>
      <w:r w:rsidR="00DB239A" w:rsidRPr="00976A7A">
        <w:rPr>
          <w:sz w:val="22"/>
          <w:szCs w:val="22"/>
        </w:rPr>
        <w:t xml:space="preserve"> will remove dirty gasoline and diesel-powered </w:t>
      </w:r>
      <w:r w:rsidR="00976A7A" w:rsidRPr="00976A7A">
        <w:rPr>
          <w:sz w:val="22"/>
          <w:szCs w:val="22"/>
        </w:rPr>
        <w:t xml:space="preserve">lawn and garden (LGE) equipment </w:t>
      </w:r>
      <w:r w:rsidR="00DB239A" w:rsidRPr="00976A7A">
        <w:rPr>
          <w:sz w:val="22"/>
          <w:szCs w:val="22"/>
        </w:rPr>
        <w:t xml:space="preserve">from service and replace </w:t>
      </w:r>
      <w:r w:rsidR="00066DDB" w:rsidRPr="00976A7A">
        <w:rPr>
          <w:sz w:val="22"/>
          <w:szCs w:val="22"/>
        </w:rPr>
        <w:t>them one-for-one</w:t>
      </w:r>
      <w:r w:rsidR="00DB239A" w:rsidRPr="00976A7A">
        <w:rPr>
          <w:sz w:val="22"/>
          <w:szCs w:val="22"/>
        </w:rPr>
        <w:t xml:space="preserve"> with clean </w:t>
      </w:r>
      <w:r w:rsidR="00066DDB" w:rsidRPr="00976A7A">
        <w:rPr>
          <w:sz w:val="22"/>
          <w:szCs w:val="22"/>
        </w:rPr>
        <w:t xml:space="preserve">zero emission </w:t>
      </w:r>
      <w:r w:rsidR="00DB239A" w:rsidRPr="00976A7A">
        <w:rPr>
          <w:sz w:val="22"/>
          <w:szCs w:val="22"/>
        </w:rPr>
        <w:t xml:space="preserve">equipment through a strategic “buy-back” program.  </w:t>
      </w:r>
      <w:r w:rsidR="00066DDB" w:rsidRPr="00976A7A">
        <w:rPr>
          <w:sz w:val="22"/>
          <w:szCs w:val="22"/>
        </w:rPr>
        <w:t>Old e</w:t>
      </w:r>
      <w:r w:rsidR="0050347E" w:rsidRPr="00976A7A">
        <w:rPr>
          <w:sz w:val="22"/>
          <w:szCs w:val="22"/>
        </w:rPr>
        <w:t>quipment will be collected</w:t>
      </w:r>
      <w:r w:rsidR="007E4970" w:rsidRPr="00976A7A">
        <w:rPr>
          <w:sz w:val="22"/>
          <w:szCs w:val="22"/>
        </w:rPr>
        <w:t xml:space="preserve">, responsibly prepared for disposal, permanently disabled, and </w:t>
      </w:r>
      <w:r w:rsidR="00F2466C" w:rsidRPr="00976A7A">
        <w:rPr>
          <w:sz w:val="22"/>
          <w:szCs w:val="22"/>
        </w:rPr>
        <w:t xml:space="preserve">appropriately </w:t>
      </w:r>
      <w:r w:rsidR="007E4970" w:rsidRPr="00976A7A">
        <w:rPr>
          <w:sz w:val="22"/>
          <w:szCs w:val="22"/>
        </w:rPr>
        <w:t xml:space="preserve">scrapped to assure </w:t>
      </w:r>
      <w:r w:rsidR="00976A7A" w:rsidRPr="00976A7A">
        <w:rPr>
          <w:sz w:val="22"/>
          <w:szCs w:val="22"/>
        </w:rPr>
        <w:t xml:space="preserve">and document </w:t>
      </w:r>
      <w:r w:rsidR="007E4970" w:rsidRPr="00976A7A">
        <w:rPr>
          <w:sz w:val="22"/>
          <w:szCs w:val="22"/>
        </w:rPr>
        <w:t xml:space="preserve">emission reduction.  Incentives will then be paid to program participants to purchase new, </w:t>
      </w:r>
      <w:r w:rsidR="00976A7A">
        <w:rPr>
          <w:sz w:val="22"/>
          <w:szCs w:val="22"/>
        </w:rPr>
        <w:t xml:space="preserve">ZEE </w:t>
      </w:r>
      <w:r w:rsidR="007E4970" w:rsidRPr="00976A7A">
        <w:rPr>
          <w:sz w:val="22"/>
          <w:szCs w:val="22"/>
        </w:rPr>
        <w:t>lawn and garden equipment. Two parallel programs will be designed to serve the unique needs of the residential equipment owners and the commercial landscape industry.</w:t>
      </w:r>
    </w:p>
    <w:p w14:paraId="04FF390E" w14:textId="77777777" w:rsidR="007E4970" w:rsidRDefault="007E4970" w:rsidP="00066DDB">
      <w:pPr>
        <w:pStyle w:val="ListParagraph"/>
        <w:ind w:left="0"/>
        <w:rPr>
          <w:sz w:val="22"/>
          <w:szCs w:val="22"/>
        </w:rPr>
      </w:pPr>
    </w:p>
    <w:p w14:paraId="3824C6CE" w14:textId="294AD674" w:rsidR="00F2466C" w:rsidRDefault="00322163" w:rsidP="00066DDB">
      <w:pPr>
        <w:pStyle w:val="ListParagraph"/>
        <w:ind w:left="0"/>
        <w:rPr>
          <w:sz w:val="22"/>
          <w:szCs w:val="22"/>
        </w:rPr>
      </w:pPr>
      <w:r>
        <w:rPr>
          <w:sz w:val="22"/>
          <w:szCs w:val="22"/>
        </w:rPr>
        <w:t xml:space="preserve">The Caucus will leverage strong partnerships to design and implement a program that achieves quantifiable and durable GHG emissions; primarily benefits low and disadvantaged communities (LIDAC); </w:t>
      </w:r>
      <w:r w:rsidR="00F2466C">
        <w:rPr>
          <w:sz w:val="22"/>
          <w:szCs w:val="22"/>
        </w:rPr>
        <w:t xml:space="preserve">drives </w:t>
      </w:r>
      <w:r>
        <w:rPr>
          <w:sz w:val="22"/>
          <w:szCs w:val="22"/>
        </w:rPr>
        <w:t>transform</w:t>
      </w:r>
      <w:r w:rsidR="00F2466C">
        <w:rPr>
          <w:sz w:val="22"/>
          <w:szCs w:val="22"/>
        </w:rPr>
        <w:t>ation of</w:t>
      </w:r>
      <w:r>
        <w:rPr>
          <w:sz w:val="22"/>
          <w:szCs w:val="22"/>
        </w:rPr>
        <w:t xml:space="preserve"> the landscape equipment market to </w:t>
      </w:r>
      <w:r w:rsidR="00976A7A">
        <w:rPr>
          <w:sz w:val="22"/>
          <w:szCs w:val="22"/>
        </w:rPr>
        <w:t>ZEE</w:t>
      </w:r>
      <w:r>
        <w:rPr>
          <w:sz w:val="22"/>
          <w:szCs w:val="22"/>
        </w:rPr>
        <w:t>; and provide</w:t>
      </w:r>
      <w:r w:rsidR="00976A7A">
        <w:rPr>
          <w:sz w:val="22"/>
          <w:szCs w:val="22"/>
        </w:rPr>
        <w:t>s</w:t>
      </w:r>
      <w:r>
        <w:rPr>
          <w:sz w:val="22"/>
          <w:szCs w:val="22"/>
        </w:rPr>
        <w:t xml:space="preserve"> significant reductions in </w:t>
      </w:r>
      <w:r w:rsidR="00F2466C">
        <w:rPr>
          <w:sz w:val="22"/>
          <w:szCs w:val="22"/>
        </w:rPr>
        <w:t>criteria and hazardous</w:t>
      </w:r>
      <w:r>
        <w:rPr>
          <w:sz w:val="22"/>
          <w:szCs w:val="22"/>
        </w:rPr>
        <w:t xml:space="preserve"> air pollution. LEEP will succeed because of the region’s considerable momentum on climate action, robust and ongoing </w:t>
      </w:r>
      <w:r w:rsidR="00FA7AE2">
        <w:rPr>
          <w:sz w:val="22"/>
          <w:szCs w:val="22"/>
        </w:rPr>
        <w:t xml:space="preserve">LIDAC </w:t>
      </w:r>
      <w:r>
        <w:rPr>
          <w:sz w:val="22"/>
          <w:szCs w:val="22"/>
        </w:rPr>
        <w:t xml:space="preserve">community engagement, history of </w:t>
      </w:r>
      <w:r w:rsidR="00976A7A">
        <w:rPr>
          <w:sz w:val="22"/>
          <w:szCs w:val="22"/>
        </w:rPr>
        <w:t>robust</w:t>
      </w:r>
      <w:r>
        <w:rPr>
          <w:sz w:val="22"/>
          <w:szCs w:val="22"/>
        </w:rPr>
        <w:t xml:space="preserve"> resident participation in recycling and sustainability programs, and growing community interest in phasing out gasoline </w:t>
      </w:r>
      <w:r w:rsidR="00976A7A">
        <w:rPr>
          <w:sz w:val="22"/>
          <w:szCs w:val="22"/>
        </w:rPr>
        <w:t>LGE</w:t>
      </w:r>
      <w:r w:rsidR="00BA277B">
        <w:rPr>
          <w:sz w:val="22"/>
          <w:szCs w:val="22"/>
        </w:rPr>
        <w:t xml:space="preserve">. </w:t>
      </w:r>
    </w:p>
    <w:p w14:paraId="6DB09DA5" w14:textId="77777777" w:rsidR="00F2466C" w:rsidRDefault="00F2466C" w:rsidP="00066DDB">
      <w:pPr>
        <w:pStyle w:val="ListParagraph"/>
        <w:ind w:left="0"/>
        <w:rPr>
          <w:sz w:val="22"/>
          <w:szCs w:val="22"/>
        </w:rPr>
      </w:pPr>
    </w:p>
    <w:p w14:paraId="200F252D" w14:textId="43DB0000" w:rsidR="00066DDB" w:rsidRDefault="00066DDB" w:rsidP="00066DDB">
      <w:pPr>
        <w:pStyle w:val="ListParagraph"/>
        <w:ind w:left="0"/>
        <w:rPr>
          <w:sz w:val="22"/>
          <w:szCs w:val="22"/>
        </w:rPr>
      </w:pPr>
      <w:r>
        <w:rPr>
          <w:sz w:val="22"/>
          <w:szCs w:val="22"/>
        </w:rPr>
        <w:t>LEEP</w:t>
      </w:r>
      <w:r w:rsidR="004E375D">
        <w:rPr>
          <w:sz w:val="22"/>
          <w:szCs w:val="22"/>
        </w:rPr>
        <w:t xml:space="preserve"> will maximize participation in the residential sector by utilizing familiar and popular drop-off events for hard-to-recycle household items. LEEP will maximize participation in the commercial sector by tailoring incentives to support the most practical and useful zero emissions technology and supportive services to accelerate electrification.  </w:t>
      </w:r>
      <w:r w:rsidR="00A761C0">
        <w:rPr>
          <w:sz w:val="22"/>
          <w:szCs w:val="22"/>
        </w:rPr>
        <w:t xml:space="preserve">Because </w:t>
      </w:r>
      <w:r w:rsidR="009815C0">
        <w:rPr>
          <w:sz w:val="22"/>
          <w:szCs w:val="22"/>
        </w:rPr>
        <w:t>60%</w:t>
      </w:r>
      <w:r w:rsidR="00A761C0">
        <w:rPr>
          <w:rStyle w:val="FootnoteReference"/>
          <w:sz w:val="22"/>
          <w:szCs w:val="22"/>
        </w:rPr>
        <w:footnoteReference w:id="2"/>
      </w:r>
      <w:r w:rsidR="009815C0">
        <w:rPr>
          <w:sz w:val="22"/>
          <w:szCs w:val="22"/>
        </w:rPr>
        <w:t xml:space="preserve"> </w:t>
      </w:r>
      <w:r w:rsidR="00FA7AE2">
        <w:rPr>
          <w:sz w:val="22"/>
          <w:szCs w:val="22"/>
        </w:rPr>
        <w:t xml:space="preserve">to </w:t>
      </w:r>
      <w:r w:rsidR="00A761C0">
        <w:rPr>
          <w:sz w:val="22"/>
          <w:szCs w:val="22"/>
        </w:rPr>
        <w:t>80%</w:t>
      </w:r>
      <w:r w:rsidR="00A761C0">
        <w:rPr>
          <w:rStyle w:val="FootnoteReference"/>
          <w:sz w:val="22"/>
          <w:szCs w:val="22"/>
        </w:rPr>
        <w:footnoteReference w:id="3"/>
      </w:r>
      <w:r w:rsidR="00A761C0">
        <w:rPr>
          <w:sz w:val="22"/>
          <w:szCs w:val="22"/>
        </w:rPr>
        <w:t xml:space="preserve"> </w:t>
      </w:r>
      <w:r w:rsidR="009815C0">
        <w:rPr>
          <w:sz w:val="22"/>
          <w:szCs w:val="22"/>
        </w:rPr>
        <w:t xml:space="preserve">of the landscape workers </w:t>
      </w:r>
      <w:r>
        <w:rPr>
          <w:sz w:val="22"/>
          <w:szCs w:val="22"/>
        </w:rPr>
        <w:t>in the Chicago region</w:t>
      </w:r>
      <w:r w:rsidR="009815C0">
        <w:rPr>
          <w:sz w:val="22"/>
          <w:szCs w:val="22"/>
        </w:rPr>
        <w:t xml:space="preserve"> are estimated to be Latino, LEEP will</w:t>
      </w:r>
      <w:r w:rsidR="00A761C0">
        <w:rPr>
          <w:sz w:val="22"/>
          <w:szCs w:val="22"/>
        </w:rPr>
        <w:t xml:space="preserve"> improve working conditions </w:t>
      </w:r>
      <w:r w:rsidR="00F2466C">
        <w:rPr>
          <w:sz w:val="22"/>
          <w:szCs w:val="22"/>
        </w:rPr>
        <w:t>and provide</w:t>
      </w:r>
      <w:r w:rsidR="009815C0">
        <w:rPr>
          <w:sz w:val="22"/>
          <w:szCs w:val="22"/>
        </w:rPr>
        <w:t xml:space="preserve"> quantifiable, targeted health and economic benefit to members of </w:t>
      </w:r>
      <w:r w:rsidR="00A761C0">
        <w:rPr>
          <w:sz w:val="22"/>
          <w:szCs w:val="22"/>
        </w:rPr>
        <w:t>L</w:t>
      </w:r>
      <w:r w:rsidR="009815C0">
        <w:rPr>
          <w:sz w:val="22"/>
          <w:szCs w:val="22"/>
        </w:rPr>
        <w:t>IDAC communities.  To enhance the durability of emission reduction, LEEP will concurrently promote fair and enforceable local regulations to reduce the use of gasoline lawn and garden equipment</w:t>
      </w:r>
      <w:r w:rsidR="000A7841">
        <w:rPr>
          <w:sz w:val="22"/>
          <w:szCs w:val="22"/>
        </w:rPr>
        <w:t xml:space="preserve"> permanently</w:t>
      </w:r>
      <w:r w:rsidR="00A761C0">
        <w:rPr>
          <w:sz w:val="22"/>
          <w:szCs w:val="22"/>
        </w:rPr>
        <w:t>.</w:t>
      </w:r>
      <w:r w:rsidR="009815C0">
        <w:rPr>
          <w:sz w:val="22"/>
          <w:szCs w:val="22"/>
        </w:rPr>
        <w:t xml:space="preserve">  </w:t>
      </w:r>
    </w:p>
    <w:p w14:paraId="4AD297D5" w14:textId="77777777" w:rsidR="00066DDB" w:rsidRDefault="00066DDB" w:rsidP="007962E8">
      <w:pPr>
        <w:pStyle w:val="ListParagraph"/>
        <w:rPr>
          <w:sz w:val="22"/>
          <w:szCs w:val="22"/>
        </w:rPr>
      </w:pPr>
    </w:p>
    <w:p w14:paraId="115604BC" w14:textId="3B40B79A" w:rsidR="00322163" w:rsidRPr="00976A7A" w:rsidRDefault="00CE1C75" w:rsidP="00010FA9">
      <w:pPr>
        <w:pStyle w:val="ListParagraph"/>
        <w:ind w:left="0"/>
        <w:rPr>
          <w:rFonts w:cstheme="minorHAnsi"/>
          <w:sz w:val="22"/>
          <w:szCs w:val="22"/>
        </w:rPr>
      </w:pPr>
      <w:r w:rsidRPr="00976A7A">
        <w:rPr>
          <w:rFonts w:cstheme="minorHAnsi"/>
          <w:sz w:val="22"/>
          <w:szCs w:val="22"/>
        </w:rPr>
        <w:t xml:space="preserve">Implementation of LEEP will support </w:t>
      </w:r>
      <w:r w:rsidR="00452407" w:rsidRPr="00976A7A">
        <w:rPr>
          <w:rFonts w:cstheme="minorHAnsi"/>
          <w:sz w:val="22"/>
          <w:szCs w:val="22"/>
        </w:rPr>
        <w:t>EPA’s 2022-2026 Strategic Plan</w:t>
      </w:r>
      <w:r w:rsidR="00452407">
        <w:rPr>
          <w:rFonts w:cstheme="minorHAnsi"/>
          <w:sz w:val="22"/>
          <w:szCs w:val="22"/>
        </w:rPr>
        <w:t xml:space="preserve"> -</w:t>
      </w:r>
      <w:r w:rsidRPr="00976A7A">
        <w:rPr>
          <w:rFonts w:cstheme="minorHAnsi"/>
          <w:sz w:val="22"/>
          <w:szCs w:val="22"/>
        </w:rPr>
        <w:t>Goal 1, “Tackle the Climate Crisis”; Objective 1.1, “Reduce Emissions that Cause Climate Change</w:t>
      </w:r>
      <w:r w:rsidR="00976A7A">
        <w:rPr>
          <w:rFonts w:cstheme="minorHAnsi"/>
          <w:sz w:val="22"/>
          <w:szCs w:val="22"/>
        </w:rPr>
        <w:t>“</w:t>
      </w:r>
      <w:r w:rsidR="00FA7AE2">
        <w:rPr>
          <w:rFonts w:cstheme="minorHAnsi"/>
          <w:sz w:val="22"/>
          <w:szCs w:val="22"/>
        </w:rPr>
        <w:t xml:space="preserve"> </w:t>
      </w:r>
      <w:r w:rsidR="00F536C7" w:rsidRPr="00976A7A">
        <w:rPr>
          <w:rFonts w:cstheme="minorHAnsi"/>
          <w:sz w:val="22"/>
          <w:szCs w:val="22"/>
        </w:rPr>
        <w:t xml:space="preserve">and address </w:t>
      </w:r>
      <w:r w:rsidRPr="00976A7A">
        <w:rPr>
          <w:rFonts w:cstheme="minorHAnsi"/>
          <w:sz w:val="22"/>
          <w:szCs w:val="22"/>
        </w:rPr>
        <w:t>EPA</w:t>
      </w:r>
      <w:r w:rsidR="00F536C7" w:rsidRPr="00976A7A">
        <w:rPr>
          <w:rFonts w:cstheme="minorHAnsi"/>
          <w:sz w:val="22"/>
          <w:szCs w:val="22"/>
        </w:rPr>
        <w:t>’s objective to</w:t>
      </w:r>
      <w:r w:rsidRPr="00976A7A">
        <w:rPr>
          <w:rFonts w:cstheme="minorHAnsi"/>
          <w:sz w:val="22"/>
          <w:szCs w:val="22"/>
        </w:rPr>
        <w:t xml:space="preserve"> “aggressively reduce the emissions of greenhouse gases from all sectors while increasing energy and resource efficiency and the use of renewable energy.”</w:t>
      </w:r>
    </w:p>
    <w:p w14:paraId="78053CE7" w14:textId="46B17F60" w:rsidR="00AA6CA0" w:rsidRDefault="00AA6CA0" w:rsidP="00AA6CA0">
      <w:pPr>
        <w:pStyle w:val="Heading2"/>
      </w:pPr>
      <w:r>
        <w:lastRenderedPageBreak/>
        <w:t>A. Description of GHG Reduction Measures</w:t>
      </w:r>
      <w:r w:rsidR="00A97A7F">
        <w:t xml:space="preserve"> </w:t>
      </w:r>
    </w:p>
    <w:p w14:paraId="5319CCEA" w14:textId="1795CF47" w:rsidR="00AA6CA0" w:rsidRDefault="00A761C0" w:rsidP="00AA6CA0">
      <w:r>
        <w:t xml:space="preserve">LEEP will aim to eliminate </w:t>
      </w:r>
      <w:r w:rsidR="002F377D">
        <w:t xml:space="preserve">76,826 </w:t>
      </w:r>
      <w:r>
        <w:t xml:space="preserve">residential gasoline lawn mowers by simplifying safe and responsible disposal and incentivizing the purchase of new, </w:t>
      </w:r>
      <w:r w:rsidR="00976A7A">
        <w:t>electric</w:t>
      </w:r>
      <w:r w:rsidR="00452407">
        <w:t xml:space="preserve">, </w:t>
      </w:r>
      <w:r w:rsidR="00976A7A">
        <w:t>ZEE</w:t>
      </w:r>
      <w:r>
        <w:t xml:space="preserve">.  LEEP will </w:t>
      </w:r>
      <w:r w:rsidR="00C46513">
        <w:t xml:space="preserve">eliminate up to 1,003 </w:t>
      </w:r>
      <w:r w:rsidR="006E3E37">
        <w:t xml:space="preserve">gasoline or diesel commercial </w:t>
      </w:r>
      <w:r w:rsidR="000A7841">
        <w:t>mowers, and</w:t>
      </w:r>
      <w:r w:rsidR="00C46513">
        <w:t xml:space="preserve"> 3,686 </w:t>
      </w:r>
      <w:r w:rsidR="00D8423A">
        <w:t>hand</w:t>
      </w:r>
      <w:r w:rsidR="00CF4EF1">
        <w:t>-</w:t>
      </w:r>
      <w:r w:rsidR="00D8423A">
        <w:t xml:space="preserve">held </w:t>
      </w:r>
      <w:r w:rsidR="006E3E37">
        <w:t xml:space="preserve">gasoline-powered </w:t>
      </w:r>
      <w:r w:rsidR="002B3123">
        <w:t>LGE</w:t>
      </w:r>
      <w:r w:rsidR="00F50E15">
        <w:t xml:space="preserve"> </w:t>
      </w:r>
      <w:r w:rsidR="006E3E37">
        <w:t>by educating landscape</w:t>
      </w:r>
      <w:r w:rsidR="00976A7A">
        <w:t xml:space="preserve"> worke</w:t>
      </w:r>
      <w:r w:rsidR="006E3E37">
        <w:t xml:space="preserve">rs and company owners, facilitating safe disposal of old equipment, supporting electric upgrades for charging, incentivizing battery packs and chargers, and by incentivizing the purchase of </w:t>
      </w:r>
      <w:r w:rsidR="00976A7A">
        <w:t>electric ZEE</w:t>
      </w:r>
      <w:r w:rsidR="006E3E37">
        <w:t xml:space="preserve">.  This </w:t>
      </w:r>
      <w:r w:rsidR="00452407">
        <w:t>one</w:t>
      </w:r>
      <w:r w:rsidR="00FA7AE2">
        <w:t>-</w:t>
      </w:r>
      <w:r w:rsidR="006E3E37">
        <w:t>for</w:t>
      </w:r>
      <w:r w:rsidR="00FA7AE2">
        <w:t>-</w:t>
      </w:r>
      <w:r w:rsidR="00452407">
        <w:t>one</w:t>
      </w:r>
      <w:r w:rsidR="006E3E37">
        <w:t xml:space="preserve"> replacement of </w:t>
      </w:r>
      <w:r w:rsidR="00F2466C">
        <w:t xml:space="preserve">gasoline </w:t>
      </w:r>
      <w:r w:rsidR="006E3E37">
        <w:t xml:space="preserve">engines for </w:t>
      </w:r>
      <w:r w:rsidR="000A7841">
        <w:t xml:space="preserve">ZEE </w:t>
      </w:r>
      <w:r w:rsidR="006E3E37">
        <w:t xml:space="preserve">creates the “buy back” model to drive rapid adoption of this clean technology. </w:t>
      </w:r>
      <w:r w:rsidR="009873A5">
        <w:t xml:space="preserve">The emissions reduction </w:t>
      </w:r>
      <w:r w:rsidR="00976A7A">
        <w:t xml:space="preserve">will </w:t>
      </w:r>
      <w:r w:rsidR="009873A5">
        <w:t xml:space="preserve">result from the retirement and destruction of gasoline-powered equipment. Incentives, </w:t>
      </w:r>
      <w:r w:rsidR="00F50E15">
        <w:t xml:space="preserve">community engagement, </w:t>
      </w:r>
      <w:r w:rsidR="009873A5">
        <w:t xml:space="preserve">supportive services, and program administration enable this GHG reduction strategy to succeed. </w:t>
      </w:r>
    </w:p>
    <w:p w14:paraId="5681C6BA" w14:textId="77777777" w:rsidR="006E3E37" w:rsidRPr="0081384E" w:rsidRDefault="006E3E37" w:rsidP="00AA6CA0"/>
    <w:p w14:paraId="33672CF3" w14:textId="77777777" w:rsidR="00A761C0" w:rsidRDefault="00A761C0" w:rsidP="00A761C0">
      <w:pPr>
        <w:pStyle w:val="Heading3"/>
      </w:pPr>
      <w:r>
        <w:t>Foundation of LEEP Strategy</w:t>
      </w:r>
    </w:p>
    <w:p w14:paraId="183445BD" w14:textId="662D1AEB" w:rsidR="00A761C0" w:rsidRDefault="00A761C0" w:rsidP="00A97A7F">
      <w:pPr>
        <w:pStyle w:val="ListParagraph"/>
        <w:ind w:left="0"/>
        <w:rPr>
          <w:sz w:val="22"/>
          <w:szCs w:val="22"/>
        </w:rPr>
      </w:pPr>
      <w:r>
        <w:rPr>
          <w:sz w:val="22"/>
          <w:szCs w:val="22"/>
        </w:rPr>
        <w:t xml:space="preserve">In the Chicago region, there is momentum towards climate pollution mitigation, electrification, and sustainability that creates fertile ground for the success of the LEEP program. At the state level, Illinois has enacted the Climate and Equitable Jobs Act (CEJA) that </w:t>
      </w:r>
      <w:r w:rsidR="00FA7AE2">
        <w:rPr>
          <w:sz w:val="22"/>
          <w:szCs w:val="22"/>
        </w:rPr>
        <w:t xml:space="preserve">has </w:t>
      </w:r>
      <w:r>
        <w:rPr>
          <w:sz w:val="22"/>
          <w:szCs w:val="22"/>
        </w:rPr>
        <w:t xml:space="preserve">created robust policies and funding mechanisms that are driving beneficial electrification of buildings and transportation.  The region’s electric utility, ComEd, recently released its Beneficial Electrification Plan which will invest $92 million over 3 years in building electrification, EVs and EV charging infrastructure.  </w:t>
      </w:r>
    </w:p>
    <w:p w14:paraId="286426DF" w14:textId="77777777" w:rsidR="00A761C0" w:rsidRDefault="00A761C0" w:rsidP="00A97A7F">
      <w:pPr>
        <w:pStyle w:val="ListParagraph"/>
        <w:ind w:left="0"/>
        <w:rPr>
          <w:sz w:val="22"/>
          <w:szCs w:val="22"/>
        </w:rPr>
      </w:pPr>
    </w:p>
    <w:p w14:paraId="2534103B" w14:textId="77D974D1" w:rsidR="00A761C0" w:rsidRDefault="00A761C0" w:rsidP="00A97A7F">
      <w:pPr>
        <w:pStyle w:val="ListParagraph"/>
        <w:ind w:left="0"/>
        <w:rPr>
          <w:sz w:val="22"/>
          <w:szCs w:val="22"/>
        </w:rPr>
      </w:pPr>
      <w:r>
        <w:rPr>
          <w:sz w:val="22"/>
          <w:szCs w:val="22"/>
        </w:rPr>
        <w:t xml:space="preserve">In 2021, the Caucus pioneered regional climate planning with the award-winning </w:t>
      </w:r>
      <w:hyperlink r:id="rId12" w:history="1">
        <w:r w:rsidRPr="005316EF">
          <w:rPr>
            <w:rStyle w:val="Hyperlink"/>
            <w:sz w:val="22"/>
            <w:szCs w:val="22"/>
          </w:rPr>
          <w:t>Climate Action Plan for the Chicago Region</w:t>
        </w:r>
      </w:hyperlink>
      <w:r>
        <w:rPr>
          <w:sz w:val="22"/>
          <w:szCs w:val="22"/>
        </w:rPr>
        <w:t xml:space="preserve"> (CAP) which also recommended strategies for reducing greenhouse gas emissions (GHG) through fleet electrification.  The CAP set a GHG reduction target of at least 80% emissions reduction (over 2005) levels by 2050. </w:t>
      </w:r>
      <w:r w:rsidR="00452407">
        <w:rPr>
          <w:sz w:val="22"/>
          <w:szCs w:val="22"/>
        </w:rPr>
        <w:t>This award-winning plan</w:t>
      </w:r>
      <w:r>
        <w:rPr>
          <w:sz w:val="22"/>
          <w:szCs w:val="22"/>
        </w:rPr>
        <w:t xml:space="preserve"> set an aspirational goal of net zero emissions by 2050. These goals have been endorsed by the 33 of the Caucus’ member municipalities.  </w:t>
      </w:r>
    </w:p>
    <w:p w14:paraId="595F6B64" w14:textId="77777777" w:rsidR="00A761C0" w:rsidRDefault="00A761C0" w:rsidP="00A97A7F">
      <w:pPr>
        <w:pStyle w:val="ListParagraph"/>
        <w:ind w:left="0"/>
        <w:rPr>
          <w:sz w:val="22"/>
          <w:szCs w:val="22"/>
        </w:rPr>
      </w:pPr>
    </w:p>
    <w:p w14:paraId="3CA7D1DD" w14:textId="2D4FD1A9" w:rsidR="00A761C0" w:rsidRPr="00F04076" w:rsidRDefault="00A761C0" w:rsidP="00A97A7F">
      <w:pPr>
        <w:pStyle w:val="ListParagraph"/>
        <w:ind w:left="0"/>
        <w:rPr>
          <w:b/>
          <w:bCs/>
          <w:sz w:val="22"/>
          <w:szCs w:val="22"/>
        </w:rPr>
      </w:pPr>
      <w:r w:rsidRPr="00F04076">
        <w:rPr>
          <w:b/>
          <w:bCs/>
          <w:sz w:val="22"/>
          <w:szCs w:val="22"/>
        </w:rPr>
        <w:t>As the CPRG lead for the Chicago MSA, the Caucus authored the Priority Climate Action Plan to include this authorizing priority strategy under the Decarbonize Transportation objective,</w:t>
      </w:r>
      <w:r w:rsidR="000A7841" w:rsidRPr="000A7841">
        <w:rPr>
          <w:b/>
          <w:bCs/>
          <w:sz w:val="22"/>
          <w:szCs w:val="22"/>
        </w:rPr>
        <w:t xml:space="preserve"> </w:t>
      </w:r>
      <w:r w:rsidR="000A7841" w:rsidRPr="00F04076">
        <w:rPr>
          <w:b/>
          <w:bCs/>
          <w:sz w:val="22"/>
          <w:szCs w:val="22"/>
        </w:rPr>
        <w:t xml:space="preserve">(DT15) </w:t>
      </w:r>
      <w:r w:rsidRPr="00F04076">
        <w:rPr>
          <w:b/>
          <w:bCs/>
          <w:sz w:val="22"/>
          <w:szCs w:val="22"/>
        </w:rPr>
        <w:t>“</w:t>
      </w:r>
      <w:r w:rsidRPr="00F04076">
        <w:rPr>
          <w:b/>
          <w:bCs/>
          <w:i/>
          <w:iCs/>
          <w:sz w:val="22"/>
          <w:szCs w:val="22"/>
        </w:rPr>
        <w:t>Transition landscaping equipment to low and zero-emission models.”</w:t>
      </w:r>
      <w:r w:rsidRPr="00F04076">
        <w:rPr>
          <w:b/>
          <w:bCs/>
          <w:sz w:val="22"/>
          <w:szCs w:val="22"/>
        </w:rPr>
        <w:t xml:space="preserve"> </w:t>
      </w:r>
    </w:p>
    <w:p w14:paraId="306CC2C0" w14:textId="131C721E" w:rsidR="0032126B" w:rsidRDefault="00B02803" w:rsidP="00AE44B2">
      <w:pPr>
        <w:spacing w:before="240"/>
      </w:pPr>
      <w:r>
        <w:t>This strategy was additionally prioritized by the Lake Michigan Air Directors Consortium (LADCO)</w:t>
      </w:r>
      <w:r w:rsidR="005320A9">
        <w:t xml:space="preserve"> which commissioned </w:t>
      </w:r>
      <w:r w:rsidR="00F2466C">
        <w:t>the</w:t>
      </w:r>
      <w:r w:rsidR="005320A9">
        <w:t xml:space="preserve"> study</w:t>
      </w:r>
      <w:r w:rsidR="00F2466C">
        <w:t xml:space="preserve">, </w:t>
      </w:r>
      <w:bookmarkStart w:id="0" w:name="_Hlk162796283"/>
      <w:r w:rsidR="00F2466C">
        <w:t>Control of Ozone Precursor Emission in the Great Lakes Region</w:t>
      </w:r>
      <w:bookmarkEnd w:id="0"/>
      <w:r w:rsidR="00F2466C">
        <w:t xml:space="preserve"> </w:t>
      </w:r>
      <w:r w:rsidR="005320A9">
        <w:t>in 2021.</w:t>
      </w:r>
      <w:r w:rsidR="005320A9">
        <w:rPr>
          <w:rStyle w:val="FootnoteReference"/>
        </w:rPr>
        <w:footnoteReference w:id="4"/>
      </w:r>
      <w:r w:rsidR="005320A9">
        <w:t xml:space="preserve">  </w:t>
      </w:r>
      <w:r w:rsidR="00AE44B2">
        <w:t xml:space="preserve">(See Section </w:t>
      </w:r>
      <w:r w:rsidR="00AE44B2" w:rsidRPr="00AE44B2">
        <w:t xml:space="preserve">4.3 Gasoline Small Off-Road </w:t>
      </w:r>
      <w:r w:rsidR="00452407">
        <w:t xml:space="preserve">(SORE) </w:t>
      </w:r>
      <w:r w:rsidR="00AE44B2" w:rsidRPr="00AE44B2">
        <w:t>Equipment</w:t>
      </w:r>
      <w:r w:rsidR="00056EB8">
        <w:t xml:space="preserve"> of this report</w:t>
      </w:r>
      <w:r w:rsidR="00CE36A8">
        <w:t>, linked</w:t>
      </w:r>
      <w:r w:rsidR="00AE44B2">
        <w:t>). The study evaluated control options based on feasibility, cost-effectiveness, public acceptance</w:t>
      </w:r>
      <w:r w:rsidR="006D6067">
        <w:t>, durability, and verifiability</w:t>
      </w:r>
      <w:r w:rsidR="00AE44B2">
        <w:t>. In the SOR</w:t>
      </w:r>
      <w:r w:rsidR="00452407">
        <w:t>E category</w:t>
      </w:r>
      <w:r w:rsidR="00AE44B2">
        <w:t xml:space="preserve">, </w:t>
      </w:r>
      <w:r w:rsidR="00452407">
        <w:t>LG</w:t>
      </w:r>
      <w:r w:rsidR="00FA7AE2">
        <w:t>E</w:t>
      </w:r>
      <w:r w:rsidR="00AE44B2">
        <w:t xml:space="preserve"> </w:t>
      </w:r>
      <w:r w:rsidR="006D6067">
        <w:t>were shown to produce</w:t>
      </w:r>
      <w:r w:rsidR="00AE44B2">
        <w:t xml:space="preserve"> 73% of NOx emissions.  </w:t>
      </w:r>
      <w:r w:rsidR="006D6067">
        <w:t>The report recommends re</w:t>
      </w:r>
      <w:r w:rsidR="00AE44B2">
        <w:t>gulation of gasoline powered LGE and incentivizing electric</w:t>
      </w:r>
      <w:r w:rsidR="006D6067">
        <w:t xml:space="preserve"> LGE</w:t>
      </w:r>
      <w:r w:rsidR="00056EB8">
        <w:t xml:space="preserve"> </w:t>
      </w:r>
      <w:r w:rsidR="00AE44B2">
        <w:t xml:space="preserve">as strategies to reduce harmful ozone precursors.  </w:t>
      </w:r>
      <w:r w:rsidR="00056EB8">
        <w:t>These recommendations are incorporated into LEEP.</w:t>
      </w:r>
    </w:p>
    <w:p w14:paraId="588648C2" w14:textId="77777777" w:rsidR="00745362" w:rsidRDefault="00745362" w:rsidP="003576E5"/>
    <w:p w14:paraId="70628E6C" w14:textId="783E62BA" w:rsidR="002A3E8C" w:rsidRDefault="002A3E8C" w:rsidP="000D4BC4">
      <w:pPr>
        <w:pStyle w:val="Heading3"/>
      </w:pPr>
      <w:r>
        <w:t>Program Design</w:t>
      </w:r>
    </w:p>
    <w:p w14:paraId="547D5121" w14:textId="36AF9410" w:rsidR="00D156EE" w:rsidRDefault="007E4970" w:rsidP="00A97A7F">
      <w:pPr>
        <w:pStyle w:val="ListParagraph"/>
        <w:ind w:left="0"/>
        <w:rPr>
          <w:sz w:val="22"/>
          <w:szCs w:val="22"/>
        </w:rPr>
      </w:pPr>
      <w:r>
        <w:rPr>
          <w:sz w:val="22"/>
          <w:szCs w:val="22"/>
        </w:rPr>
        <w:t xml:space="preserve">This buy-back program model </w:t>
      </w:r>
      <w:r w:rsidR="000D4BC4">
        <w:rPr>
          <w:sz w:val="22"/>
          <w:szCs w:val="22"/>
        </w:rPr>
        <w:t>has been</w:t>
      </w:r>
      <w:r>
        <w:rPr>
          <w:sz w:val="22"/>
          <w:szCs w:val="22"/>
        </w:rPr>
        <w:t xml:space="preserve"> demonstrated by the </w:t>
      </w:r>
      <w:hyperlink r:id="rId13" w:history="1">
        <w:r w:rsidR="00F929BA" w:rsidRPr="000B070F">
          <w:rPr>
            <w:rStyle w:val="Hyperlink"/>
            <w:sz w:val="22"/>
            <w:szCs w:val="22"/>
          </w:rPr>
          <w:t>Diesel Emission Reduction Act Rebate Program</w:t>
        </w:r>
      </w:hyperlink>
      <w:r w:rsidR="00745362">
        <w:rPr>
          <w:rStyle w:val="Hyperlink"/>
          <w:sz w:val="22"/>
          <w:szCs w:val="22"/>
        </w:rPr>
        <w:t xml:space="preserve"> </w:t>
      </w:r>
      <w:r w:rsidR="00745362">
        <w:rPr>
          <w:sz w:val="22"/>
          <w:szCs w:val="22"/>
        </w:rPr>
        <w:t xml:space="preserve"> for equipment and buses</w:t>
      </w:r>
      <w:r w:rsidR="00F929BA">
        <w:rPr>
          <w:sz w:val="22"/>
          <w:szCs w:val="22"/>
        </w:rPr>
        <w:t xml:space="preserve"> The </w:t>
      </w:r>
      <w:hyperlink r:id="rId14" w:history="1">
        <w:r w:rsidR="00F929BA" w:rsidRPr="00DE2D29">
          <w:rPr>
            <w:rStyle w:val="Hyperlink"/>
            <w:sz w:val="22"/>
            <w:szCs w:val="22"/>
          </w:rPr>
          <w:t>California Clean Off-Road Equipment (CORE)</w:t>
        </w:r>
      </w:hyperlink>
      <w:r w:rsidR="00F929BA">
        <w:rPr>
          <w:sz w:val="22"/>
          <w:szCs w:val="22"/>
        </w:rPr>
        <w:t xml:space="preserve"> program has successfully replaced 27,000 gas-powered landscape tools with </w:t>
      </w:r>
      <w:r w:rsidR="00452407">
        <w:rPr>
          <w:sz w:val="22"/>
          <w:szCs w:val="22"/>
        </w:rPr>
        <w:t xml:space="preserve">electric </w:t>
      </w:r>
      <w:r w:rsidR="00745362">
        <w:rPr>
          <w:sz w:val="22"/>
          <w:szCs w:val="22"/>
        </w:rPr>
        <w:t>ZEE</w:t>
      </w:r>
      <w:r w:rsidR="00F929BA">
        <w:rPr>
          <w:sz w:val="22"/>
          <w:szCs w:val="22"/>
        </w:rPr>
        <w:t>.</w:t>
      </w:r>
      <w:r w:rsidR="000B070F">
        <w:rPr>
          <w:sz w:val="22"/>
          <w:szCs w:val="22"/>
        </w:rPr>
        <w:t xml:space="preserve"> While the program model is proven, there has </w:t>
      </w:r>
      <w:r w:rsidR="000D4BC4">
        <w:rPr>
          <w:sz w:val="22"/>
          <w:szCs w:val="22"/>
        </w:rPr>
        <w:t xml:space="preserve">never </w:t>
      </w:r>
      <w:r w:rsidR="000B070F">
        <w:rPr>
          <w:sz w:val="22"/>
          <w:szCs w:val="22"/>
        </w:rPr>
        <w:t xml:space="preserve">been </w:t>
      </w:r>
      <w:r w:rsidR="00C2267E">
        <w:rPr>
          <w:sz w:val="22"/>
          <w:szCs w:val="22"/>
        </w:rPr>
        <w:t>a</w:t>
      </w:r>
      <w:r w:rsidR="000B070F">
        <w:rPr>
          <w:sz w:val="22"/>
          <w:szCs w:val="22"/>
        </w:rPr>
        <w:t xml:space="preserve"> buy-back program for </w:t>
      </w:r>
      <w:r w:rsidR="00C2267E">
        <w:rPr>
          <w:sz w:val="22"/>
          <w:szCs w:val="22"/>
        </w:rPr>
        <w:t>LGE</w:t>
      </w:r>
      <w:r w:rsidR="00452407">
        <w:rPr>
          <w:sz w:val="22"/>
          <w:szCs w:val="22"/>
        </w:rPr>
        <w:t xml:space="preserve"> </w:t>
      </w:r>
      <w:r w:rsidR="000B070F">
        <w:rPr>
          <w:sz w:val="22"/>
          <w:szCs w:val="22"/>
        </w:rPr>
        <w:t xml:space="preserve">in Illinois. Two local governments, the </w:t>
      </w:r>
      <w:hyperlink r:id="rId15" w:history="1">
        <w:r w:rsidR="000B070F" w:rsidRPr="000B070F">
          <w:rPr>
            <w:rStyle w:val="Hyperlink"/>
            <w:sz w:val="22"/>
            <w:szCs w:val="22"/>
          </w:rPr>
          <w:t>City of Naperville</w:t>
        </w:r>
      </w:hyperlink>
      <w:r w:rsidR="000B070F">
        <w:rPr>
          <w:sz w:val="22"/>
          <w:szCs w:val="22"/>
        </w:rPr>
        <w:t xml:space="preserve"> and the </w:t>
      </w:r>
      <w:hyperlink r:id="rId16" w:history="1">
        <w:r w:rsidR="000B070F" w:rsidRPr="000B070F">
          <w:rPr>
            <w:rStyle w:val="Hyperlink"/>
            <w:sz w:val="22"/>
            <w:szCs w:val="22"/>
          </w:rPr>
          <w:t>City of Elgin</w:t>
        </w:r>
      </w:hyperlink>
      <w:r w:rsidR="000B070F">
        <w:rPr>
          <w:sz w:val="22"/>
          <w:szCs w:val="22"/>
        </w:rPr>
        <w:t xml:space="preserve">, have both operated </w:t>
      </w:r>
      <w:r w:rsidR="000D4BC4">
        <w:rPr>
          <w:sz w:val="22"/>
          <w:szCs w:val="22"/>
        </w:rPr>
        <w:t>limited</w:t>
      </w:r>
      <w:r w:rsidR="00A97A7F">
        <w:rPr>
          <w:sz w:val="22"/>
          <w:szCs w:val="22"/>
        </w:rPr>
        <w:t>,</w:t>
      </w:r>
      <w:r w:rsidR="000D4BC4">
        <w:rPr>
          <w:sz w:val="22"/>
          <w:szCs w:val="22"/>
        </w:rPr>
        <w:t xml:space="preserve"> </w:t>
      </w:r>
      <w:r w:rsidR="000B070F">
        <w:rPr>
          <w:sz w:val="22"/>
          <w:szCs w:val="22"/>
        </w:rPr>
        <w:t xml:space="preserve">successful programs </w:t>
      </w:r>
      <w:r w:rsidR="00A97A7F">
        <w:rPr>
          <w:sz w:val="22"/>
          <w:szCs w:val="22"/>
        </w:rPr>
        <w:t>providing $50 incentives</w:t>
      </w:r>
      <w:r w:rsidR="000B070F">
        <w:rPr>
          <w:sz w:val="22"/>
          <w:szCs w:val="22"/>
        </w:rPr>
        <w:t xml:space="preserve"> </w:t>
      </w:r>
      <w:r w:rsidR="00A97A7F">
        <w:rPr>
          <w:sz w:val="22"/>
          <w:szCs w:val="22"/>
        </w:rPr>
        <w:t xml:space="preserve">to </w:t>
      </w:r>
      <w:r w:rsidR="000B070F">
        <w:rPr>
          <w:sz w:val="22"/>
          <w:szCs w:val="22"/>
        </w:rPr>
        <w:t>residents</w:t>
      </w:r>
      <w:r w:rsidR="00C2267E" w:rsidRPr="00C2267E">
        <w:rPr>
          <w:sz w:val="22"/>
          <w:szCs w:val="22"/>
        </w:rPr>
        <w:t xml:space="preserve"> </w:t>
      </w:r>
      <w:r w:rsidR="00C2267E">
        <w:rPr>
          <w:sz w:val="22"/>
          <w:szCs w:val="22"/>
        </w:rPr>
        <w:t xml:space="preserve">who show proof of purchase </w:t>
      </w:r>
      <w:r w:rsidR="00A97A7F">
        <w:rPr>
          <w:sz w:val="22"/>
          <w:szCs w:val="22"/>
        </w:rPr>
        <w:t>of an</w:t>
      </w:r>
      <w:r w:rsidR="00C2267E">
        <w:rPr>
          <w:sz w:val="22"/>
          <w:szCs w:val="22"/>
        </w:rPr>
        <w:t xml:space="preserve"> electric lawn mower</w:t>
      </w:r>
      <w:r w:rsidR="000B070F">
        <w:rPr>
          <w:sz w:val="22"/>
          <w:szCs w:val="22"/>
        </w:rPr>
        <w:t xml:space="preserve">. </w:t>
      </w:r>
      <w:r w:rsidR="002A3E8C">
        <w:rPr>
          <w:sz w:val="22"/>
          <w:szCs w:val="22"/>
        </w:rPr>
        <w:t>Under the U</w:t>
      </w:r>
      <w:r w:rsidR="00987C2F">
        <w:rPr>
          <w:sz w:val="22"/>
          <w:szCs w:val="22"/>
        </w:rPr>
        <w:t>.</w:t>
      </w:r>
      <w:r w:rsidR="002A3E8C">
        <w:rPr>
          <w:sz w:val="22"/>
          <w:szCs w:val="22"/>
        </w:rPr>
        <w:t>S</w:t>
      </w:r>
      <w:r w:rsidR="00987C2F">
        <w:rPr>
          <w:sz w:val="22"/>
          <w:szCs w:val="22"/>
        </w:rPr>
        <w:t>.</w:t>
      </w:r>
      <w:r w:rsidR="002A3E8C">
        <w:rPr>
          <w:sz w:val="22"/>
          <w:szCs w:val="22"/>
        </w:rPr>
        <w:t>EPA-</w:t>
      </w:r>
      <w:r w:rsidR="002A3E8C">
        <w:rPr>
          <w:sz w:val="22"/>
          <w:szCs w:val="22"/>
        </w:rPr>
        <w:lastRenderedPageBreak/>
        <w:t xml:space="preserve">funded Clean Air Counts program in 2007-2009, the Caucus </w:t>
      </w:r>
      <w:r w:rsidR="00056EB8">
        <w:rPr>
          <w:sz w:val="22"/>
          <w:szCs w:val="22"/>
        </w:rPr>
        <w:t xml:space="preserve">successfully </w:t>
      </w:r>
      <w:r w:rsidR="002A3E8C">
        <w:rPr>
          <w:sz w:val="22"/>
          <w:szCs w:val="22"/>
        </w:rPr>
        <w:t xml:space="preserve">operated both residential-scale </w:t>
      </w:r>
      <w:r w:rsidR="00C2267E">
        <w:rPr>
          <w:sz w:val="22"/>
          <w:szCs w:val="22"/>
        </w:rPr>
        <w:t>gas can and lawn mower</w:t>
      </w:r>
      <w:r w:rsidR="002A3E8C">
        <w:rPr>
          <w:sz w:val="22"/>
          <w:szCs w:val="22"/>
        </w:rPr>
        <w:t xml:space="preserve"> exchange program</w:t>
      </w:r>
      <w:r w:rsidR="00A97A7F">
        <w:rPr>
          <w:sz w:val="22"/>
          <w:szCs w:val="22"/>
        </w:rPr>
        <w:t>,</w:t>
      </w:r>
      <w:r w:rsidR="002A3E8C">
        <w:rPr>
          <w:sz w:val="22"/>
          <w:szCs w:val="22"/>
        </w:rPr>
        <w:t xml:space="preserve"> and a DERA-funded school bus rebate program. </w:t>
      </w:r>
      <w:r w:rsidR="000B070F">
        <w:rPr>
          <w:sz w:val="22"/>
          <w:szCs w:val="22"/>
        </w:rPr>
        <w:t xml:space="preserve"> </w:t>
      </w:r>
    </w:p>
    <w:p w14:paraId="2D90FA83" w14:textId="77777777" w:rsidR="00A97A7F" w:rsidRDefault="00A97A7F" w:rsidP="00A97A7F">
      <w:pPr>
        <w:pStyle w:val="ListParagraph"/>
        <w:ind w:left="0"/>
        <w:rPr>
          <w:sz w:val="22"/>
          <w:szCs w:val="22"/>
        </w:rPr>
      </w:pPr>
    </w:p>
    <w:p w14:paraId="04A870EA" w14:textId="4F3242BC" w:rsidR="00F8693F" w:rsidRDefault="00B966B8" w:rsidP="00F8693F">
      <w:pPr>
        <w:pStyle w:val="ListParagraph"/>
        <w:ind w:left="0"/>
        <w:rPr>
          <w:sz w:val="22"/>
          <w:szCs w:val="22"/>
        </w:rPr>
      </w:pPr>
      <w:r>
        <w:rPr>
          <w:sz w:val="22"/>
          <w:szCs w:val="22"/>
        </w:rPr>
        <w:t xml:space="preserve">The reliance on tax credits in the IRA, and </w:t>
      </w:r>
      <w:r w:rsidR="00487332">
        <w:rPr>
          <w:sz w:val="22"/>
          <w:szCs w:val="22"/>
        </w:rPr>
        <w:t xml:space="preserve">on </w:t>
      </w:r>
      <w:r>
        <w:rPr>
          <w:sz w:val="22"/>
          <w:szCs w:val="22"/>
        </w:rPr>
        <w:t>rebates thorough the IRA, state</w:t>
      </w:r>
      <w:r w:rsidR="00FA7AE2">
        <w:rPr>
          <w:sz w:val="22"/>
          <w:szCs w:val="22"/>
        </w:rPr>
        <w:t>,</w:t>
      </w:r>
      <w:r>
        <w:rPr>
          <w:sz w:val="22"/>
          <w:szCs w:val="22"/>
        </w:rPr>
        <w:t xml:space="preserve"> and utility programs</w:t>
      </w:r>
      <w:r w:rsidR="00654CFD">
        <w:rPr>
          <w:sz w:val="22"/>
          <w:szCs w:val="22"/>
        </w:rPr>
        <w:t>,</w:t>
      </w:r>
      <w:r>
        <w:rPr>
          <w:sz w:val="22"/>
          <w:szCs w:val="22"/>
        </w:rPr>
        <w:t xml:space="preserve"> is the foundation of our assumption that financial incentives will drive consumers to purchase new zero emissions LGE.</w:t>
      </w:r>
      <w:r w:rsidR="00056EB8">
        <w:rPr>
          <w:sz w:val="22"/>
          <w:szCs w:val="22"/>
        </w:rPr>
        <w:t xml:space="preserve"> </w:t>
      </w:r>
      <w:r w:rsidR="00487332">
        <w:rPr>
          <w:sz w:val="22"/>
          <w:szCs w:val="22"/>
        </w:rPr>
        <w:t xml:space="preserve">Market research </w:t>
      </w:r>
      <w:r w:rsidR="00056EB8">
        <w:rPr>
          <w:sz w:val="22"/>
          <w:szCs w:val="22"/>
        </w:rPr>
        <w:t>underscore</w:t>
      </w:r>
      <w:r w:rsidR="00487332">
        <w:rPr>
          <w:sz w:val="22"/>
          <w:szCs w:val="22"/>
        </w:rPr>
        <w:t>s this assumption</w:t>
      </w:r>
      <w:r w:rsidR="00056EB8">
        <w:rPr>
          <w:sz w:val="22"/>
          <w:szCs w:val="22"/>
        </w:rPr>
        <w:t>.</w:t>
      </w:r>
      <w:r w:rsidR="00056EB8">
        <w:rPr>
          <w:rStyle w:val="FootnoteReference"/>
          <w:sz w:val="22"/>
          <w:szCs w:val="22"/>
        </w:rPr>
        <w:footnoteReference w:id="5"/>
      </w:r>
      <w:r w:rsidR="00056EB8">
        <w:rPr>
          <w:sz w:val="22"/>
          <w:szCs w:val="22"/>
        </w:rPr>
        <w:t xml:space="preserve"> </w:t>
      </w:r>
      <w:r>
        <w:rPr>
          <w:sz w:val="22"/>
          <w:szCs w:val="22"/>
        </w:rPr>
        <w:t xml:space="preserve"> We therefore propos</w:t>
      </w:r>
      <w:r w:rsidR="00487332">
        <w:rPr>
          <w:sz w:val="22"/>
          <w:szCs w:val="22"/>
        </w:rPr>
        <w:t>e</w:t>
      </w:r>
      <w:r>
        <w:rPr>
          <w:sz w:val="22"/>
          <w:szCs w:val="22"/>
        </w:rPr>
        <w:t xml:space="preserve"> </w:t>
      </w:r>
      <w:r w:rsidR="009B193C">
        <w:rPr>
          <w:sz w:val="22"/>
          <w:szCs w:val="22"/>
        </w:rPr>
        <w:t xml:space="preserve">to use rebates/incentives </w:t>
      </w:r>
      <w:r w:rsidRPr="00B966B8">
        <w:rPr>
          <w:sz w:val="22"/>
          <w:szCs w:val="22"/>
        </w:rPr>
        <w:t>to</w:t>
      </w:r>
      <w:r w:rsidR="009B193C">
        <w:rPr>
          <w:sz w:val="22"/>
          <w:szCs w:val="22"/>
        </w:rPr>
        <w:t xml:space="preserve"> drive ZEE </w:t>
      </w:r>
      <w:r w:rsidR="00487332">
        <w:rPr>
          <w:sz w:val="22"/>
          <w:szCs w:val="22"/>
        </w:rPr>
        <w:t xml:space="preserve">adoption to replace gas LGE </w:t>
      </w:r>
      <w:r w:rsidR="009B193C">
        <w:rPr>
          <w:sz w:val="22"/>
          <w:szCs w:val="22"/>
        </w:rPr>
        <w:t>to</w:t>
      </w:r>
      <w:r w:rsidRPr="00B966B8">
        <w:rPr>
          <w:sz w:val="22"/>
          <w:szCs w:val="22"/>
        </w:rPr>
        <w:t xml:space="preserve"> </w:t>
      </w:r>
      <w:r w:rsidR="00487332">
        <w:rPr>
          <w:sz w:val="22"/>
          <w:szCs w:val="22"/>
        </w:rPr>
        <w:t>achieve</w:t>
      </w:r>
      <w:r w:rsidRPr="00B966B8">
        <w:rPr>
          <w:sz w:val="22"/>
          <w:szCs w:val="22"/>
        </w:rPr>
        <w:t xml:space="preserve"> GHG reductions.</w:t>
      </w:r>
      <w:r>
        <w:rPr>
          <w:sz w:val="22"/>
          <w:szCs w:val="22"/>
        </w:rPr>
        <w:t xml:space="preserve"> </w:t>
      </w:r>
    </w:p>
    <w:p w14:paraId="27B21181" w14:textId="77777777" w:rsidR="00F8693F" w:rsidRDefault="00F8693F" w:rsidP="00F8693F">
      <w:pPr>
        <w:pStyle w:val="ListParagraph"/>
        <w:ind w:left="0"/>
        <w:rPr>
          <w:sz w:val="22"/>
          <w:szCs w:val="22"/>
        </w:rPr>
      </w:pPr>
    </w:p>
    <w:p w14:paraId="47AAB432" w14:textId="1BF2D08B" w:rsidR="000F2624" w:rsidRDefault="00FA7AE2" w:rsidP="00F8693F">
      <w:pPr>
        <w:pStyle w:val="ListParagraph"/>
        <w:ind w:left="0"/>
        <w:rPr>
          <w:sz w:val="22"/>
          <w:szCs w:val="22"/>
        </w:rPr>
      </w:pPr>
      <w:r>
        <w:rPr>
          <w:sz w:val="22"/>
          <w:szCs w:val="22"/>
        </w:rPr>
        <w:t xml:space="preserve">The Caucus partnered with </w:t>
      </w:r>
      <w:r w:rsidR="00B966B8">
        <w:rPr>
          <w:sz w:val="22"/>
          <w:szCs w:val="22"/>
        </w:rPr>
        <w:t xml:space="preserve">LADCO </w:t>
      </w:r>
      <w:r>
        <w:rPr>
          <w:sz w:val="22"/>
          <w:szCs w:val="22"/>
        </w:rPr>
        <w:t>to estimate</w:t>
      </w:r>
      <w:r w:rsidR="00FC2999">
        <w:rPr>
          <w:sz w:val="22"/>
          <w:szCs w:val="22"/>
        </w:rPr>
        <w:t xml:space="preserve"> </w:t>
      </w:r>
      <w:r w:rsidR="00FC2999" w:rsidRPr="00B966B8">
        <w:rPr>
          <w:sz w:val="22"/>
          <w:szCs w:val="22"/>
        </w:rPr>
        <w:t xml:space="preserve">LGE activity and GHG, CAP, and HAP emissions by county for the Chicago area </w:t>
      </w:r>
      <w:r w:rsidR="00B966B8">
        <w:rPr>
          <w:sz w:val="22"/>
          <w:szCs w:val="22"/>
        </w:rPr>
        <w:t xml:space="preserve">using </w:t>
      </w:r>
      <w:r w:rsidR="00B966B8" w:rsidRPr="00B966B8">
        <w:rPr>
          <w:sz w:val="22"/>
          <w:szCs w:val="22"/>
        </w:rPr>
        <w:t>the U.S. EPA Office of Transportation and Air Quality Motor Vehicle Emission Simulator: MOVES4</w:t>
      </w:r>
      <w:r w:rsidR="00FC2999">
        <w:rPr>
          <w:sz w:val="22"/>
          <w:szCs w:val="22"/>
        </w:rPr>
        <w:t xml:space="preserve"> </w:t>
      </w:r>
      <w:r w:rsidR="00B966B8">
        <w:rPr>
          <w:sz w:val="22"/>
          <w:szCs w:val="22"/>
        </w:rPr>
        <w:t xml:space="preserve">(See </w:t>
      </w:r>
      <w:r w:rsidR="00487332">
        <w:rPr>
          <w:sz w:val="22"/>
          <w:szCs w:val="22"/>
        </w:rPr>
        <w:t xml:space="preserve">Section 2A of this proposal and the </w:t>
      </w:r>
      <w:r w:rsidR="00B966B8">
        <w:rPr>
          <w:sz w:val="22"/>
          <w:szCs w:val="22"/>
        </w:rPr>
        <w:t>Technical Appendix).</w:t>
      </w:r>
      <w:r w:rsidR="00FC2999">
        <w:rPr>
          <w:sz w:val="22"/>
          <w:szCs w:val="22"/>
        </w:rPr>
        <w:t xml:space="preserve"> </w:t>
      </w:r>
    </w:p>
    <w:p w14:paraId="10970B14" w14:textId="77777777" w:rsidR="000F2624" w:rsidRDefault="000F2624" w:rsidP="00F8693F">
      <w:pPr>
        <w:pStyle w:val="ListParagraph"/>
        <w:ind w:left="0"/>
        <w:rPr>
          <w:sz w:val="22"/>
          <w:szCs w:val="22"/>
        </w:rPr>
      </w:pPr>
    </w:p>
    <w:p w14:paraId="222AA237" w14:textId="2CC7CB17" w:rsidR="00A24D9C" w:rsidRPr="00487332" w:rsidRDefault="00FC2999" w:rsidP="00F8693F">
      <w:pPr>
        <w:pStyle w:val="ListParagraph"/>
        <w:ind w:left="0"/>
        <w:rPr>
          <w:rFonts w:ascii="Calibri" w:hAnsi="Calibri" w:cs="Calibri"/>
          <w:sz w:val="22"/>
          <w:szCs w:val="22"/>
        </w:rPr>
      </w:pPr>
      <w:r w:rsidRPr="00487332">
        <w:rPr>
          <w:rFonts w:ascii="Calibri" w:hAnsi="Calibri" w:cs="Calibri"/>
          <w:sz w:val="22"/>
          <w:szCs w:val="22"/>
        </w:rPr>
        <w:t xml:space="preserve">Through this analysis, the project team prioritized residential mowers </w:t>
      </w:r>
      <w:r w:rsidR="00F8693F" w:rsidRPr="00487332">
        <w:rPr>
          <w:rFonts w:ascii="Calibri" w:hAnsi="Calibri" w:cs="Calibri"/>
          <w:sz w:val="22"/>
          <w:szCs w:val="22"/>
        </w:rPr>
        <w:t>[</w:t>
      </w:r>
      <w:r w:rsidR="00F8693F" w:rsidRPr="00487332">
        <w:rPr>
          <w:rFonts w:ascii="Calibri" w:hAnsi="Calibri" w:cs="Calibri"/>
          <w:i/>
          <w:iCs/>
          <w:sz w:val="22"/>
          <w:szCs w:val="22"/>
        </w:rPr>
        <w:t>4-Str Lawn mowers (res) and 4-Str Lawn &amp; Garden Tractors (res)</w:t>
      </w:r>
      <w:r w:rsidR="00F8693F" w:rsidRPr="00487332">
        <w:rPr>
          <w:rFonts w:ascii="Calibri" w:hAnsi="Calibri" w:cs="Calibri"/>
          <w:sz w:val="22"/>
          <w:szCs w:val="22"/>
        </w:rPr>
        <w:t>] which account for 82.04% of all CO2 emissions, 52.69% of VOC</w:t>
      </w:r>
      <w:r w:rsidR="00FA7AE2">
        <w:rPr>
          <w:rFonts w:ascii="Calibri" w:hAnsi="Calibri" w:cs="Calibri"/>
          <w:sz w:val="22"/>
          <w:szCs w:val="22"/>
        </w:rPr>
        <w:t xml:space="preserve"> emissions</w:t>
      </w:r>
      <w:r w:rsidR="00F8693F" w:rsidRPr="00487332">
        <w:rPr>
          <w:rFonts w:ascii="Calibri" w:hAnsi="Calibri" w:cs="Calibri"/>
          <w:sz w:val="22"/>
          <w:szCs w:val="22"/>
        </w:rPr>
        <w:t>, and</w:t>
      </w:r>
      <w:r w:rsidR="009A15E1" w:rsidRPr="00487332">
        <w:rPr>
          <w:rFonts w:ascii="Calibri" w:hAnsi="Calibri" w:cs="Calibri"/>
          <w:sz w:val="22"/>
          <w:szCs w:val="22"/>
        </w:rPr>
        <w:t xml:space="preserve"> 79.20</w:t>
      </w:r>
      <w:r w:rsidR="00FA7AE2">
        <w:rPr>
          <w:rFonts w:ascii="Calibri" w:hAnsi="Calibri" w:cs="Calibri"/>
          <w:sz w:val="22"/>
          <w:szCs w:val="22"/>
        </w:rPr>
        <w:t>%</w:t>
      </w:r>
      <w:r w:rsidR="009A15E1" w:rsidRPr="00487332">
        <w:rPr>
          <w:rFonts w:ascii="Calibri" w:hAnsi="Calibri" w:cs="Calibri"/>
          <w:sz w:val="22"/>
          <w:szCs w:val="22"/>
        </w:rPr>
        <w:t xml:space="preserve"> </w:t>
      </w:r>
      <w:r w:rsidR="00FA7AE2">
        <w:rPr>
          <w:rFonts w:ascii="Calibri" w:hAnsi="Calibri" w:cs="Calibri"/>
          <w:sz w:val="22"/>
          <w:szCs w:val="22"/>
        </w:rPr>
        <w:t xml:space="preserve">of </w:t>
      </w:r>
      <w:r w:rsidR="009A15E1" w:rsidRPr="00487332">
        <w:rPr>
          <w:rFonts w:ascii="Calibri" w:hAnsi="Calibri" w:cs="Calibri"/>
          <w:sz w:val="22"/>
          <w:szCs w:val="22"/>
        </w:rPr>
        <w:t>NOx</w:t>
      </w:r>
      <w:r w:rsidR="00FA7AE2">
        <w:rPr>
          <w:rFonts w:ascii="Calibri" w:hAnsi="Calibri" w:cs="Calibri"/>
          <w:sz w:val="22"/>
          <w:szCs w:val="22"/>
        </w:rPr>
        <w:t xml:space="preserve"> emissions</w:t>
      </w:r>
      <w:r w:rsidR="009A15E1" w:rsidRPr="00487332">
        <w:rPr>
          <w:rFonts w:ascii="Calibri" w:hAnsi="Calibri" w:cs="Calibri"/>
          <w:sz w:val="22"/>
          <w:szCs w:val="22"/>
        </w:rPr>
        <w:t xml:space="preserve"> from</w:t>
      </w:r>
      <w:r w:rsidR="00F8693F" w:rsidRPr="00487332">
        <w:rPr>
          <w:rFonts w:ascii="Calibri" w:hAnsi="Calibri" w:cs="Calibri"/>
          <w:sz w:val="22"/>
          <w:szCs w:val="22"/>
        </w:rPr>
        <w:t xml:space="preserve"> residential LGE</w:t>
      </w:r>
      <w:r w:rsidR="009A15E1" w:rsidRPr="00487332">
        <w:rPr>
          <w:rFonts w:ascii="Calibri" w:hAnsi="Calibri" w:cs="Calibri"/>
          <w:sz w:val="22"/>
          <w:szCs w:val="22"/>
        </w:rPr>
        <w:t>.</w:t>
      </w:r>
      <w:r w:rsidR="000F2624" w:rsidRPr="00487332">
        <w:rPr>
          <w:rFonts w:ascii="Calibri" w:hAnsi="Calibri" w:cs="Calibri"/>
          <w:sz w:val="22"/>
          <w:szCs w:val="22"/>
        </w:rPr>
        <w:t xml:space="preserve"> </w:t>
      </w:r>
      <w:r w:rsidR="0090600A" w:rsidRPr="00487332">
        <w:rPr>
          <w:rFonts w:ascii="Calibri" w:eastAsia="Times New Roman" w:hAnsi="Calibri" w:cs="Calibri"/>
          <w:sz w:val="22"/>
          <w:szCs w:val="22"/>
        </w:rPr>
        <w:t>A</w:t>
      </w:r>
      <w:r w:rsidR="00A24D9C" w:rsidRPr="00487332">
        <w:rPr>
          <w:rFonts w:ascii="Calibri" w:eastAsia="Times New Roman" w:hAnsi="Calibri" w:cs="Calibri"/>
          <w:sz w:val="22"/>
          <w:szCs w:val="22"/>
        </w:rPr>
        <w:t xml:space="preserve">cross all categories there are 5.5x more residential </w:t>
      </w:r>
      <w:r w:rsidR="00FA7AE2">
        <w:rPr>
          <w:rFonts w:ascii="Calibri" w:eastAsia="Times New Roman" w:hAnsi="Calibri" w:cs="Calibri"/>
          <w:sz w:val="22"/>
          <w:szCs w:val="22"/>
        </w:rPr>
        <w:t xml:space="preserve">LGE </w:t>
      </w:r>
      <w:r w:rsidR="00A24D9C" w:rsidRPr="00487332">
        <w:rPr>
          <w:rFonts w:ascii="Calibri" w:eastAsia="Times New Roman" w:hAnsi="Calibri" w:cs="Calibri"/>
          <w:sz w:val="22"/>
          <w:szCs w:val="22"/>
        </w:rPr>
        <w:t>units than commercial units</w:t>
      </w:r>
      <w:r w:rsidR="0090600A" w:rsidRPr="00487332">
        <w:rPr>
          <w:rFonts w:ascii="Calibri" w:eastAsia="Times New Roman" w:hAnsi="Calibri" w:cs="Calibri"/>
          <w:sz w:val="22"/>
          <w:szCs w:val="22"/>
        </w:rPr>
        <w:t>.</w:t>
      </w:r>
      <w:r w:rsidR="00A24D9C" w:rsidRPr="00487332">
        <w:rPr>
          <w:rFonts w:ascii="Calibri" w:hAnsi="Calibri" w:cs="Calibri"/>
          <w:sz w:val="22"/>
          <w:szCs w:val="22"/>
        </w:rPr>
        <w:t xml:space="preserve"> </w:t>
      </w:r>
    </w:p>
    <w:p w14:paraId="49C230D5" w14:textId="77777777" w:rsidR="00A24D9C" w:rsidRDefault="00A24D9C" w:rsidP="00F8693F">
      <w:pPr>
        <w:pStyle w:val="ListParagraph"/>
        <w:ind w:left="0"/>
        <w:rPr>
          <w:sz w:val="22"/>
          <w:szCs w:val="22"/>
        </w:rPr>
      </w:pPr>
    </w:p>
    <w:p w14:paraId="1D86C727" w14:textId="1F24ED14" w:rsidR="00A97A7F" w:rsidRDefault="000F2624" w:rsidP="00F8693F">
      <w:pPr>
        <w:pStyle w:val="ListParagraph"/>
        <w:ind w:left="0"/>
        <w:rPr>
          <w:sz w:val="22"/>
          <w:szCs w:val="22"/>
        </w:rPr>
      </w:pPr>
      <w:r>
        <w:rPr>
          <w:sz w:val="22"/>
          <w:szCs w:val="22"/>
        </w:rPr>
        <w:t xml:space="preserve">Through consultation with five solid waste agencies and the Illinois Sustainable Technology </w:t>
      </w:r>
      <w:r w:rsidR="007D3DA2">
        <w:rPr>
          <w:sz w:val="22"/>
          <w:szCs w:val="22"/>
        </w:rPr>
        <w:t>C</w:t>
      </w:r>
      <w:r>
        <w:rPr>
          <w:sz w:val="22"/>
          <w:szCs w:val="22"/>
        </w:rPr>
        <w:t xml:space="preserve">enter who have expertise in </w:t>
      </w:r>
      <w:r w:rsidR="00487332">
        <w:rPr>
          <w:sz w:val="22"/>
          <w:szCs w:val="22"/>
        </w:rPr>
        <w:t xml:space="preserve">household </w:t>
      </w:r>
      <w:r>
        <w:rPr>
          <w:sz w:val="22"/>
          <w:szCs w:val="22"/>
        </w:rPr>
        <w:t xml:space="preserve">hazardous waste </w:t>
      </w:r>
      <w:r w:rsidR="00487332">
        <w:rPr>
          <w:sz w:val="22"/>
          <w:szCs w:val="22"/>
        </w:rPr>
        <w:t xml:space="preserve">(HHW) </w:t>
      </w:r>
      <w:r>
        <w:rPr>
          <w:sz w:val="22"/>
          <w:szCs w:val="22"/>
        </w:rPr>
        <w:t xml:space="preserve">disposal and residential drop-off recycling events, </w:t>
      </w:r>
      <w:r w:rsidR="007D3DA2">
        <w:rPr>
          <w:sz w:val="22"/>
          <w:szCs w:val="22"/>
        </w:rPr>
        <w:t xml:space="preserve">we propose </w:t>
      </w:r>
      <w:r w:rsidR="009B193C">
        <w:rPr>
          <w:sz w:val="22"/>
          <w:szCs w:val="22"/>
        </w:rPr>
        <w:t>to</w:t>
      </w:r>
      <w:r w:rsidR="00225171">
        <w:rPr>
          <w:sz w:val="22"/>
          <w:szCs w:val="22"/>
        </w:rPr>
        <w:t xml:space="preserve"> </w:t>
      </w:r>
      <w:r>
        <w:rPr>
          <w:sz w:val="22"/>
          <w:szCs w:val="22"/>
        </w:rPr>
        <w:t xml:space="preserve">collect residential gas mowers through one-day </w:t>
      </w:r>
      <w:r w:rsidR="00487332">
        <w:rPr>
          <w:sz w:val="22"/>
          <w:szCs w:val="22"/>
        </w:rPr>
        <w:t>buy</w:t>
      </w:r>
      <w:r>
        <w:rPr>
          <w:sz w:val="22"/>
          <w:szCs w:val="22"/>
        </w:rPr>
        <w:t xml:space="preserve"> back</w:t>
      </w:r>
      <w:r w:rsidR="00487332">
        <w:rPr>
          <w:sz w:val="22"/>
          <w:szCs w:val="22"/>
        </w:rPr>
        <w:t>/take back</w:t>
      </w:r>
      <w:r>
        <w:rPr>
          <w:sz w:val="22"/>
          <w:szCs w:val="22"/>
        </w:rPr>
        <w:t xml:space="preserve"> events to be operated periodically throughout the region</w:t>
      </w:r>
      <w:r w:rsidR="00487332">
        <w:rPr>
          <w:sz w:val="22"/>
          <w:szCs w:val="22"/>
        </w:rPr>
        <w:t xml:space="preserve">, </w:t>
      </w:r>
      <w:r>
        <w:rPr>
          <w:sz w:val="22"/>
          <w:szCs w:val="22"/>
        </w:rPr>
        <w:t xml:space="preserve">with a focus on service to LIDAC.  </w:t>
      </w:r>
      <w:r w:rsidR="00262B59">
        <w:rPr>
          <w:sz w:val="22"/>
          <w:szCs w:val="22"/>
        </w:rPr>
        <w:t>Program participants will be given a voucher</w:t>
      </w:r>
      <w:r w:rsidR="00487332">
        <w:rPr>
          <w:sz w:val="22"/>
          <w:szCs w:val="22"/>
        </w:rPr>
        <w:t xml:space="preserve"> or rebate</w:t>
      </w:r>
      <w:r w:rsidR="00262B59">
        <w:rPr>
          <w:sz w:val="22"/>
          <w:szCs w:val="22"/>
        </w:rPr>
        <w:t xml:space="preserve"> to be used to purchase </w:t>
      </w:r>
      <w:r w:rsidR="00487332">
        <w:rPr>
          <w:sz w:val="22"/>
          <w:szCs w:val="22"/>
        </w:rPr>
        <w:t xml:space="preserve">a </w:t>
      </w:r>
      <w:r w:rsidR="00262B59">
        <w:rPr>
          <w:sz w:val="22"/>
          <w:szCs w:val="22"/>
        </w:rPr>
        <w:t>replacement clean electric mower.</w:t>
      </w:r>
    </w:p>
    <w:p w14:paraId="67A0C194" w14:textId="77777777" w:rsidR="00A24D9C" w:rsidRDefault="00A24D9C" w:rsidP="00F8693F">
      <w:pPr>
        <w:pStyle w:val="ListParagraph"/>
        <w:ind w:left="0"/>
        <w:rPr>
          <w:sz w:val="22"/>
          <w:szCs w:val="22"/>
        </w:rPr>
      </w:pPr>
    </w:p>
    <w:p w14:paraId="41B165AD" w14:textId="240B1583" w:rsidR="0090600A" w:rsidRPr="0090600A" w:rsidRDefault="009A15E1" w:rsidP="0090600A">
      <w:pPr>
        <w:pStyle w:val="xmsonormal2"/>
        <w:spacing w:before="0" w:beforeAutospacing="0" w:after="0" w:afterAutospacing="0"/>
        <w:rPr>
          <w:rFonts w:eastAsia="Times New Roman"/>
        </w:rPr>
      </w:pPr>
      <w:r w:rsidRPr="0090600A">
        <w:t>LADCO</w:t>
      </w:r>
      <w:r w:rsidR="00FA7AE2">
        <w:t>’s analysis also found that a</w:t>
      </w:r>
      <w:r w:rsidR="0090600A" w:rsidRPr="0090600A">
        <w:t xml:space="preserve">cross all </w:t>
      </w:r>
      <w:r w:rsidR="004B0864">
        <w:t xml:space="preserve">equipment </w:t>
      </w:r>
      <w:r w:rsidR="0090600A" w:rsidRPr="0090600A">
        <w:t xml:space="preserve">categories commercial </w:t>
      </w:r>
      <w:r w:rsidR="004B0864">
        <w:t>LGE</w:t>
      </w:r>
      <w:r w:rsidR="004B0864" w:rsidRPr="0090600A">
        <w:t xml:space="preserve"> </w:t>
      </w:r>
      <w:r w:rsidR="0090600A" w:rsidRPr="0090600A">
        <w:t xml:space="preserve">has 3.6x more use hours than residential units. </w:t>
      </w:r>
      <w:r w:rsidR="004B0864">
        <w:t>The high duty cycles of c</w:t>
      </w:r>
      <w:r w:rsidR="0090600A" w:rsidRPr="0090600A">
        <w:t xml:space="preserve">ommercial equipment </w:t>
      </w:r>
      <w:r w:rsidR="00DE2D29">
        <w:t>result</w:t>
      </w:r>
      <w:r w:rsidR="004B0864">
        <w:t xml:space="preserve"> in </w:t>
      </w:r>
      <w:r w:rsidR="0090600A" w:rsidRPr="0090600A">
        <w:t>5.3x, 7.1x, and 4.8x the emissions for CO2, NOx, and VOC respectively</w:t>
      </w:r>
      <w:r w:rsidR="004B0864">
        <w:t>,</w:t>
      </w:r>
      <w:r w:rsidR="0090600A" w:rsidRPr="0090600A">
        <w:t xml:space="preserve"> relative to residential. </w:t>
      </w:r>
    </w:p>
    <w:p w14:paraId="79F26F8F" w14:textId="77777777" w:rsidR="0090600A" w:rsidRDefault="0090600A" w:rsidP="00F8693F">
      <w:pPr>
        <w:pStyle w:val="ListParagraph"/>
        <w:ind w:left="0"/>
        <w:rPr>
          <w:sz w:val="22"/>
          <w:szCs w:val="22"/>
        </w:rPr>
      </w:pPr>
    </w:p>
    <w:p w14:paraId="3A8433B8" w14:textId="584510AA" w:rsidR="00487332" w:rsidRDefault="00BA1BBC" w:rsidP="00F8693F">
      <w:pPr>
        <w:pStyle w:val="ListParagraph"/>
        <w:ind w:left="0"/>
        <w:rPr>
          <w:sz w:val="22"/>
          <w:szCs w:val="22"/>
        </w:rPr>
      </w:pPr>
      <w:r>
        <w:rPr>
          <w:sz w:val="22"/>
          <w:szCs w:val="22"/>
        </w:rPr>
        <w:t>This</w:t>
      </w:r>
      <w:r w:rsidR="004B0864">
        <w:rPr>
          <w:sz w:val="22"/>
          <w:szCs w:val="22"/>
        </w:rPr>
        <w:t xml:space="preserve"> analysis</w:t>
      </w:r>
      <w:r>
        <w:rPr>
          <w:sz w:val="22"/>
          <w:szCs w:val="22"/>
        </w:rPr>
        <w:t xml:space="preserve"> identified commercial riding mowers and tractors </w:t>
      </w:r>
      <w:r w:rsidR="00535F37">
        <w:rPr>
          <w:sz w:val="22"/>
          <w:szCs w:val="22"/>
        </w:rPr>
        <w:t>[</w:t>
      </w:r>
      <w:r w:rsidR="006717C1" w:rsidRPr="00487332">
        <w:rPr>
          <w:i/>
          <w:iCs/>
          <w:sz w:val="22"/>
          <w:szCs w:val="22"/>
        </w:rPr>
        <w:t>4-Str Commercial Turf Equipment (com) and 4-Str Lawn &amp; Garden Tractors (com)</w:t>
      </w:r>
      <w:r w:rsidR="006717C1">
        <w:rPr>
          <w:sz w:val="22"/>
          <w:szCs w:val="22"/>
        </w:rPr>
        <w:t>]</w:t>
      </w:r>
      <w:r w:rsidR="00535F37">
        <w:rPr>
          <w:sz w:val="22"/>
          <w:szCs w:val="22"/>
        </w:rPr>
        <w:t xml:space="preserve"> </w:t>
      </w:r>
      <w:r>
        <w:rPr>
          <w:sz w:val="22"/>
          <w:szCs w:val="22"/>
        </w:rPr>
        <w:t xml:space="preserve">as the source of the greatest emissions in the commercial LGE category. These </w:t>
      </w:r>
      <w:r w:rsidR="004B0864">
        <w:rPr>
          <w:sz w:val="22"/>
          <w:szCs w:val="22"/>
        </w:rPr>
        <w:t>categories account for</w:t>
      </w:r>
      <w:r w:rsidR="006E0A09">
        <w:rPr>
          <w:sz w:val="22"/>
          <w:szCs w:val="22"/>
        </w:rPr>
        <w:t xml:space="preserve"> </w:t>
      </w:r>
      <w:r w:rsidR="006E0A09" w:rsidRPr="006E0A09">
        <w:rPr>
          <w:sz w:val="22"/>
          <w:szCs w:val="22"/>
        </w:rPr>
        <w:t>50.89</w:t>
      </w:r>
      <w:r>
        <w:rPr>
          <w:sz w:val="22"/>
          <w:szCs w:val="22"/>
        </w:rPr>
        <w:t xml:space="preserve"> % of CO2 emissions, </w:t>
      </w:r>
      <w:r w:rsidR="006E0A09" w:rsidRPr="006E0A09">
        <w:rPr>
          <w:sz w:val="22"/>
          <w:szCs w:val="22"/>
        </w:rPr>
        <w:t>37.88%</w:t>
      </w:r>
      <w:r>
        <w:rPr>
          <w:sz w:val="22"/>
          <w:szCs w:val="22"/>
        </w:rPr>
        <w:t xml:space="preserve"> of VOC</w:t>
      </w:r>
      <w:r w:rsidR="004B0864">
        <w:rPr>
          <w:sz w:val="22"/>
          <w:szCs w:val="22"/>
        </w:rPr>
        <w:t xml:space="preserve"> emissions</w:t>
      </w:r>
      <w:r>
        <w:rPr>
          <w:sz w:val="22"/>
          <w:szCs w:val="22"/>
        </w:rPr>
        <w:t xml:space="preserve">, </w:t>
      </w:r>
      <w:r w:rsidR="00535F37">
        <w:rPr>
          <w:sz w:val="22"/>
          <w:szCs w:val="22"/>
        </w:rPr>
        <w:t>and 21.72</w:t>
      </w:r>
      <w:r w:rsidR="006E0A09" w:rsidRPr="006E0A09">
        <w:rPr>
          <w:sz w:val="22"/>
          <w:szCs w:val="22"/>
        </w:rPr>
        <w:t>%</w:t>
      </w:r>
      <w:r w:rsidR="004B0864">
        <w:rPr>
          <w:sz w:val="22"/>
          <w:szCs w:val="22"/>
        </w:rPr>
        <w:t xml:space="preserve"> of </w:t>
      </w:r>
      <w:r>
        <w:rPr>
          <w:sz w:val="22"/>
          <w:szCs w:val="22"/>
        </w:rPr>
        <w:t>NOx</w:t>
      </w:r>
      <w:r w:rsidR="004B0864">
        <w:rPr>
          <w:sz w:val="22"/>
          <w:szCs w:val="22"/>
        </w:rPr>
        <w:t xml:space="preserve"> emissions</w:t>
      </w:r>
      <w:r w:rsidR="006E0A09">
        <w:rPr>
          <w:sz w:val="22"/>
          <w:szCs w:val="22"/>
        </w:rPr>
        <w:t xml:space="preserve"> in the commercial LGE category.  </w:t>
      </w:r>
    </w:p>
    <w:p w14:paraId="121D6911" w14:textId="77777777" w:rsidR="00487332" w:rsidRDefault="00487332" w:rsidP="00F8693F">
      <w:pPr>
        <w:pStyle w:val="ListParagraph"/>
        <w:ind w:left="0"/>
        <w:rPr>
          <w:sz w:val="22"/>
          <w:szCs w:val="22"/>
        </w:rPr>
      </w:pPr>
    </w:p>
    <w:p w14:paraId="1052323F" w14:textId="47F027BE" w:rsidR="009A15E1" w:rsidRDefault="00535F37" w:rsidP="00F8693F">
      <w:pPr>
        <w:pStyle w:val="ListParagraph"/>
        <w:ind w:left="0"/>
        <w:rPr>
          <w:sz w:val="22"/>
          <w:szCs w:val="22"/>
        </w:rPr>
      </w:pPr>
      <w:r>
        <w:rPr>
          <w:sz w:val="22"/>
          <w:szCs w:val="22"/>
        </w:rPr>
        <w:t xml:space="preserve">However, selecting from the diversity of LGE equipment in the commercial sector </w:t>
      </w:r>
      <w:r w:rsidR="000E547A">
        <w:rPr>
          <w:sz w:val="22"/>
          <w:szCs w:val="22"/>
        </w:rPr>
        <w:t>must</w:t>
      </w:r>
      <w:r>
        <w:rPr>
          <w:sz w:val="22"/>
          <w:szCs w:val="22"/>
        </w:rPr>
        <w:t xml:space="preserve"> also be based on equipment performance, availability, charging needs, power equivalencies, noise, ease of use and feasibility in the commercial setting.  Due to the community pressure to ban or phase out gas-powered leaf blowers</w:t>
      </w:r>
      <w:r w:rsidR="006717C1">
        <w:rPr>
          <w:sz w:val="22"/>
          <w:szCs w:val="22"/>
        </w:rPr>
        <w:t xml:space="preserve">, </w:t>
      </w:r>
      <w:r w:rsidR="000524EF">
        <w:rPr>
          <w:sz w:val="22"/>
          <w:szCs w:val="22"/>
        </w:rPr>
        <w:t xml:space="preserve">adoption of </w:t>
      </w:r>
      <w:r w:rsidR="00AD79D6">
        <w:rPr>
          <w:sz w:val="22"/>
          <w:szCs w:val="22"/>
        </w:rPr>
        <w:t>electric</w:t>
      </w:r>
      <w:r w:rsidR="000524EF">
        <w:rPr>
          <w:sz w:val="22"/>
          <w:szCs w:val="22"/>
        </w:rPr>
        <w:t xml:space="preserve"> leaf blowers </w:t>
      </w:r>
      <w:r w:rsidR="00C07BC4">
        <w:rPr>
          <w:sz w:val="22"/>
          <w:szCs w:val="22"/>
        </w:rPr>
        <w:t>may</w:t>
      </w:r>
      <w:r w:rsidR="000524EF">
        <w:rPr>
          <w:sz w:val="22"/>
          <w:szCs w:val="22"/>
        </w:rPr>
        <w:t xml:space="preserve"> be the most rapid among “hand-held” or smaller types of LGE. </w:t>
      </w:r>
      <w:r w:rsidR="00C07BC4">
        <w:rPr>
          <w:sz w:val="22"/>
          <w:szCs w:val="22"/>
        </w:rPr>
        <w:t xml:space="preserve">The HAP emissions just from commercial leaf blowers is significant, too. The proportion of emissions from gasoline leaf blowers is </w:t>
      </w:r>
      <w:r w:rsidR="00C07BC4" w:rsidRPr="00C54066">
        <w:rPr>
          <w:sz w:val="22"/>
          <w:szCs w:val="22"/>
        </w:rPr>
        <w:t>2.06%</w:t>
      </w:r>
      <w:r w:rsidR="00C07BC4">
        <w:rPr>
          <w:sz w:val="22"/>
          <w:szCs w:val="22"/>
        </w:rPr>
        <w:t xml:space="preserve"> of CO2 emissions, </w:t>
      </w:r>
      <w:bookmarkStart w:id="1" w:name="_Hlk162827335"/>
      <w:r w:rsidR="00C07BC4">
        <w:rPr>
          <w:sz w:val="22"/>
          <w:szCs w:val="22"/>
        </w:rPr>
        <w:t>1.73</w:t>
      </w:r>
      <w:r w:rsidR="00C07BC4" w:rsidRPr="006E0A09">
        <w:rPr>
          <w:sz w:val="22"/>
          <w:szCs w:val="22"/>
        </w:rPr>
        <w:t>%</w:t>
      </w:r>
      <w:r w:rsidR="00C07BC4">
        <w:rPr>
          <w:sz w:val="22"/>
          <w:szCs w:val="22"/>
        </w:rPr>
        <w:t xml:space="preserve"> </w:t>
      </w:r>
      <w:bookmarkEnd w:id="1"/>
      <w:r w:rsidR="00C07BC4">
        <w:rPr>
          <w:sz w:val="22"/>
          <w:szCs w:val="22"/>
        </w:rPr>
        <w:t>of VOC emissions, 10.90</w:t>
      </w:r>
      <w:r w:rsidR="00C07BC4" w:rsidRPr="006E0A09">
        <w:rPr>
          <w:sz w:val="22"/>
          <w:szCs w:val="22"/>
        </w:rPr>
        <w:t>%</w:t>
      </w:r>
      <w:r w:rsidR="00C07BC4">
        <w:rPr>
          <w:sz w:val="22"/>
          <w:szCs w:val="22"/>
        </w:rPr>
        <w:t xml:space="preserve"> of NOx emissions, and 10.90% of HAP emissions in the commercial LGE category. </w:t>
      </w:r>
      <w:r w:rsidR="00C07BC4">
        <w:rPr>
          <w:sz w:val="22"/>
          <w:szCs w:val="22"/>
        </w:rPr>
        <w:t>However,</w:t>
      </w:r>
      <w:r w:rsidR="00C07BC4">
        <w:rPr>
          <w:sz w:val="22"/>
          <w:szCs w:val="22"/>
        </w:rPr>
        <w:t xml:space="preserve"> ILCA also advises that current models of commercial electric leaf blowers do not perform well with heavy spring and fall workloads. Contractors may still require supplemental seasonal use of gasoline powered leaf blowers.  </w:t>
      </w:r>
      <w:r w:rsidR="002B3123">
        <w:rPr>
          <w:sz w:val="22"/>
          <w:szCs w:val="22"/>
        </w:rPr>
        <w:t xml:space="preserve">Commercial electric chainsaws perform well and are likely to be adopted. </w:t>
      </w:r>
    </w:p>
    <w:p w14:paraId="7EF26B74" w14:textId="6893FB54" w:rsidR="00AB24A9" w:rsidRDefault="00AB24A9" w:rsidP="00F8693F">
      <w:pPr>
        <w:pStyle w:val="ListParagraph"/>
        <w:ind w:left="0"/>
        <w:rPr>
          <w:sz w:val="22"/>
          <w:szCs w:val="22"/>
        </w:rPr>
      </w:pPr>
    </w:p>
    <w:p w14:paraId="5EFAEF40" w14:textId="18121728" w:rsidR="00AB24A9" w:rsidRDefault="00AB24A9" w:rsidP="00F8693F">
      <w:pPr>
        <w:pStyle w:val="ListParagraph"/>
        <w:ind w:left="0"/>
        <w:rPr>
          <w:sz w:val="22"/>
          <w:szCs w:val="22"/>
        </w:rPr>
      </w:pPr>
      <w:r w:rsidRPr="00487332">
        <w:rPr>
          <w:sz w:val="22"/>
          <w:szCs w:val="22"/>
        </w:rPr>
        <w:t xml:space="preserve">Though consultation with </w:t>
      </w:r>
      <w:r w:rsidR="00D979A7" w:rsidRPr="00487332">
        <w:rPr>
          <w:sz w:val="22"/>
          <w:szCs w:val="22"/>
        </w:rPr>
        <w:t xml:space="preserve">the </w:t>
      </w:r>
      <w:hyperlink r:id="rId17" w:history="1">
        <w:r w:rsidR="00D979A7" w:rsidRPr="002C737B">
          <w:rPr>
            <w:rStyle w:val="Hyperlink"/>
            <w:sz w:val="22"/>
            <w:szCs w:val="22"/>
          </w:rPr>
          <w:t>American Gre</w:t>
        </w:r>
        <w:r w:rsidR="00D979A7" w:rsidRPr="002C737B">
          <w:rPr>
            <w:rStyle w:val="Hyperlink"/>
            <w:sz w:val="22"/>
            <w:szCs w:val="22"/>
          </w:rPr>
          <w:t>e</w:t>
        </w:r>
        <w:r w:rsidR="00D979A7" w:rsidRPr="002C737B">
          <w:rPr>
            <w:rStyle w:val="Hyperlink"/>
            <w:sz w:val="22"/>
            <w:szCs w:val="22"/>
          </w:rPr>
          <w:t>n Zone Alliance</w:t>
        </w:r>
      </w:hyperlink>
      <w:r w:rsidR="00D979A7" w:rsidRPr="00487332">
        <w:rPr>
          <w:sz w:val="22"/>
          <w:szCs w:val="22"/>
        </w:rPr>
        <w:t xml:space="preserve"> (</w:t>
      </w:r>
      <w:r w:rsidRPr="00487332">
        <w:rPr>
          <w:sz w:val="22"/>
          <w:szCs w:val="22"/>
        </w:rPr>
        <w:t>AGZA</w:t>
      </w:r>
      <w:r w:rsidR="00D979A7" w:rsidRPr="00487332">
        <w:rPr>
          <w:sz w:val="22"/>
          <w:szCs w:val="22"/>
        </w:rPr>
        <w:t>)</w:t>
      </w:r>
      <w:r w:rsidRPr="00487332">
        <w:rPr>
          <w:sz w:val="22"/>
          <w:szCs w:val="22"/>
        </w:rPr>
        <w:t>,</w:t>
      </w:r>
      <w:r w:rsidR="00487332">
        <w:rPr>
          <w:sz w:val="22"/>
          <w:szCs w:val="22"/>
        </w:rPr>
        <w:t xml:space="preserve"> a national organization with deep expertise in landscape equipment electrification</w:t>
      </w:r>
      <w:r w:rsidR="004B0864">
        <w:rPr>
          <w:sz w:val="22"/>
          <w:szCs w:val="22"/>
        </w:rPr>
        <w:t xml:space="preserve">, </w:t>
      </w:r>
      <w:r w:rsidRPr="00487332">
        <w:rPr>
          <w:sz w:val="22"/>
          <w:szCs w:val="22"/>
        </w:rPr>
        <w:t>ILCA</w:t>
      </w:r>
      <w:r w:rsidR="004B0864">
        <w:rPr>
          <w:sz w:val="22"/>
          <w:szCs w:val="22"/>
        </w:rPr>
        <w:t>,</w:t>
      </w:r>
      <w:r w:rsidR="00487332">
        <w:rPr>
          <w:sz w:val="22"/>
          <w:szCs w:val="22"/>
        </w:rPr>
        <w:t xml:space="preserve"> </w:t>
      </w:r>
      <w:r w:rsidRPr="00487332">
        <w:rPr>
          <w:sz w:val="22"/>
          <w:szCs w:val="22"/>
        </w:rPr>
        <w:t>and</w:t>
      </w:r>
      <w:r w:rsidR="00487332">
        <w:rPr>
          <w:sz w:val="22"/>
          <w:szCs w:val="22"/>
        </w:rPr>
        <w:t xml:space="preserve"> </w:t>
      </w:r>
      <w:r w:rsidR="00D979A7" w:rsidRPr="00487332">
        <w:rPr>
          <w:sz w:val="22"/>
          <w:szCs w:val="22"/>
        </w:rPr>
        <w:t xml:space="preserve">Farmworkers and Landscape Advocacy </w:t>
      </w:r>
      <w:r w:rsidR="00D979A7" w:rsidRPr="00487332">
        <w:rPr>
          <w:sz w:val="22"/>
          <w:szCs w:val="22"/>
        </w:rPr>
        <w:lastRenderedPageBreak/>
        <w:t>Project (FLAP)</w:t>
      </w:r>
      <w:r w:rsidRPr="00487332">
        <w:rPr>
          <w:sz w:val="22"/>
          <w:szCs w:val="22"/>
        </w:rPr>
        <w:t xml:space="preserve"> </w:t>
      </w:r>
      <w:r w:rsidR="009B193C" w:rsidRPr="00487332">
        <w:rPr>
          <w:sz w:val="22"/>
          <w:szCs w:val="22"/>
        </w:rPr>
        <w:t>we</w:t>
      </w:r>
      <w:r w:rsidRPr="00487332">
        <w:rPr>
          <w:sz w:val="22"/>
          <w:szCs w:val="22"/>
        </w:rPr>
        <w:t xml:space="preserve"> propose to operate commercial equipment buy-back events </w:t>
      </w:r>
      <w:r w:rsidR="009B193C" w:rsidRPr="00487332">
        <w:rPr>
          <w:sz w:val="22"/>
          <w:szCs w:val="22"/>
        </w:rPr>
        <w:t>in conjunction with</w:t>
      </w:r>
      <w:r w:rsidRPr="00487332">
        <w:rPr>
          <w:sz w:val="22"/>
          <w:szCs w:val="22"/>
        </w:rPr>
        <w:t xml:space="preserve"> specialized industry events for professional landscaping companies</w:t>
      </w:r>
      <w:r w:rsidR="009B193C" w:rsidRPr="00487332">
        <w:rPr>
          <w:sz w:val="22"/>
          <w:szCs w:val="22"/>
        </w:rPr>
        <w:t>,</w:t>
      </w:r>
      <w:r w:rsidRPr="00487332">
        <w:rPr>
          <w:sz w:val="22"/>
          <w:szCs w:val="22"/>
        </w:rPr>
        <w:t xml:space="preserve"> and community-focused events for small, Latino-owned landscape</w:t>
      </w:r>
      <w:r>
        <w:rPr>
          <w:sz w:val="22"/>
          <w:szCs w:val="22"/>
        </w:rPr>
        <w:t xml:space="preserve"> companies.  </w:t>
      </w:r>
      <w:r w:rsidR="007D3DA2">
        <w:rPr>
          <w:sz w:val="22"/>
          <w:szCs w:val="22"/>
        </w:rPr>
        <w:t xml:space="preserve">Equipment manufacturers and their distributors will be invited to support point-of-sale rebates and onsite equipment take back, though those relationships and processes </w:t>
      </w:r>
      <w:r w:rsidR="009B193C">
        <w:rPr>
          <w:sz w:val="22"/>
          <w:szCs w:val="22"/>
        </w:rPr>
        <w:t xml:space="preserve">that </w:t>
      </w:r>
      <w:r w:rsidR="007D3DA2">
        <w:rPr>
          <w:sz w:val="22"/>
          <w:szCs w:val="22"/>
        </w:rPr>
        <w:t xml:space="preserve">will be established in the LEEP planning phase. </w:t>
      </w:r>
      <w:r w:rsidR="00487332">
        <w:rPr>
          <w:sz w:val="22"/>
          <w:szCs w:val="22"/>
        </w:rPr>
        <w:t>Buy</w:t>
      </w:r>
      <w:r w:rsidR="004B0864">
        <w:rPr>
          <w:sz w:val="22"/>
          <w:szCs w:val="22"/>
        </w:rPr>
        <w:t>-</w:t>
      </w:r>
      <w:r w:rsidR="00487332">
        <w:rPr>
          <w:sz w:val="22"/>
          <w:szCs w:val="22"/>
        </w:rPr>
        <w:t>back may occur at events or on a continuous basis through equipment distributors.</w:t>
      </w:r>
      <w:r w:rsidR="007D3DA2">
        <w:rPr>
          <w:sz w:val="22"/>
          <w:szCs w:val="22"/>
        </w:rPr>
        <w:t xml:space="preserve"> </w:t>
      </w:r>
    </w:p>
    <w:p w14:paraId="2639D520" w14:textId="77777777" w:rsidR="000D4BC4" w:rsidRDefault="000D4BC4" w:rsidP="007962E8">
      <w:pPr>
        <w:pStyle w:val="ListParagraph"/>
        <w:rPr>
          <w:sz w:val="22"/>
          <w:szCs w:val="22"/>
        </w:rPr>
      </w:pPr>
    </w:p>
    <w:p w14:paraId="23FDE330" w14:textId="38592ADC" w:rsidR="00CA3EA6" w:rsidRDefault="00CA3EA6">
      <w:pPr>
        <w:pStyle w:val="Heading3"/>
      </w:pPr>
      <w:r>
        <w:t xml:space="preserve">LEEP </w:t>
      </w:r>
      <w:r w:rsidR="00AD79D6">
        <w:t>Partners</w:t>
      </w:r>
    </w:p>
    <w:p w14:paraId="57635D6F" w14:textId="11056932" w:rsidR="00AD79D6" w:rsidRDefault="00CA3EA6" w:rsidP="00AD79D6">
      <w:r>
        <w:t>The Caucus will convene partners and</w:t>
      </w:r>
      <w:r w:rsidR="00AD79D6">
        <w:t xml:space="preserve"> stakeholders</w:t>
      </w:r>
      <w:r w:rsidR="007375CA">
        <w:t xml:space="preserve"> to plan the details of LEEP upon </w:t>
      </w:r>
      <w:r w:rsidR="004A175A">
        <w:t>receiving</w:t>
      </w:r>
      <w:r w:rsidR="007375CA">
        <w:t xml:space="preserve"> the CPRG grant</w:t>
      </w:r>
      <w:r w:rsidR="004A175A">
        <w:t>,</w:t>
      </w:r>
      <w:r w:rsidR="007375CA">
        <w:t xml:space="preserve"> to design program details and assign roles to subrecipients</w:t>
      </w:r>
      <w:r w:rsidR="00A80786">
        <w:t xml:space="preserve"> and manage subawards</w:t>
      </w:r>
      <w:r w:rsidR="007375CA">
        <w:t xml:space="preserve">.  </w:t>
      </w:r>
      <w:r w:rsidR="00AD79D6">
        <w:t>These partners below have participated in the development of this LEEP proposal and will be involved in implementation.  Some will provide in-kind services and others will be subrecipients.  See attached letters of commitment</w:t>
      </w:r>
      <w:r w:rsidR="004A175A">
        <w:t>,</w:t>
      </w:r>
      <w:r w:rsidR="00AD79D6">
        <w:t xml:space="preserve"> partner resumes, bios, </w:t>
      </w:r>
      <w:r w:rsidR="004A175A">
        <w:t xml:space="preserve">and </w:t>
      </w:r>
      <w:r w:rsidR="00AD79D6">
        <w:t>CVs</w:t>
      </w:r>
      <w:r w:rsidR="004A175A">
        <w:t>, and the budget for details</w:t>
      </w:r>
      <w:r w:rsidR="00AD79D6">
        <w:t>.</w:t>
      </w:r>
    </w:p>
    <w:p w14:paraId="287DC996" w14:textId="77777777" w:rsidR="007375CA" w:rsidRDefault="007375CA" w:rsidP="00CA3EA6"/>
    <w:p w14:paraId="54A5E284" w14:textId="78B31A3F" w:rsidR="007375CA" w:rsidRPr="004A175A" w:rsidRDefault="007375CA" w:rsidP="00CA3EA6">
      <w:pPr>
        <w:rPr>
          <w:b/>
          <w:bCs/>
        </w:rPr>
      </w:pPr>
      <w:r w:rsidRPr="004A175A">
        <w:rPr>
          <w:b/>
          <w:bCs/>
        </w:rPr>
        <w:t xml:space="preserve">Partner </w:t>
      </w:r>
      <w:r w:rsidR="00AD79D6" w:rsidRPr="004A175A">
        <w:rPr>
          <w:b/>
          <w:bCs/>
        </w:rPr>
        <w:t xml:space="preserve">and </w:t>
      </w:r>
      <w:r w:rsidR="004A175A">
        <w:rPr>
          <w:b/>
          <w:bCs/>
        </w:rPr>
        <w:t xml:space="preserve">their </w:t>
      </w:r>
      <w:r w:rsidR="00AD79D6" w:rsidRPr="004A175A">
        <w:rPr>
          <w:b/>
          <w:bCs/>
        </w:rPr>
        <w:t xml:space="preserve">associated </w:t>
      </w:r>
      <w:r w:rsidRPr="004A175A">
        <w:rPr>
          <w:b/>
          <w:bCs/>
        </w:rPr>
        <w:t>expertise:</w:t>
      </w:r>
    </w:p>
    <w:p w14:paraId="53A0DADA" w14:textId="4EA35496" w:rsidR="007375CA" w:rsidRDefault="007375CA" w:rsidP="007375CA">
      <w:r w:rsidRPr="00B05393">
        <w:rPr>
          <w:b/>
          <w:bCs/>
        </w:rPr>
        <w:t>Emissions:</w:t>
      </w:r>
      <w:r>
        <w:t xml:space="preserve"> Lake Michigan Air Directors Consortium</w:t>
      </w:r>
      <w:r w:rsidR="009B193C">
        <w:t xml:space="preserve"> (LADCO)</w:t>
      </w:r>
    </w:p>
    <w:p w14:paraId="3A7965AD" w14:textId="0B7EDF80" w:rsidR="007375CA" w:rsidRDefault="007375CA" w:rsidP="007375CA">
      <w:r w:rsidRPr="00B05393">
        <w:rPr>
          <w:b/>
          <w:bCs/>
        </w:rPr>
        <w:t>Electrification:</w:t>
      </w:r>
      <w:r>
        <w:t xml:space="preserve"> ComEd, Power Forward DuPage</w:t>
      </w:r>
    </w:p>
    <w:p w14:paraId="4ACCA88C" w14:textId="2030B858" w:rsidR="007375CA" w:rsidRDefault="007375CA" w:rsidP="007375CA">
      <w:r w:rsidRPr="00B05393">
        <w:rPr>
          <w:b/>
          <w:bCs/>
        </w:rPr>
        <w:t>Public Health:</w:t>
      </w:r>
      <w:r>
        <w:t xml:space="preserve"> Respiratory Health Association</w:t>
      </w:r>
      <w:r w:rsidR="004A175A">
        <w:t>, American Lung Association</w:t>
      </w:r>
    </w:p>
    <w:p w14:paraId="3B461B3E" w14:textId="489C7C02" w:rsidR="00B05393" w:rsidRDefault="007375CA" w:rsidP="00B05393">
      <w:r w:rsidRPr="00B05393">
        <w:rPr>
          <w:b/>
          <w:bCs/>
        </w:rPr>
        <w:t xml:space="preserve">Collection, Disposal, </w:t>
      </w:r>
      <w:r w:rsidR="00AD79D6">
        <w:rPr>
          <w:b/>
          <w:bCs/>
        </w:rPr>
        <w:t xml:space="preserve">and </w:t>
      </w:r>
      <w:r w:rsidR="00B05393" w:rsidRPr="00B05393">
        <w:rPr>
          <w:b/>
          <w:bCs/>
        </w:rPr>
        <w:t>Scrappage:</w:t>
      </w:r>
      <w:r w:rsidR="00B05393">
        <w:t xml:space="preserve"> </w:t>
      </w:r>
      <w:bookmarkStart w:id="2" w:name="_Hlk162533262"/>
      <w:r w:rsidR="00B05393">
        <w:t>Illinois Sustainable Technology Center</w:t>
      </w:r>
      <w:r w:rsidR="004A175A">
        <w:t xml:space="preserve"> (ISTC)</w:t>
      </w:r>
      <w:r w:rsidR="00B05393">
        <w:t xml:space="preserve">, </w:t>
      </w:r>
      <w:bookmarkEnd w:id="2"/>
      <w:r w:rsidR="00B05393">
        <w:t>DuPage County, Solid Waste Agency of Lake County (SWALCO), Solid Waste Agency of Northern Cook County (SWANNC), South Suburban College</w:t>
      </w:r>
      <w:r w:rsidR="004A175A">
        <w:t>’s</w:t>
      </w:r>
      <w:r w:rsidR="00B05393">
        <w:t xml:space="preserve"> Center for Hard to Recycle Material (CHaRM)</w:t>
      </w:r>
      <w:r w:rsidR="0095784B">
        <w:t>, Cook County</w:t>
      </w:r>
      <w:r w:rsidR="00B05393">
        <w:t>, other solid waste agencie</w:t>
      </w:r>
      <w:r w:rsidR="009B193C">
        <w:t>s</w:t>
      </w:r>
    </w:p>
    <w:p w14:paraId="78108EB6" w14:textId="18341278" w:rsidR="00B05393" w:rsidRDefault="00B05393" w:rsidP="00B05393">
      <w:r w:rsidRPr="00B05393">
        <w:rPr>
          <w:b/>
          <w:bCs/>
        </w:rPr>
        <w:t>Program Design:</w:t>
      </w:r>
      <w:r>
        <w:t xml:space="preserve"> Illinois Alliance for Clean Transportation</w:t>
      </w:r>
      <w:r w:rsidR="004A175A">
        <w:t xml:space="preserve"> (IACT)</w:t>
      </w:r>
      <w:r>
        <w:t xml:space="preserve">, </w:t>
      </w:r>
      <w:bookmarkStart w:id="3" w:name="_Hlk162533556"/>
      <w:r>
        <w:t>Regional Leaf Blower Working Group</w:t>
      </w:r>
      <w:bookmarkEnd w:id="3"/>
      <w:r>
        <w:t xml:space="preserve"> (City of Highland Park),</w:t>
      </w:r>
      <w:r w:rsidRPr="00B05393">
        <w:t xml:space="preserve"> </w:t>
      </w:r>
      <w:r>
        <w:t>Go Green Illinois</w:t>
      </w:r>
    </w:p>
    <w:p w14:paraId="01150530" w14:textId="6852E3D1" w:rsidR="00B05393" w:rsidRDefault="00B05393" w:rsidP="00B05393">
      <w:r w:rsidRPr="00B05393">
        <w:rPr>
          <w:b/>
          <w:bCs/>
        </w:rPr>
        <w:t>Landscape Industry:</w:t>
      </w:r>
      <w:r>
        <w:t xml:space="preserve"> Illinois Landscape Contractors Association (</w:t>
      </w:r>
      <w:bookmarkStart w:id="4" w:name="_Hlk162533535"/>
      <w:r>
        <w:t>ILCA</w:t>
      </w:r>
      <w:bookmarkStart w:id="5" w:name="_Hlk162652588"/>
      <w:bookmarkEnd w:id="4"/>
      <w:r>
        <w:t>),</w:t>
      </w:r>
      <w:r w:rsidRPr="00B05393">
        <w:t xml:space="preserve"> </w:t>
      </w:r>
      <w:r>
        <w:t>Farmworkers and Landscape Advocacy Project (FLAP)</w:t>
      </w:r>
      <w:bookmarkEnd w:id="5"/>
    </w:p>
    <w:p w14:paraId="7C24005F" w14:textId="77777777" w:rsidR="00AD79D6" w:rsidRDefault="00AD79D6" w:rsidP="00AD79D6">
      <w:r w:rsidRPr="00B05393">
        <w:rPr>
          <w:b/>
          <w:bCs/>
        </w:rPr>
        <w:t>Policy Advisors:</w:t>
      </w:r>
      <w:r>
        <w:t xml:space="preserve"> ILCA, FLAP, Regional Leaf Blower Working Group </w:t>
      </w:r>
    </w:p>
    <w:p w14:paraId="50D19BC7" w14:textId="15670322" w:rsidR="00B05393" w:rsidRDefault="00B05393" w:rsidP="00B05393">
      <w:r w:rsidRPr="00B05393">
        <w:rPr>
          <w:b/>
          <w:bCs/>
        </w:rPr>
        <w:t>LIDAC:</w:t>
      </w:r>
      <w:r>
        <w:t xml:space="preserve"> </w:t>
      </w:r>
      <w:bookmarkStart w:id="6" w:name="_Hlk162534198"/>
      <w:r>
        <w:t>FLAP</w:t>
      </w:r>
      <w:bookmarkEnd w:id="6"/>
      <w:r>
        <w:t xml:space="preserve">, Metropolitan Mayors Caucus member </w:t>
      </w:r>
      <w:r w:rsidR="000E7231">
        <w:t>municipalities</w:t>
      </w:r>
      <w:r>
        <w:t xml:space="preserve"> and Environment Committee,</w:t>
      </w:r>
      <w:r w:rsidR="000E7231">
        <w:t xml:space="preserve"> SWANCC, SWALCO, CHaRM and other solid waste agencies</w:t>
      </w:r>
    </w:p>
    <w:p w14:paraId="2817EDF8" w14:textId="3C836CDF" w:rsidR="00B05393" w:rsidRDefault="000E7231" w:rsidP="00B05393">
      <w:r>
        <w:rPr>
          <w:b/>
          <w:bCs/>
        </w:rPr>
        <w:t xml:space="preserve">Latino Worker </w:t>
      </w:r>
      <w:r w:rsidRPr="00B05393">
        <w:rPr>
          <w:b/>
          <w:bCs/>
        </w:rPr>
        <w:t>Engagement</w:t>
      </w:r>
      <w:r>
        <w:rPr>
          <w:b/>
          <w:bCs/>
        </w:rPr>
        <w:t xml:space="preserve">: </w:t>
      </w:r>
      <w:r>
        <w:t>FLAP</w:t>
      </w:r>
    </w:p>
    <w:p w14:paraId="2CB57280" w14:textId="77777777" w:rsidR="000E7231" w:rsidRDefault="000E7231" w:rsidP="00B05393"/>
    <w:p w14:paraId="6EBF6E5E" w14:textId="61105C0A" w:rsidR="00B05393" w:rsidRDefault="00A80786" w:rsidP="00B05393">
      <w:r>
        <w:t>The Caucus will conduct a competitive, compliant bidding and procurement process to secure the services of a contractor with experience managing LGE electrification programs for both residential and commercial sectors.  Expertise will be needed</w:t>
      </w:r>
      <w:r w:rsidR="004B0864">
        <w:t xml:space="preserve"> to</w:t>
      </w:r>
      <w:r>
        <w:t xml:space="preserve"> </w:t>
      </w:r>
      <w:r w:rsidR="00B05393">
        <w:t xml:space="preserve">incentive program design, landscaper education, </w:t>
      </w:r>
      <w:r w:rsidR="000E7231">
        <w:t xml:space="preserve">electric LGE performance, specifications, and distribution. </w:t>
      </w:r>
    </w:p>
    <w:p w14:paraId="0EFFF563" w14:textId="0B8FE308" w:rsidR="00B05393" w:rsidRDefault="00B05393" w:rsidP="00B05393"/>
    <w:p w14:paraId="19FE149F" w14:textId="29F221FF" w:rsidR="00757178" w:rsidRPr="00757178" w:rsidRDefault="00757178" w:rsidP="00AD79D6">
      <w:pPr>
        <w:pStyle w:val="Heading3"/>
      </w:pPr>
      <w:r w:rsidRPr="00757178">
        <w:t>LEEP Residential</w:t>
      </w:r>
    </w:p>
    <w:p w14:paraId="6F591013" w14:textId="3C100833" w:rsidR="00B05393" w:rsidRDefault="00A80786" w:rsidP="00B05393">
      <w:r>
        <w:t>Working with solid waste agencies, including those with authority to collect, process and manage household hazardous waste</w:t>
      </w:r>
      <w:r w:rsidR="008525BA">
        <w:t xml:space="preserve"> (HHW)</w:t>
      </w:r>
      <w:r>
        <w:t xml:space="preserve">, the Caucus will design effective residential lawn mower take-back events.  Study and planning will be done to determine the best timing, site design, communications, staffing and logistics for local residential lawn mower collection.  These events will </w:t>
      </w:r>
      <w:r w:rsidR="003F77ED">
        <w:t xml:space="preserve">be </w:t>
      </w:r>
      <w:r>
        <w:t xml:space="preserve">integrated into scheduled events occurring throughout the year, such as in the spring and fall. Facilities with year-round drop off capabilities </w:t>
      </w:r>
      <w:r w:rsidR="00AD79D6">
        <w:t>may</w:t>
      </w:r>
      <w:r w:rsidR="003F77ED">
        <w:t xml:space="preserve"> add lawn mower take-back services as practical. Partnerships with solid waste agencies throughout the region will provide </w:t>
      </w:r>
      <w:r w:rsidR="00DE2D29">
        <w:t xml:space="preserve">wide </w:t>
      </w:r>
      <w:r w:rsidR="003F77ED">
        <w:t xml:space="preserve">access </w:t>
      </w:r>
      <w:r w:rsidR="0031248D">
        <w:t>to community residents</w:t>
      </w:r>
      <w:r w:rsidR="003F77ED">
        <w:t xml:space="preserve">, </w:t>
      </w:r>
      <w:r w:rsidR="0031248D">
        <w:t xml:space="preserve">inclusive of </w:t>
      </w:r>
      <w:r w:rsidR="003F77ED">
        <w:t xml:space="preserve">LIDAC. </w:t>
      </w:r>
    </w:p>
    <w:p w14:paraId="08632B2F" w14:textId="77777777" w:rsidR="00227DE1" w:rsidRDefault="00227DE1" w:rsidP="00B05393"/>
    <w:p w14:paraId="3ECAB6AA" w14:textId="14F1CE39" w:rsidR="00227DE1" w:rsidRDefault="00227DE1" w:rsidP="00B05393">
      <w:r>
        <w:t xml:space="preserve">With expert advisors, plans will be made for LGE collection, draining of gas and oil, collection of gas and oil, and disposal of metals and fluids. State and federal requirements for safe and compliant disposal will </w:t>
      </w:r>
      <w:r>
        <w:lastRenderedPageBreak/>
        <w:t>guide these plans. Plans for collecting, preparing, and scrapping LGE will be made</w:t>
      </w:r>
      <w:r w:rsidR="009B193C">
        <w:t>,</w:t>
      </w:r>
      <w:r>
        <w:t xml:space="preserve"> and contract specifications for scrappers and haulers will be drafted.  Solid waste agencies will procure these services in a compliant process from local service providers</w:t>
      </w:r>
      <w:r w:rsidR="00AD79D6">
        <w:t>, which</w:t>
      </w:r>
      <w:r>
        <w:t xml:space="preserve"> will </w:t>
      </w:r>
      <w:r w:rsidR="0028169F">
        <w:t xml:space="preserve">be </w:t>
      </w:r>
      <w:r w:rsidR="00AD79D6">
        <w:t>funded through subawards.</w:t>
      </w:r>
    </w:p>
    <w:p w14:paraId="7C69ACAE" w14:textId="77777777" w:rsidR="0080319A" w:rsidRDefault="0080319A" w:rsidP="00B05393"/>
    <w:p w14:paraId="4DCC7364" w14:textId="427A81B0" w:rsidR="0080319A" w:rsidRDefault="0080319A" w:rsidP="00B05393">
      <w:r>
        <w:t xml:space="preserve">All collected lawn mowers will be inspected and categorized by engine type, </w:t>
      </w:r>
      <w:r w:rsidR="00A62577">
        <w:t>size,</w:t>
      </w:r>
      <w:r>
        <w:t xml:space="preserve"> and </w:t>
      </w:r>
      <w:r w:rsidR="00766A81">
        <w:t xml:space="preserve">performance characteristics </w:t>
      </w:r>
      <w:r>
        <w:t xml:space="preserve">so that emission reduction can be validated.  A database of equipment types and emissions will be procured and standardized for all collection events. </w:t>
      </w:r>
      <w:r w:rsidR="00766A81">
        <w:t>Collected e</w:t>
      </w:r>
      <w:r>
        <w:t xml:space="preserve">quipment will be inventoried, </w:t>
      </w:r>
      <w:r w:rsidR="00010FA9">
        <w:t>documented, and</w:t>
      </w:r>
      <w:r>
        <w:t xml:space="preserve"> emission reduction </w:t>
      </w:r>
      <w:r w:rsidR="00766A81">
        <w:t>reports</w:t>
      </w:r>
      <w:r>
        <w:t xml:space="preserve"> will be provided for each event. </w:t>
      </w:r>
      <w:r w:rsidR="00766A81">
        <w:t>C</w:t>
      </w:r>
      <w:r>
        <w:t xml:space="preserve">ontractors will be required to document compliant LGE destruction and </w:t>
      </w:r>
      <w:r w:rsidR="00766A81">
        <w:t>scrappage</w:t>
      </w:r>
      <w:r>
        <w:t xml:space="preserve"> of metals and waste materials.  </w:t>
      </w:r>
    </w:p>
    <w:p w14:paraId="49CF540B" w14:textId="77777777" w:rsidR="0080319A" w:rsidRDefault="0080319A" w:rsidP="00B05393"/>
    <w:p w14:paraId="196360C9" w14:textId="406EFC4C" w:rsidR="007375CA" w:rsidRDefault="00522F08" w:rsidP="007375CA">
      <w:bookmarkStart w:id="7" w:name="_Hlk162537558"/>
      <w:r>
        <w:t xml:space="preserve">Options for providing </w:t>
      </w:r>
      <w:bookmarkEnd w:id="7"/>
      <w:r>
        <w:t xml:space="preserve">LEEP participant payments in the form of vouchers, rebates, or at the point of sale will be studied and evaluated.  Some program models from California require participants to pay for electric mowers in advance and allow pick-up at the time the gas mower is </w:t>
      </w:r>
      <w:r w:rsidR="005627F8">
        <w:t>collected</w:t>
      </w:r>
      <w:r>
        <w:t>.  ComEd uses point of sale rebates for energy efficiency products with success.  If arrangements can be made with cooperative retailer</w:t>
      </w:r>
      <w:r w:rsidR="006722FF">
        <w:t>s</w:t>
      </w:r>
      <w:r>
        <w:t xml:space="preserve">, LEEP will offer points of sale rebates. Other options for processing residential rebates include municipalities or </w:t>
      </w:r>
      <w:r w:rsidR="005627F8">
        <w:t xml:space="preserve">qualified </w:t>
      </w:r>
      <w:r>
        <w:t>vendor</w:t>
      </w:r>
      <w:r w:rsidR="006722FF">
        <w:t>s</w:t>
      </w:r>
      <w:r>
        <w:t xml:space="preserve">.  Online options will be preferred.  </w:t>
      </w:r>
      <w:r w:rsidR="009B193C">
        <w:t>Services for processing vouchers may be secured through subawards or through competitive procurement.</w:t>
      </w:r>
    </w:p>
    <w:p w14:paraId="2AC89B71" w14:textId="77777777" w:rsidR="00ED035D" w:rsidRDefault="00ED035D" w:rsidP="007375CA"/>
    <w:p w14:paraId="3687A42D" w14:textId="7E4015F1" w:rsidR="00ED035D" w:rsidRDefault="00ED035D" w:rsidP="007375CA">
      <w:r>
        <w:t>Outreach and education to encourage LEEP participation will be done by participating solid waste agencies and through the Caucus member municipalities</w:t>
      </w:r>
      <w:r w:rsidR="00766A81">
        <w:t>, assuring LIDAC engagement</w:t>
      </w:r>
      <w:r>
        <w:t xml:space="preserve">. GoGreen </w:t>
      </w:r>
      <w:r w:rsidR="009B193C">
        <w:t>Illinois,</w:t>
      </w:r>
      <w:r>
        <w:t xml:space="preserve"> and municipal sustainability commissions will also assist with outreach and marketing. </w:t>
      </w:r>
    </w:p>
    <w:p w14:paraId="196E8BAE" w14:textId="77777777" w:rsidR="00302E54" w:rsidRPr="00757178" w:rsidRDefault="00302E54" w:rsidP="00757178"/>
    <w:p w14:paraId="12E342A6" w14:textId="5FD830C4" w:rsidR="00C016C5" w:rsidRPr="00010FA9" w:rsidRDefault="00757178" w:rsidP="00AD79D6">
      <w:pPr>
        <w:pStyle w:val="Heading3"/>
      </w:pPr>
      <w:r w:rsidRPr="00757178">
        <w:t>LEEP Commercia</w:t>
      </w:r>
      <w:r w:rsidR="000455B2">
        <w:t>l</w:t>
      </w:r>
    </w:p>
    <w:p w14:paraId="59BFA112" w14:textId="7C83B355" w:rsidR="008B721B" w:rsidRDefault="00C016C5" w:rsidP="00C016C5">
      <w:r>
        <w:t xml:space="preserve">Priority equipment types for commercial electrification </w:t>
      </w:r>
      <w:r w:rsidR="00CF4EF1">
        <w:t>well be</w:t>
      </w:r>
      <w:r>
        <w:t xml:space="preserve"> riding/standing mowers and </w:t>
      </w:r>
      <w:r w:rsidR="002B3123">
        <w:t>han</w:t>
      </w:r>
      <w:r w:rsidR="00803D15">
        <w:t>d</w:t>
      </w:r>
      <w:r w:rsidR="00CF4EF1">
        <w:t>-</w:t>
      </w:r>
      <w:r w:rsidR="002B3123">
        <w:t xml:space="preserve">held equipment including </w:t>
      </w:r>
      <w:r>
        <w:t>leaf blowers</w:t>
      </w:r>
      <w:r w:rsidR="002B3123">
        <w:t>, chainsaw, and trimmers</w:t>
      </w:r>
      <w:r>
        <w:t xml:space="preserve">.  </w:t>
      </w:r>
      <w:r w:rsidR="006802F3">
        <w:t xml:space="preserve">LADCO analysis showed that multiple types of </w:t>
      </w:r>
      <w:r w:rsidR="00185DD9">
        <w:t>hand</w:t>
      </w:r>
      <w:r w:rsidR="00CF4EF1">
        <w:t>-</w:t>
      </w:r>
      <w:r w:rsidR="00185DD9">
        <w:t>held</w:t>
      </w:r>
      <w:r w:rsidR="006802F3">
        <w:t xml:space="preserve"> LGE</w:t>
      </w:r>
      <w:r w:rsidR="00553EF7">
        <w:t xml:space="preserve"> </w:t>
      </w:r>
      <w:r w:rsidR="0037700B">
        <w:t xml:space="preserve">should be targeted for replacement to meet emissions targets. Landscape companies and landscape workers will make choices for ZEE equipment that best suit their needs. Equipment targeted for incentives may adapt to these needs over </w:t>
      </w:r>
      <w:r w:rsidR="00185DD9">
        <w:t>LEEP’s</w:t>
      </w:r>
      <w:r w:rsidR="0037700B">
        <w:t xml:space="preserve"> 5-year performance period.  </w:t>
      </w:r>
      <w:r w:rsidR="008B721B">
        <w:t>Landscape industry partners also advise</w:t>
      </w:r>
      <w:r w:rsidR="005627F8">
        <w:t>d</w:t>
      </w:r>
      <w:r w:rsidR="008B721B">
        <w:t xml:space="preserve"> the inclusion of adequate batter and charging capability to realistically make one-to-one </w:t>
      </w:r>
      <w:r w:rsidR="005627F8">
        <w:t xml:space="preserve">equipment </w:t>
      </w:r>
      <w:r w:rsidR="008B721B">
        <w:t>replacement.  Consideration for duty cycle, lack of access to mobile charging and the design of equipment trailers and operations is essential. Otherwise, zero emission LGE cannot be successfully used in commercial landscape operations. For these reasons, LEEP will include rebates for battery kits and spare batteries for han</w:t>
      </w:r>
      <w:r w:rsidR="00CF4EF1">
        <w:t>d-</w:t>
      </w:r>
      <w:r w:rsidR="008B721B">
        <w:t xml:space="preserve">held and backpack leaf blower purchases.  </w:t>
      </w:r>
    </w:p>
    <w:p w14:paraId="504B8F5B" w14:textId="77777777" w:rsidR="008B721B" w:rsidRDefault="008B721B" w:rsidP="00C016C5"/>
    <w:p w14:paraId="3380914E" w14:textId="028E509A" w:rsidR="00C016C5" w:rsidRDefault="00C016C5" w:rsidP="00C016C5">
      <w:r>
        <w:t xml:space="preserve">With contracted expertise and the partnership of the ILCA and FLAP, a refined list of suitable equipment models and features will be made. It will be important to have the needs of landscape contractors prioritized to maximize LEEP program participation and deliver on proposed outputs and outcomes.  These partners and experts will work with manufacturers and distributors to design LGE take-back and voucher/rebate payment processes.  </w:t>
      </w:r>
      <w:r w:rsidR="000E302F">
        <w:t xml:space="preserve">If possible, point of sale rebates/vouchers are preferred.  If point of sale transactions </w:t>
      </w:r>
      <w:proofErr w:type="gramStart"/>
      <w:r w:rsidR="000E302F">
        <w:t>are</w:t>
      </w:r>
      <w:proofErr w:type="gramEnd"/>
      <w:r w:rsidR="000E302F">
        <w:t xml:space="preserve"> not possible, a </w:t>
      </w:r>
      <w:r w:rsidR="00766A81">
        <w:t>partner</w:t>
      </w:r>
      <w:r w:rsidR="000E302F">
        <w:t xml:space="preserve"> would be retained as a subrecipient to process vouchers, or a </w:t>
      </w:r>
      <w:r w:rsidR="005627F8">
        <w:t xml:space="preserve">qualified </w:t>
      </w:r>
      <w:r w:rsidR="000E302F">
        <w:t xml:space="preserve">vendor would be competitively procured to do this job.  CPRG funds would be used to reimburse distributors or other organization that processes vouchers/rebates.  </w:t>
      </w:r>
    </w:p>
    <w:p w14:paraId="16EC52E7" w14:textId="77777777" w:rsidR="00C016C5" w:rsidRDefault="00C016C5" w:rsidP="00C016C5"/>
    <w:p w14:paraId="50F4C867" w14:textId="4B567824" w:rsidR="000E302F" w:rsidRDefault="000E302F" w:rsidP="00C016C5">
      <w:r>
        <w:t>Special consideration will be made to support the participation of small, Latino businesses. This may include developing cooperative relationship</w:t>
      </w:r>
      <w:r w:rsidR="00A62577">
        <w:t>s</w:t>
      </w:r>
      <w:r>
        <w:t xml:space="preserve"> with local credit unions and lenders to support the unique financial needs of these small, disadvantaged businesses.  Enhanced incentives may be made available to businesses operating from LIDAC. </w:t>
      </w:r>
      <w:r w:rsidR="00A62577">
        <w:t>All materials will be available in both English and Spanish.</w:t>
      </w:r>
    </w:p>
    <w:p w14:paraId="7C2A2D6E" w14:textId="77777777" w:rsidR="00A62577" w:rsidRDefault="00A62577" w:rsidP="00C016C5"/>
    <w:p w14:paraId="4078C4BB" w14:textId="23878441" w:rsidR="008B721B" w:rsidRDefault="00A62577" w:rsidP="008B721B">
      <w:r>
        <w:lastRenderedPageBreak/>
        <w:t xml:space="preserve">Collection of gasoline and diesel LGE will be tailored for the landscape industry. </w:t>
      </w:r>
      <w:r w:rsidR="00D04778">
        <w:t>ILCA holds about 25 p</w:t>
      </w:r>
      <w:r>
        <w:t>rofessional landscape industry events</w:t>
      </w:r>
      <w:r w:rsidR="00D04778">
        <w:t xml:space="preserve"> that are attended by 11,500 people annually. Event</w:t>
      </w:r>
      <w:r>
        <w:t xml:space="preserve"> such as ILCA’s summer field days and </w:t>
      </w:r>
      <w:r w:rsidR="00D04778">
        <w:t xml:space="preserve">off-season </w:t>
      </w:r>
      <w:r w:rsidR="00766A81">
        <w:t>I</w:t>
      </w:r>
      <w:r>
        <w:t>-Landscape conference offer natural opportunities for equipment take back and immediate purchase</w:t>
      </w:r>
      <w:r w:rsidR="00010FA9">
        <w:t>,</w:t>
      </w:r>
      <w:r>
        <w:t xml:space="preserve"> as equipment distributors are present</w:t>
      </w:r>
      <w:r w:rsidR="00010FA9">
        <w:t xml:space="preserve"> with products and information</w:t>
      </w:r>
      <w:r>
        <w:t xml:space="preserve">.  </w:t>
      </w:r>
      <w:r w:rsidR="00766A81">
        <w:t>On</w:t>
      </w:r>
      <w:r w:rsidR="006722FF">
        <w:t>-</w:t>
      </w:r>
      <w:r w:rsidR="00766A81">
        <w:t>site equipment exchanges at point</w:t>
      </w:r>
      <w:r w:rsidR="006722FF">
        <w:t>s</w:t>
      </w:r>
      <w:r w:rsidR="00766A81">
        <w:t xml:space="preserve"> of sale may be possible. </w:t>
      </w:r>
      <w:r>
        <w:t>With expert advisors, plans will be made for LGE collection, draining</w:t>
      </w:r>
      <w:r w:rsidR="006722FF">
        <w:t xml:space="preserve"> and collection</w:t>
      </w:r>
      <w:r>
        <w:t xml:space="preserve"> of gas and oil, and safe and compliant disposal of metals and fluids. The Caucus will procure these services contractually</w:t>
      </w:r>
      <w:r w:rsidR="008B721B">
        <w:t xml:space="preserve"> using EPA compliant processes</w:t>
      </w:r>
      <w:r>
        <w:t xml:space="preserve">.  </w:t>
      </w:r>
      <w:r w:rsidR="008B721B">
        <w:t xml:space="preserve">All collected LGE will be inspected and inventoried, as with the residential LEEP process above, so that emission reduction can be validated and reported.  </w:t>
      </w:r>
    </w:p>
    <w:p w14:paraId="0DB935C1" w14:textId="74202348" w:rsidR="00A62577" w:rsidRDefault="00A62577" w:rsidP="00A62577"/>
    <w:p w14:paraId="2619E26E" w14:textId="53D7CE9C" w:rsidR="00C016C5" w:rsidRDefault="008B721B" w:rsidP="00C016C5">
      <w:r>
        <w:t>Unique to the commercial program will be contractor and operator education. Since power, performance, safety, customer expectations, and return on investment are paramount</w:t>
      </w:r>
      <w:r w:rsidR="00296C0A" w:rsidRPr="00296C0A">
        <w:t xml:space="preserve"> </w:t>
      </w:r>
      <w:r w:rsidR="00296C0A">
        <w:t>to landscape business owners</w:t>
      </w:r>
      <w:r>
        <w:t xml:space="preserve">, expert training in both English and Spanish will be broadly offered to help them make decisions about LGE fleet electrification.  </w:t>
      </w:r>
      <w:r w:rsidR="00296C0A">
        <w:t xml:space="preserve">Another unique feature of Commercial LEEP will be technical assistance and rebates for companies to assess electrical capacity and </w:t>
      </w:r>
      <w:r w:rsidR="00986295">
        <w:t xml:space="preserve">improve </w:t>
      </w:r>
      <w:r w:rsidR="00296C0A">
        <w:t>safety</w:t>
      </w:r>
      <w:r w:rsidR="00986295">
        <w:t xml:space="preserve"> for</w:t>
      </w:r>
      <w:r w:rsidR="00296C0A">
        <w:t xml:space="preserve"> </w:t>
      </w:r>
      <w:r w:rsidR="00986295">
        <w:rPr>
          <w:rFonts w:ascii="Calibri" w:hAnsi="Calibri" w:cs="Calibri"/>
        </w:rPr>
        <w:t>large scale commercial LGE charging</w:t>
      </w:r>
      <w:r w:rsidR="00986295">
        <w:t xml:space="preserve"> </w:t>
      </w:r>
      <w:r w:rsidR="00296C0A">
        <w:t xml:space="preserve">at their facilities. Limited rebates </w:t>
      </w:r>
      <w:r w:rsidR="00986295">
        <w:t xml:space="preserve">will be made to </w:t>
      </w:r>
      <w:r w:rsidR="00766A81">
        <w:t>do</w:t>
      </w:r>
      <w:r w:rsidR="00986295">
        <w:t xml:space="preserve"> </w:t>
      </w:r>
      <w:r w:rsidR="005627F8">
        <w:t>“</w:t>
      </w:r>
      <w:r w:rsidR="00296C0A">
        <w:t>make</w:t>
      </w:r>
      <w:r w:rsidR="00986295">
        <w:t>-r</w:t>
      </w:r>
      <w:r w:rsidR="00296C0A">
        <w:t>eady</w:t>
      </w:r>
      <w:r w:rsidR="005627F8">
        <w:t>”</w:t>
      </w:r>
      <w:r w:rsidR="00296C0A">
        <w:t xml:space="preserve"> electrical work</w:t>
      </w:r>
      <w:r w:rsidR="00766A81">
        <w:t>,</w:t>
      </w:r>
      <w:r w:rsidR="009C6979">
        <w:t xml:space="preserve"> to be performed by </w:t>
      </w:r>
      <w:r w:rsidR="00067D34">
        <w:rPr>
          <w:rFonts w:ascii="Calibri" w:hAnsi="Calibri" w:cs="Calibri"/>
        </w:rPr>
        <w:t>union electricians</w:t>
      </w:r>
      <w:r w:rsidR="00986295">
        <w:rPr>
          <w:rFonts w:ascii="Calibri" w:hAnsi="Calibri" w:cs="Calibri"/>
        </w:rPr>
        <w:t xml:space="preserve">.  </w:t>
      </w:r>
      <w:r w:rsidR="0032126B">
        <w:t>S</w:t>
      </w:r>
      <w:r w:rsidR="00296C0A">
        <w:t>mall, Latino firms in LIDAC will be prioritized for this assistance. For landscape workers, performance, safety and comfort, job quality and operation are paramount. Extensive</w:t>
      </w:r>
      <w:r w:rsidR="0032126B">
        <w:t>,</w:t>
      </w:r>
      <w:r w:rsidR="00296C0A">
        <w:t xml:space="preserve"> tailored training will be offered in English and Spanish in both the classroom and in the field to assure adoption of and satisfaction with </w:t>
      </w:r>
      <w:r w:rsidR="0032126B">
        <w:t>ZEE</w:t>
      </w:r>
      <w:r w:rsidR="00296C0A">
        <w:t xml:space="preserve">. FLAP will support extensive outreach to Spanish-speaking landscapers through their </w:t>
      </w:r>
      <w:r w:rsidR="00CE7F79">
        <w:t>C</w:t>
      </w:r>
      <w:r w:rsidR="00296C0A">
        <w:t xml:space="preserve">ommunity Navigator program.  </w:t>
      </w:r>
    </w:p>
    <w:p w14:paraId="1540EB94" w14:textId="77777777" w:rsidR="00ED035D" w:rsidRDefault="00ED035D" w:rsidP="00C016C5"/>
    <w:p w14:paraId="6433CB5C" w14:textId="07A22038" w:rsidR="00177541" w:rsidRDefault="00762C47" w:rsidP="00C016C5">
      <w:r>
        <w:t xml:space="preserve">ILCA will promote </w:t>
      </w:r>
      <w:r w:rsidR="00177541">
        <w:t>LEEP</w:t>
      </w:r>
      <w:r>
        <w:t xml:space="preserve"> through their digital and print member communications broadly reaching </w:t>
      </w:r>
      <w:r w:rsidR="009B3102">
        <w:t>20,000 members and stakeholders. Eight hundred landscape companies are</w:t>
      </w:r>
      <w:r w:rsidR="00177541">
        <w:t xml:space="preserve"> member </w:t>
      </w:r>
      <w:r w:rsidR="009B3102">
        <w:t>of ILCA</w:t>
      </w:r>
      <w:r w:rsidR="00177541">
        <w:t xml:space="preserve">. </w:t>
      </w:r>
      <w:bookmarkStart w:id="8" w:name="_Hlk162555055"/>
      <w:r w:rsidR="005627F8">
        <w:t>T</w:t>
      </w:r>
      <w:r w:rsidR="005627F8" w:rsidRPr="00644B2B">
        <w:t>hrough bilingual Community Navigators</w:t>
      </w:r>
      <w:r w:rsidR="005627F8">
        <w:t xml:space="preserve">, </w:t>
      </w:r>
      <w:r w:rsidR="00644B2B" w:rsidRPr="00644B2B">
        <w:t xml:space="preserve">FLAP will drive deeper </w:t>
      </w:r>
      <w:r w:rsidR="00644B2B">
        <w:t xml:space="preserve">ZEE </w:t>
      </w:r>
      <w:r w:rsidR="00644B2B" w:rsidRPr="00644B2B">
        <w:t xml:space="preserve">adoption </w:t>
      </w:r>
      <w:r w:rsidR="005627F8">
        <w:t xml:space="preserve">by </w:t>
      </w:r>
      <w:r w:rsidR="005627F8" w:rsidRPr="00644B2B">
        <w:t>small Latino-owned landscape companies</w:t>
      </w:r>
      <w:r w:rsidR="005627F8">
        <w:t xml:space="preserve"> </w:t>
      </w:r>
      <w:r w:rsidR="005627F8" w:rsidRPr="00644B2B">
        <w:t>that are likely to possess older, potentially less efficient gasoline and diesel-powered LGE</w:t>
      </w:r>
      <w:bookmarkEnd w:id="8"/>
      <w:r w:rsidR="00644B2B" w:rsidRPr="00644B2B">
        <w:t>.</w:t>
      </w:r>
      <w:r w:rsidR="005627F8">
        <w:t xml:space="preserve"> </w:t>
      </w:r>
      <w:r w:rsidR="00177541">
        <w:t xml:space="preserve">FLAP will promote LEEP through dozens of Know-Your-Rights presentations </w:t>
      </w:r>
      <w:r w:rsidR="005627F8">
        <w:t xml:space="preserve">designed to educate landscape workers </w:t>
      </w:r>
      <w:r w:rsidR="00177541">
        <w:t xml:space="preserve">in </w:t>
      </w:r>
      <w:r w:rsidR="0032126B">
        <w:t xml:space="preserve">predominantly Latino LIDAC </w:t>
      </w:r>
      <w:r w:rsidR="00177541">
        <w:t>communities. FLAP will also secure Spanish radio and print media advertising to encourage Latino participation in LEEP.</w:t>
      </w:r>
      <w:r w:rsidR="00B87386" w:rsidRPr="00B87386">
        <w:t xml:space="preserve"> </w:t>
      </w:r>
    </w:p>
    <w:p w14:paraId="73A243F3" w14:textId="7404799F" w:rsidR="00C016C5" w:rsidRDefault="00177541" w:rsidP="00C016C5">
      <w:bookmarkStart w:id="9" w:name="_Hlk162550846"/>
      <w:r>
        <w:t xml:space="preserve"> </w:t>
      </w:r>
    </w:p>
    <w:p w14:paraId="262A959B" w14:textId="0383EA6F" w:rsidR="00302E54" w:rsidRDefault="00302E54" w:rsidP="00302E54">
      <w:r>
        <w:t>See Section 3</w:t>
      </w:r>
      <w:r w:rsidR="00745362">
        <w:t>C</w:t>
      </w:r>
      <w:r>
        <w:t xml:space="preserve">, </w:t>
      </w:r>
      <w:r w:rsidR="00745362">
        <w:t xml:space="preserve">for key project milestones and </w:t>
      </w:r>
      <w:r w:rsidR="00B078BE">
        <w:t>LEEP I</w:t>
      </w:r>
      <w:r w:rsidR="00745362">
        <w:t xml:space="preserve">mplementation </w:t>
      </w:r>
      <w:r w:rsidR="00B078BE">
        <w:t>T</w:t>
      </w:r>
      <w:r w:rsidR="00745362">
        <w:t xml:space="preserve">imeline relative to Outcomes and Outputs </w:t>
      </w:r>
      <w:r w:rsidR="005627F8">
        <w:t xml:space="preserve">that are </w:t>
      </w:r>
      <w:r w:rsidR="00745362">
        <w:t xml:space="preserve">detailed in Section 3A. </w:t>
      </w:r>
    </w:p>
    <w:p w14:paraId="5A4C86B3" w14:textId="77777777" w:rsidR="00302E54" w:rsidRDefault="00302E54" w:rsidP="00C016C5"/>
    <w:bookmarkEnd w:id="9"/>
    <w:p w14:paraId="59145C23" w14:textId="22F010BE" w:rsidR="00757178" w:rsidRDefault="00757178" w:rsidP="00AD79D6">
      <w:pPr>
        <w:pStyle w:val="Heading3"/>
      </w:pPr>
      <w:r>
        <w:t>LEEP Risks</w:t>
      </w:r>
      <w:r w:rsidR="000A7841">
        <w:t xml:space="preserve"> and Risk Mitigation</w:t>
      </w:r>
      <w:r>
        <w:t xml:space="preserve"> </w:t>
      </w:r>
    </w:p>
    <w:p w14:paraId="7D1F8945" w14:textId="07EFA1C9" w:rsidR="00757178" w:rsidRDefault="00757178" w:rsidP="00757178">
      <w:r>
        <w:t xml:space="preserve">LEEP could be delayed in reaching its objectives due to several unknowns in both the residential and commercial programs.  </w:t>
      </w:r>
      <w:r w:rsidR="0032126B">
        <w:t>For this transformative</w:t>
      </w:r>
      <w:r>
        <w:t xml:space="preserve"> new program, LEEP partners will need to develop expertise in collecting LGE and processing for scrappage. A review of authority and processes to responsibly drain </w:t>
      </w:r>
      <w:r w:rsidR="006722FF">
        <w:t>fluids</w:t>
      </w:r>
      <w:r>
        <w:t xml:space="preserve"> from LGE and properly dispose of </w:t>
      </w:r>
      <w:r w:rsidR="005A6211">
        <w:t>it</w:t>
      </w:r>
      <w:r>
        <w:t xml:space="preserve"> </w:t>
      </w:r>
      <w:r w:rsidR="0032126B">
        <w:t xml:space="preserve">will </w:t>
      </w:r>
      <w:r w:rsidR="005627F8">
        <w:t xml:space="preserve">be </w:t>
      </w:r>
      <w:r w:rsidR="0032126B">
        <w:t>need</w:t>
      </w:r>
      <w:r w:rsidR="005627F8">
        <w:t>ed</w:t>
      </w:r>
      <w:r w:rsidR="0032126B">
        <w:t xml:space="preserve"> for the program </w:t>
      </w:r>
      <w:r w:rsidR="006900BB">
        <w:t>to</w:t>
      </w:r>
      <w:r w:rsidR="0032126B">
        <w:t xml:space="preserve"> begin.</w:t>
      </w:r>
      <w:r>
        <w:t xml:space="preserve"> Partners from ISTC, hazardous waste </w:t>
      </w:r>
      <w:r w:rsidR="005627F8">
        <w:t>facilities,</w:t>
      </w:r>
      <w:r>
        <w:t xml:space="preserve"> and other solid waste agencies will do research to fully understand authorities, identify vendors</w:t>
      </w:r>
      <w:r w:rsidR="006722FF">
        <w:t>,</w:t>
      </w:r>
      <w:r>
        <w:t xml:space="preserve"> and establish </w:t>
      </w:r>
      <w:r w:rsidR="005A6211">
        <w:t>guid</w:t>
      </w:r>
      <w:r w:rsidR="009C6AA6">
        <w:t>ance for</w:t>
      </w:r>
      <w:r w:rsidR="005A6211">
        <w:t xml:space="preserve"> scrappage practice</w:t>
      </w:r>
      <w:r>
        <w:t xml:space="preserve">s.  </w:t>
      </w:r>
    </w:p>
    <w:p w14:paraId="3DE2251C" w14:textId="77777777" w:rsidR="00757178" w:rsidRDefault="00757178" w:rsidP="00757178"/>
    <w:p w14:paraId="27B6858E" w14:textId="2A139C36" w:rsidR="00757178" w:rsidRDefault="00757178" w:rsidP="00757178">
      <w:r>
        <w:t xml:space="preserve">Another unknown is how program participants will be paid their rebate or voucher.  A review of LGE incentive programs nationwide show a variety of models that only pay incentives for purchase and do not require equipment destruction.  Other program models put the responsibility for draining oil and gas and scrapping old equipment on the consumer. </w:t>
      </w:r>
      <w:r w:rsidR="006900BB">
        <w:t>Program m</w:t>
      </w:r>
      <w:r>
        <w:t>odels from the energy efficiency sector show success with point of purchase rebates. However, this processing of vouchers/rebates/incentives needs further planning and capable partners need to be identified and brought on as subrecipients or subcontractors, following compliant procurement.</w:t>
      </w:r>
    </w:p>
    <w:p w14:paraId="202E5F05" w14:textId="77777777" w:rsidR="00757178" w:rsidRDefault="00757178" w:rsidP="00757178"/>
    <w:p w14:paraId="2E0012C4" w14:textId="68383130" w:rsidR="00757178" w:rsidRDefault="00757178" w:rsidP="00757178">
      <w:r>
        <w:t>Finally, the commercial landscape industry may not be incentivized to make the switch at the LEEP rebate/incentive rates we propose. California programs offer 75-80% of the cost of new electric equipment. At this rate, our program cannot demonstrate cost effectiveness.  We are proposing commercial incentives at 50</w:t>
      </w:r>
      <w:r w:rsidR="00615114">
        <w:t>%</w:t>
      </w:r>
      <w:r>
        <w:t xml:space="preserve"> of the cost of new electric equipment and full cost for battery packs and chargers.  The Caucus will work with partners to design a strategic rebate program and will adjust the rates to successfully deliver program outcomes and outputs.</w:t>
      </w:r>
    </w:p>
    <w:p w14:paraId="53DCBBC6" w14:textId="77777777" w:rsidR="00757178" w:rsidRPr="00CA3EA6" w:rsidRDefault="00757178" w:rsidP="00757178"/>
    <w:p w14:paraId="6E99B9A7" w14:textId="227065B6" w:rsidR="0081384E" w:rsidRPr="001C210F" w:rsidRDefault="0081384E" w:rsidP="0081384E">
      <w:pPr>
        <w:pStyle w:val="Heading2"/>
        <w:rPr>
          <w:color w:val="C45911" w:themeColor="accent2" w:themeShade="BF"/>
        </w:rPr>
      </w:pPr>
      <w:r>
        <w:t>B. Demonstration of Funding Need</w:t>
      </w:r>
      <w:r w:rsidR="001C210F">
        <w:t xml:space="preserve"> </w:t>
      </w:r>
    </w:p>
    <w:p w14:paraId="5FC0229C" w14:textId="5D3A50C7" w:rsidR="00804381" w:rsidRDefault="00804381" w:rsidP="00804381">
      <w:r>
        <w:t xml:space="preserve">No other state, federal or electric utility funding source has yet been identified that could support </w:t>
      </w:r>
      <w:r w:rsidR="00DE2D29">
        <w:t>region wide</w:t>
      </w:r>
      <w:r>
        <w:t xml:space="preserve"> </w:t>
      </w:r>
      <w:r w:rsidR="00565FA4">
        <w:t xml:space="preserve">LGE </w:t>
      </w:r>
      <w:r>
        <w:t>electrification.</w:t>
      </w:r>
      <w:r w:rsidR="001531BC">
        <w:t xml:space="preserve"> Diesel Emissions Reduction Act (DERA) grants support </w:t>
      </w:r>
      <w:r w:rsidR="00302E54">
        <w:t>decarbonization</w:t>
      </w:r>
      <w:r w:rsidR="001531BC">
        <w:t xml:space="preserve"> of school buses, agricultural and construction</w:t>
      </w:r>
      <w:r w:rsidR="000F53B2">
        <w:t xml:space="preserve"> equipment</w:t>
      </w:r>
      <w:r w:rsidR="0032126B">
        <w:t xml:space="preserve"> and the</w:t>
      </w:r>
      <w:r w:rsidR="00565FA4">
        <w:t xml:space="preserve"> Clean Ports Program support</w:t>
      </w:r>
      <w:r w:rsidR="00302E54">
        <w:t>s</w:t>
      </w:r>
      <w:r w:rsidR="00565FA4">
        <w:t xml:space="preserve"> freight</w:t>
      </w:r>
      <w:r w:rsidR="001531BC">
        <w:t xml:space="preserve"> equipment</w:t>
      </w:r>
      <w:r w:rsidR="00565FA4">
        <w:t xml:space="preserve"> and processes. </w:t>
      </w:r>
      <w:r w:rsidR="00302E54">
        <w:t xml:space="preserve">DERA does not support </w:t>
      </w:r>
      <w:r w:rsidR="009C6AA6">
        <w:t xml:space="preserve">diesel </w:t>
      </w:r>
      <w:r w:rsidR="00302E54">
        <w:t>l</w:t>
      </w:r>
      <w:r w:rsidR="001531BC">
        <w:t xml:space="preserve">andscape equipment. </w:t>
      </w:r>
    </w:p>
    <w:p w14:paraId="781E0D9C" w14:textId="77777777" w:rsidR="001531BC" w:rsidRDefault="001531BC" w:rsidP="00804381"/>
    <w:p w14:paraId="0CDF9A44" w14:textId="08990FAB" w:rsidR="001531BC" w:rsidRDefault="001531BC" w:rsidP="00804381">
      <w:r>
        <w:t xml:space="preserve">Through the National Electric Vehicle Infrastructure program (NEVI) funding is available for electric vehicle (EV) charging infrastructure. </w:t>
      </w:r>
      <w:hyperlink r:id="rId18" w:history="1">
        <w:r w:rsidRPr="00EC0BFB">
          <w:rPr>
            <w:rStyle w:val="Hyperlink"/>
          </w:rPr>
          <w:t xml:space="preserve">Illinois also </w:t>
        </w:r>
        <w:r w:rsidR="00E33F75" w:rsidRPr="00EC0BFB">
          <w:rPr>
            <w:rStyle w:val="Hyperlink"/>
          </w:rPr>
          <w:t>fu</w:t>
        </w:r>
        <w:r w:rsidR="00E33F75" w:rsidRPr="00EC0BFB">
          <w:rPr>
            <w:rStyle w:val="Hyperlink"/>
          </w:rPr>
          <w:t>n</w:t>
        </w:r>
        <w:r w:rsidR="00E33F75" w:rsidRPr="00EC0BFB">
          <w:rPr>
            <w:rStyle w:val="Hyperlink"/>
          </w:rPr>
          <w:t>ds EV rebates and grants</w:t>
        </w:r>
      </w:hyperlink>
      <w:r w:rsidR="00E33F75">
        <w:t xml:space="preserve"> for EV charging from</w:t>
      </w:r>
      <w:r>
        <w:t xml:space="preserve"> </w:t>
      </w:r>
      <w:r w:rsidR="009C6AA6">
        <w:t xml:space="preserve">sources including </w:t>
      </w:r>
      <w:r>
        <w:t xml:space="preserve">state </w:t>
      </w:r>
      <w:r w:rsidR="009C6AA6">
        <w:t>fund</w:t>
      </w:r>
      <w:r>
        <w:t>, NEVI, and VW settlement fund</w:t>
      </w:r>
      <w:r w:rsidR="00E33F75">
        <w:t>s</w:t>
      </w:r>
      <w:r w:rsidR="00144914">
        <w:t xml:space="preserve">. </w:t>
      </w:r>
      <w:r w:rsidR="00302E54">
        <w:t>LGE</w:t>
      </w:r>
      <w:r w:rsidR="00144914">
        <w:t xml:space="preserve"> is not eligible</w:t>
      </w:r>
      <w:r w:rsidR="00302E54">
        <w:t xml:space="preserve"> for </w:t>
      </w:r>
      <w:r w:rsidR="009C6AA6">
        <w:t>these programs</w:t>
      </w:r>
      <w:r w:rsidR="00144914">
        <w:t>.</w:t>
      </w:r>
    </w:p>
    <w:p w14:paraId="302CD499" w14:textId="77777777" w:rsidR="00144914" w:rsidRDefault="00144914" w:rsidP="00804381"/>
    <w:p w14:paraId="2DBBE38D" w14:textId="4CB9C018" w:rsidR="00CE476E" w:rsidRDefault="000B1B8F" w:rsidP="00804381">
      <w:r>
        <w:t xml:space="preserve">The Caucus has been actively monitoring funding opportunities to electrify LGE. In 2023, we pioneered the </w:t>
      </w:r>
      <w:hyperlink r:id="rId19" w:history="1">
        <w:r w:rsidRPr="00EC0BFB">
          <w:rPr>
            <w:rStyle w:val="Hyperlink"/>
          </w:rPr>
          <w:t>EV Readi</w:t>
        </w:r>
        <w:r w:rsidRPr="00EC0BFB">
          <w:rPr>
            <w:rStyle w:val="Hyperlink"/>
          </w:rPr>
          <w:t>n</w:t>
        </w:r>
        <w:r w:rsidRPr="00EC0BFB">
          <w:rPr>
            <w:rStyle w:val="Hyperlink"/>
          </w:rPr>
          <w:t>ess Program</w:t>
        </w:r>
      </w:hyperlink>
      <w:r>
        <w:t xml:space="preserve"> to support local governments in adopting policies and practices to accelerate transportation electrification. This work complements our </w:t>
      </w:r>
      <w:r w:rsidR="009C6AA6">
        <w:t xml:space="preserve">LEEP </w:t>
      </w:r>
      <w:r w:rsidR="00302E54">
        <w:t>program design</w:t>
      </w:r>
      <w:r>
        <w:t xml:space="preserve"> </w:t>
      </w:r>
      <w:r w:rsidR="00EC0BFB">
        <w:t>and establishes our partnerships.</w:t>
      </w:r>
      <w:r>
        <w:t xml:space="preserve">  </w:t>
      </w:r>
      <w:r w:rsidR="00302E54">
        <w:t>F</w:t>
      </w:r>
      <w:r w:rsidR="00EC0BFB">
        <w:t xml:space="preserve">unding of $200,000 for EV Readiness is provided by ComEd’s beneficial electrification investments, but funds cannot be used for the LGE electrification.  </w:t>
      </w:r>
      <w:r>
        <w:t xml:space="preserve">We submitted a Charging and Fueling Infrastructure grant </w:t>
      </w:r>
      <w:r w:rsidR="000F53B2">
        <w:t xml:space="preserve">(NEVI) </w:t>
      </w:r>
      <w:r>
        <w:t xml:space="preserve">request in June 2023 for $15 million </w:t>
      </w:r>
      <w:r w:rsidR="00302E54">
        <w:t xml:space="preserve">for </w:t>
      </w:r>
      <w:r w:rsidR="0057629F">
        <w:t xml:space="preserve">EV </w:t>
      </w:r>
      <w:r w:rsidR="00302E54">
        <w:t>charging infrastructure in</w:t>
      </w:r>
      <w:r>
        <w:t xml:space="preserve"> 37 communities but our request was declined.</w:t>
      </w:r>
      <w:r w:rsidR="00CE476E">
        <w:t xml:space="preserve"> </w:t>
      </w:r>
      <w:r w:rsidR="000F53B2">
        <w:t>T</w:t>
      </w:r>
      <w:r w:rsidR="00CE476E">
        <w:t xml:space="preserve">he Caucus received a Congressionally Directed Spending award of $500,000 </w:t>
      </w:r>
      <w:r>
        <w:t>(</w:t>
      </w:r>
      <w:r w:rsidRPr="000B1B8F">
        <w:t>Fiscal Year 2023 Omnibus Appropriations Act</w:t>
      </w:r>
      <w:r>
        <w:t>)</w:t>
      </w:r>
      <w:r w:rsidRPr="000B1B8F">
        <w:t xml:space="preserve">, </w:t>
      </w:r>
      <w:r w:rsidR="00CE476E">
        <w:t>for “Municipal EV Readiness</w:t>
      </w:r>
      <w:r>
        <w:t xml:space="preserve">” through FHWA, but funds have not yet been awarded. Again, LGE is not eligible.  </w:t>
      </w:r>
    </w:p>
    <w:p w14:paraId="6612BD89" w14:textId="77777777" w:rsidR="000B1B8F" w:rsidRDefault="000B1B8F" w:rsidP="00804381"/>
    <w:p w14:paraId="66045755" w14:textId="0B62605C" w:rsidR="0081384E" w:rsidRDefault="00144914" w:rsidP="00F223A1">
      <w:pPr>
        <w:pStyle w:val="Default"/>
      </w:pPr>
      <w:r w:rsidRPr="00144914">
        <w:rPr>
          <w:sz w:val="22"/>
          <w:szCs w:val="22"/>
        </w:rPr>
        <w:t xml:space="preserve">Under the </w:t>
      </w:r>
      <w:r w:rsidR="00EC0BFB">
        <w:rPr>
          <w:sz w:val="22"/>
          <w:szCs w:val="22"/>
        </w:rPr>
        <w:t>IRA</w:t>
      </w:r>
      <w:r w:rsidRPr="00144914">
        <w:rPr>
          <w:sz w:val="22"/>
          <w:szCs w:val="22"/>
        </w:rPr>
        <w:t xml:space="preserve"> </w:t>
      </w:r>
      <w:r>
        <w:t>(</w:t>
      </w:r>
      <w:r>
        <w:rPr>
          <w:sz w:val="22"/>
          <w:szCs w:val="22"/>
        </w:rPr>
        <w:t>section 45W</w:t>
      </w:r>
      <w:r>
        <w:t>)</w:t>
      </w:r>
      <w:r>
        <w:rPr>
          <w:sz w:val="22"/>
          <w:szCs w:val="22"/>
        </w:rPr>
        <w:t xml:space="preserve"> credit for qualified commercial clean vehicles (QCCV) could provide a</w:t>
      </w:r>
      <w:r w:rsidRPr="00144914">
        <w:rPr>
          <w:sz w:val="22"/>
          <w:szCs w:val="22"/>
        </w:rPr>
        <w:t xml:space="preserve"> maximum </w:t>
      </w:r>
      <w:r w:rsidR="0057629F">
        <w:rPr>
          <w:sz w:val="22"/>
          <w:szCs w:val="22"/>
        </w:rPr>
        <w:t xml:space="preserve">tax </w:t>
      </w:r>
      <w:r w:rsidRPr="00144914">
        <w:rPr>
          <w:sz w:val="22"/>
          <w:szCs w:val="22"/>
        </w:rPr>
        <w:t>credit</w:t>
      </w:r>
      <w:r w:rsidR="00521181">
        <w:rPr>
          <w:sz w:val="22"/>
          <w:szCs w:val="22"/>
        </w:rPr>
        <w:t xml:space="preserve"> of </w:t>
      </w:r>
      <w:r w:rsidR="00521181" w:rsidRPr="00144914">
        <w:rPr>
          <w:sz w:val="22"/>
          <w:szCs w:val="22"/>
        </w:rPr>
        <w:t>$7,500</w:t>
      </w:r>
      <w:r w:rsidRPr="00144914">
        <w:rPr>
          <w:sz w:val="22"/>
          <w:szCs w:val="22"/>
        </w:rPr>
        <w:t xml:space="preserve"> for a QCCV with a gross vehicle weight rating of less than 14,000 pounds</w:t>
      </w:r>
      <w:r w:rsidR="00521181">
        <w:rPr>
          <w:sz w:val="22"/>
          <w:szCs w:val="22"/>
        </w:rPr>
        <w:t>, such as commercial lawnmowers. However, IRA language was unclear about the definition “mobile machinery” and how commercial landscape equipment could comply, as they have no “VIN” numbers. As of December 2023, the IRS was accepting comments (</w:t>
      </w:r>
      <w:r w:rsidR="00521181" w:rsidRPr="00521181">
        <w:rPr>
          <w:sz w:val="22"/>
          <w:szCs w:val="22"/>
        </w:rPr>
        <w:t>Notice 2022-56</w:t>
      </w:r>
      <w:r w:rsidR="00521181">
        <w:rPr>
          <w:sz w:val="22"/>
          <w:szCs w:val="22"/>
        </w:rPr>
        <w:t xml:space="preserve">) about section 45W rules.  </w:t>
      </w:r>
      <w:r w:rsidR="0032126B">
        <w:rPr>
          <w:sz w:val="22"/>
          <w:szCs w:val="22"/>
        </w:rPr>
        <w:t>According to the National Association of Landscape Professionals</w:t>
      </w:r>
      <w:r w:rsidR="0032126B">
        <w:rPr>
          <w:rStyle w:val="FootnoteReference"/>
          <w:sz w:val="22"/>
          <w:szCs w:val="22"/>
        </w:rPr>
        <w:footnoteReference w:id="6"/>
      </w:r>
      <w:r w:rsidR="0032126B">
        <w:rPr>
          <w:sz w:val="22"/>
          <w:szCs w:val="22"/>
        </w:rPr>
        <w:t>, this uncertainty about eligibility,</w:t>
      </w:r>
      <w:r w:rsidR="00521181">
        <w:rPr>
          <w:sz w:val="22"/>
          <w:szCs w:val="22"/>
        </w:rPr>
        <w:t xml:space="preserve"> will </w:t>
      </w:r>
      <w:r w:rsidR="00EC0BFB">
        <w:rPr>
          <w:sz w:val="22"/>
          <w:szCs w:val="22"/>
        </w:rPr>
        <w:t xml:space="preserve">probably </w:t>
      </w:r>
      <w:r w:rsidR="00F223A1">
        <w:rPr>
          <w:sz w:val="22"/>
          <w:szCs w:val="22"/>
        </w:rPr>
        <w:t xml:space="preserve">delay </w:t>
      </w:r>
      <w:r w:rsidR="00675AB3">
        <w:rPr>
          <w:sz w:val="22"/>
          <w:szCs w:val="22"/>
        </w:rPr>
        <w:t>company owners from</w:t>
      </w:r>
      <w:r w:rsidR="00F223A1">
        <w:rPr>
          <w:sz w:val="22"/>
          <w:szCs w:val="22"/>
        </w:rPr>
        <w:t xml:space="preserve"> investing in </w:t>
      </w:r>
      <w:r w:rsidR="00675AB3">
        <w:rPr>
          <w:sz w:val="22"/>
          <w:szCs w:val="22"/>
        </w:rPr>
        <w:t>ZEE</w:t>
      </w:r>
      <w:r w:rsidR="00E33F75">
        <w:rPr>
          <w:sz w:val="22"/>
          <w:szCs w:val="22"/>
        </w:rPr>
        <w:t>. However, should commercial lawnmowers be confirmed eligible, electrification will accelerate</w:t>
      </w:r>
      <w:r w:rsidR="000F53B2">
        <w:rPr>
          <w:sz w:val="22"/>
          <w:szCs w:val="22"/>
        </w:rPr>
        <w:t>, especially when stacked with rebates through LEEP</w:t>
      </w:r>
      <w:r w:rsidR="00E33F75">
        <w:rPr>
          <w:sz w:val="22"/>
          <w:szCs w:val="22"/>
        </w:rPr>
        <w:t>.</w:t>
      </w:r>
    </w:p>
    <w:p w14:paraId="1748EDA5" w14:textId="26154AC9" w:rsidR="002F3EBF" w:rsidRDefault="002F3EBF" w:rsidP="0081384E">
      <w:r>
        <w:tab/>
      </w:r>
    </w:p>
    <w:p w14:paraId="6D3C9984" w14:textId="3A2B4FB0" w:rsidR="0081384E" w:rsidRDefault="00E33F75" w:rsidP="0081384E">
      <w:r>
        <w:t xml:space="preserve">The Illinois </w:t>
      </w:r>
      <w:r w:rsidR="0057629F">
        <w:t>C</w:t>
      </w:r>
      <w:r>
        <w:t>limate and Equitable Jobs Act, signed into law in 2021 required electric utilities to prepare Beneficial Electrification</w:t>
      </w:r>
      <w:r w:rsidR="000A2A15">
        <w:t xml:space="preserve"> (BE)</w:t>
      </w:r>
      <w:r>
        <w:t xml:space="preserve"> plans to speed the transition to electric building and vehicles, especially for equity-eligible communities. </w:t>
      </w:r>
      <w:r w:rsidR="0081384E">
        <w:t xml:space="preserve">ComEd’s </w:t>
      </w:r>
      <w:r w:rsidR="00836B8E">
        <w:t>BE Plan</w:t>
      </w:r>
      <w:r>
        <w:t xml:space="preserve"> is now approved by the Illinois Commerce Commission and </w:t>
      </w:r>
      <w:hyperlink r:id="rId20" w:history="1">
        <w:r w:rsidRPr="00E33F75">
          <w:rPr>
            <w:rStyle w:val="Hyperlink"/>
          </w:rPr>
          <w:t>new rebate program</w:t>
        </w:r>
        <w:r w:rsidRPr="00E33F75">
          <w:rPr>
            <w:rStyle w:val="Hyperlink"/>
          </w:rPr>
          <w:t>s</w:t>
        </w:r>
        <w:r w:rsidRPr="00E33F75">
          <w:rPr>
            <w:rStyle w:val="Hyperlink"/>
          </w:rPr>
          <w:t xml:space="preserve"> are underway</w:t>
        </w:r>
      </w:hyperlink>
      <w:r>
        <w:t xml:space="preserve">.  </w:t>
      </w:r>
      <w:r w:rsidR="00836B8E">
        <w:t xml:space="preserve">Of $63 million available for commercial and industrial electrification, including forklifts and industrial processes, nothing is allocated for </w:t>
      </w:r>
      <w:r w:rsidR="000A2A15">
        <w:t>LGE</w:t>
      </w:r>
      <w:r w:rsidR="00836B8E">
        <w:t>.  Of the $15 million allocated for residential electrification, only home appliances, EVs and EV chargers are eligible. Nothing i</w:t>
      </w:r>
      <w:r w:rsidR="00EC0BFB">
        <w:t>s</w:t>
      </w:r>
      <w:r w:rsidR="00836B8E">
        <w:t xml:space="preserve"> offered for residential LGE either. While nothing is yet available, ComEd has expressed a willingness to consider </w:t>
      </w:r>
      <w:r w:rsidR="000A2A15">
        <w:t>LGE</w:t>
      </w:r>
      <w:r w:rsidR="00836B8E">
        <w:t xml:space="preserve"> in future BE programming. See attached letter of commitment from ComEd.</w:t>
      </w:r>
    </w:p>
    <w:p w14:paraId="7DD25754" w14:textId="77777777" w:rsidR="00020380" w:rsidRDefault="00020380" w:rsidP="0081384E">
      <w:pPr>
        <w:ind w:left="720"/>
      </w:pPr>
    </w:p>
    <w:p w14:paraId="16E95360" w14:textId="69672D66" w:rsidR="00EF5386" w:rsidRDefault="00EF5386" w:rsidP="00EF5386">
      <w:r>
        <w:t xml:space="preserve">The cost to electrify, including equipment, batteries, and electrical upgrades to support both mobile and onsite charging presents a significant economic barrier to the landscape industry. This is especially true for the small, sole proprietorships, the majority of which are Latino-owned.  As markets and local regulations begin to pressure companies to use zero emission electric equipment, these small businesses will be left behind.  On the other hand, investment in electric </w:t>
      </w:r>
      <w:r w:rsidR="003F12AF">
        <w:t>LGE</w:t>
      </w:r>
      <w:r>
        <w:t xml:space="preserve"> will support the growth of both small and large landscape companies which contributes </w:t>
      </w:r>
      <w:r w:rsidR="003F12AF">
        <w:t xml:space="preserve">$7.2 billion </w:t>
      </w:r>
      <w:r>
        <w:t>to the IL economy.</w:t>
      </w:r>
      <w:r w:rsidR="003F12AF">
        <w:rPr>
          <w:rStyle w:val="FootnoteReference"/>
        </w:rPr>
        <w:footnoteReference w:id="7"/>
      </w:r>
    </w:p>
    <w:p w14:paraId="27D37EAB" w14:textId="77777777" w:rsidR="00EF5386" w:rsidRDefault="00EF5386" w:rsidP="00EF5386"/>
    <w:p w14:paraId="244B955F" w14:textId="50560654" w:rsidR="00020380" w:rsidRDefault="00B30266" w:rsidP="0081384E">
      <w:r w:rsidRPr="00F35BD0">
        <w:rPr>
          <w:noProof/>
        </w:rPr>
        <w:drawing>
          <wp:anchor distT="0" distB="0" distL="114300" distR="114300" simplePos="0" relativeHeight="251658240" behindDoc="0" locked="0" layoutInCell="1" allowOverlap="1" wp14:anchorId="2514797E" wp14:editId="307AD0BF">
            <wp:simplePos x="0" y="0"/>
            <wp:positionH relativeFrom="margin">
              <wp:posOffset>-381000</wp:posOffset>
            </wp:positionH>
            <wp:positionV relativeFrom="paragraph">
              <wp:posOffset>483870</wp:posOffset>
            </wp:positionV>
            <wp:extent cx="6927215" cy="2796540"/>
            <wp:effectExtent l="19050" t="19050" r="26035" b="22860"/>
            <wp:wrapTopAndBottom/>
            <wp:docPr id="4123438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927215" cy="2796540"/>
                    </a:xfrm>
                    <a:prstGeom prst="rect">
                      <a:avLst/>
                    </a:prstGeom>
                    <a:noFill/>
                    <a:ln w="9525">
                      <a:solidFill>
                        <a:schemeClr val="accent1"/>
                      </a:solidFill>
                    </a:ln>
                  </pic:spPr>
                </pic:pic>
              </a:graphicData>
            </a:graphic>
            <wp14:sizeRelH relativeFrom="margin">
              <wp14:pctWidth>0</wp14:pctWidth>
            </wp14:sizeRelH>
            <wp14:sizeRelV relativeFrom="margin">
              <wp14:pctHeight>0</wp14:pctHeight>
            </wp14:sizeRelV>
          </wp:anchor>
        </w:drawing>
      </w:r>
      <w:r w:rsidR="00D37F51">
        <w:t>The following c</w:t>
      </w:r>
      <w:r w:rsidR="00020380">
        <w:t xml:space="preserve">osts for both commercial and electric equipment alternatives were provided by </w:t>
      </w:r>
      <w:r w:rsidR="00327A35">
        <w:t xml:space="preserve">ILCA and AGZA </w:t>
      </w:r>
      <w:r w:rsidR="00020380">
        <w:t xml:space="preserve">in consultation with landscape equipment distributors.  </w:t>
      </w:r>
    </w:p>
    <w:p w14:paraId="50EA1EBC" w14:textId="726D4220" w:rsidR="00F35BD0" w:rsidRPr="0081384E" w:rsidRDefault="00F35BD0" w:rsidP="0081384E"/>
    <w:p w14:paraId="2A15A742" w14:textId="4CFAB6CE" w:rsidR="001F26AD" w:rsidRPr="00010FA9" w:rsidRDefault="0081384E" w:rsidP="00010FA9">
      <w:pPr>
        <w:pStyle w:val="Heading2"/>
        <w:rPr>
          <w:color w:val="C45911" w:themeColor="accent2" w:themeShade="BF"/>
        </w:rPr>
      </w:pPr>
      <w:r>
        <w:t>C. Transformative Impact</w:t>
      </w:r>
      <w:r w:rsidR="001C210F">
        <w:t xml:space="preserve"> </w:t>
      </w:r>
    </w:p>
    <w:p w14:paraId="3FF70841" w14:textId="7E565095" w:rsidR="009C219A" w:rsidRDefault="003F12AF" w:rsidP="0081384E">
      <w:r>
        <w:t xml:space="preserve">As noted in </w:t>
      </w:r>
      <w:r w:rsidR="0057629F">
        <w:t>Section 1</w:t>
      </w:r>
      <w:r w:rsidR="0065522C">
        <w:t>B</w:t>
      </w:r>
      <w:r w:rsidR="0057629F">
        <w:t xml:space="preserve">, </w:t>
      </w:r>
      <w:r w:rsidRPr="0057629F">
        <w:t>Demonstration of Funding Need</w:t>
      </w:r>
      <w:r>
        <w:t xml:space="preserve">, above, no grant funds are identifiable that could accelerate the transition of lawn and garden equipment to clean electric. </w:t>
      </w:r>
      <w:r w:rsidR="009C219A">
        <w:t xml:space="preserve">Yet the potential </w:t>
      </w:r>
      <w:r w:rsidR="001F26AD">
        <w:t xml:space="preserve">significant </w:t>
      </w:r>
      <w:r w:rsidR="009C219A">
        <w:t>benefits for this transformation are GHG reduction, CAP</w:t>
      </w:r>
      <w:r w:rsidR="0057629F">
        <w:t xml:space="preserve">, </w:t>
      </w:r>
      <w:r w:rsidR="009C219A">
        <w:t xml:space="preserve">HAP </w:t>
      </w:r>
      <w:r w:rsidR="0057629F">
        <w:t xml:space="preserve">and noise </w:t>
      </w:r>
      <w:r w:rsidR="009C219A">
        <w:t xml:space="preserve">pollution reduction, and health equity benefits to LIDAC. </w:t>
      </w:r>
      <w:r w:rsidR="001F26AD">
        <w:t xml:space="preserve">Seven percent of the region’s </w:t>
      </w:r>
      <w:r w:rsidR="009D2965">
        <w:t xml:space="preserve">anthropogenic </w:t>
      </w:r>
      <w:r w:rsidR="001F26AD">
        <w:t>VOC emissions come from LGE.</w:t>
      </w:r>
      <w:r w:rsidR="00675AB3">
        <w:rPr>
          <w:rStyle w:val="FootnoteReference"/>
        </w:rPr>
        <w:footnoteReference w:id="8"/>
      </w:r>
      <w:r w:rsidR="001F26AD">
        <w:t xml:space="preserve"> </w:t>
      </w:r>
      <w:r>
        <w:t xml:space="preserve">Investment of CPRG funds would </w:t>
      </w:r>
      <w:r w:rsidR="009C219A">
        <w:t xml:space="preserve">create momentum and transform the LGE market to clean electric. As a novel program, </w:t>
      </w:r>
      <w:r w:rsidR="009949CF">
        <w:t>environmental outcomes</w:t>
      </w:r>
      <w:r w:rsidR="009C219A">
        <w:t xml:space="preserve"> can be attributed to CPRG investment.</w:t>
      </w:r>
    </w:p>
    <w:p w14:paraId="5E275BFC" w14:textId="77777777" w:rsidR="009C219A" w:rsidRDefault="009C219A" w:rsidP="0081384E"/>
    <w:p w14:paraId="162CFBC9" w14:textId="28E11149" w:rsidR="001F26AD" w:rsidRDefault="009949CF" w:rsidP="001F26AD">
      <w:pPr>
        <w:rPr>
          <w:rFonts w:ascii="Calibri" w:hAnsi="Calibri" w:cs="Calibri"/>
        </w:rPr>
      </w:pPr>
      <w:r>
        <w:t xml:space="preserve">The </w:t>
      </w:r>
      <w:r w:rsidR="00FD79A6">
        <w:t>Outdoor Power Equipment Institute</w:t>
      </w:r>
      <w:r w:rsidR="0065522C">
        <w:t xml:space="preserve"> (OPEI)</w:t>
      </w:r>
      <w:r w:rsidR="009C219A">
        <w:t xml:space="preserve"> estimates</w:t>
      </w:r>
      <w:r w:rsidR="009C219A">
        <w:rPr>
          <w:rStyle w:val="FootnoteReference"/>
        </w:rPr>
        <w:footnoteReference w:id="9"/>
      </w:r>
      <w:r w:rsidR="009C219A">
        <w:t xml:space="preserve"> that </w:t>
      </w:r>
      <w:r w:rsidR="0065522C">
        <w:t>ZEE</w:t>
      </w:r>
      <w:r w:rsidR="009C219A">
        <w:t xml:space="preserve"> </w:t>
      </w:r>
      <w:r w:rsidR="00FD79A6">
        <w:t xml:space="preserve">currently makes up </w:t>
      </w:r>
      <w:r w:rsidR="001D575C">
        <w:t>37</w:t>
      </w:r>
      <w:r w:rsidR="00FD79A6">
        <w:t xml:space="preserve">% </w:t>
      </w:r>
      <w:r>
        <w:t xml:space="preserve">of the residential </w:t>
      </w:r>
      <w:r w:rsidR="00FD79A6">
        <w:t xml:space="preserve">market share nationally. </w:t>
      </w:r>
      <w:r w:rsidR="001F26AD">
        <w:t xml:space="preserve">Local information for the Chicago </w:t>
      </w:r>
      <w:r>
        <w:t>market</w:t>
      </w:r>
      <w:r w:rsidR="001F26AD">
        <w:t xml:space="preserve"> is not available. </w:t>
      </w:r>
      <w:r w:rsidR="001F26AD">
        <w:rPr>
          <w:rFonts w:ascii="Calibri" w:hAnsi="Calibri" w:cs="Calibri"/>
        </w:rPr>
        <w:t>Consumer Reports shows that electric LGE is often more reliable, cheaper to own, and less disruptive to communities and workers</w:t>
      </w:r>
      <w:r w:rsidR="001F26AD">
        <w:rPr>
          <w:rStyle w:val="FootnoteReference"/>
          <w:rFonts w:ascii="Calibri" w:hAnsi="Calibri" w:cs="Calibri"/>
        </w:rPr>
        <w:footnoteReference w:id="10"/>
      </w:r>
      <w:r w:rsidR="001F26AD">
        <w:rPr>
          <w:rFonts w:ascii="Calibri" w:hAnsi="Calibri" w:cs="Calibri"/>
        </w:rPr>
        <w:t xml:space="preserve">.  </w:t>
      </w:r>
      <w:r w:rsidR="00FD79A6">
        <w:t xml:space="preserve">Therefore, a relatively modest investment </w:t>
      </w:r>
      <w:r w:rsidR="0065522C">
        <w:t>in in electric LGE</w:t>
      </w:r>
      <w:r w:rsidR="009C219A">
        <w:t xml:space="preserve"> </w:t>
      </w:r>
      <w:r w:rsidR="00FD79A6">
        <w:t>can spark rapid adoption</w:t>
      </w:r>
      <w:r w:rsidR="0065522C">
        <w:t xml:space="preserve">. If sustained, </w:t>
      </w:r>
      <w:r w:rsidR="00FD79A6">
        <w:t xml:space="preserve">gas-powered LGE </w:t>
      </w:r>
      <w:r w:rsidR="0065522C">
        <w:t xml:space="preserve">could be driven </w:t>
      </w:r>
      <w:r w:rsidR="00FD79A6">
        <w:t xml:space="preserve">out of the residential market by 2050. </w:t>
      </w:r>
    </w:p>
    <w:p w14:paraId="565BED9A" w14:textId="77777777" w:rsidR="00C25A70" w:rsidRDefault="00C25A70" w:rsidP="0081384E"/>
    <w:p w14:paraId="2F6037BB" w14:textId="335F9A3C" w:rsidR="0081384E" w:rsidRDefault="00C25A70" w:rsidP="0081384E">
      <w:r>
        <w:lastRenderedPageBreak/>
        <w:t>In some communities</w:t>
      </w:r>
      <w:r w:rsidR="004C5229">
        <w:t xml:space="preserve"> that are</w:t>
      </w:r>
      <w:r>
        <w:t xml:space="preserve"> well-served with recycling services, residents are highly motivated to participate in one-day recycling events that allow them to drop off items such as </w:t>
      </w:r>
      <w:r w:rsidRPr="00C25A70">
        <w:t>electronics, household chemicals, hazardous materials, scrap metals, foam plastics, and wood.</w:t>
      </w:r>
      <w:r>
        <w:t xml:space="preserve"> Will County</w:t>
      </w:r>
      <w:r w:rsidR="009B0FDE">
        <w:t xml:space="preserve">, home to 93 LIDAC </w:t>
      </w:r>
      <w:r w:rsidR="00121F45">
        <w:t>areas</w:t>
      </w:r>
      <w:r w:rsidR="009B0FDE">
        <w:t>,</w:t>
      </w:r>
      <w:r w:rsidR="004C5229">
        <w:t xml:space="preserve"> staff</w:t>
      </w:r>
      <w:r>
        <w:t xml:space="preserve"> report that </w:t>
      </w:r>
      <w:r w:rsidR="004C5229">
        <w:t>about</w:t>
      </w:r>
      <w:r>
        <w:t xml:space="preserve"> 1,000 vehicles carrying materials for recycling and reuse are received at their annual Recyclepalooza.  The </w:t>
      </w:r>
      <w:r w:rsidR="004C5229">
        <w:t>SWALCO</w:t>
      </w:r>
      <w:r w:rsidR="009B0FDE">
        <w:t xml:space="preserve"> which serves 160 LIDAC </w:t>
      </w:r>
      <w:r w:rsidR="00121F45">
        <w:t>areas</w:t>
      </w:r>
      <w:r w:rsidR="009B0FDE">
        <w:t>,</w:t>
      </w:r>
      <w:r>
        <w:t xml:space="preserve"> hosts </w:t>
      </w:r>
      <w:r w:rsidR="00675AB3">
        <w:t>20-30</w:t>
      </w:r>
      <w:r>
        <w:t xml:space="preserve"> </w:t>
      </w:r>
      <w:r w:rsidR="00675AB3">
        <w:t xml:space="preserve">drop-off recycling </w:t>
      </w:r>
      <w:r>
        <w:t xml:space="preserve">events </w:t>
      </w:r>
      <w:r w:rsidR="00675AB3">
        <w:t xml:space="preserve">serving 4,000 – 5,000 households annually. </w:t>
      </w:r>
      <w:r w:rsidR="009B0FDE">
        <w:t xml:space="preserve">We </w:t>
      </w:r>
      <w:r w:rsidR="00675AB3">
        <w:t>assume</w:t>
      </w:r>
      <w:r w:rsidR="009B0FDE">
        <w:t xml:space="preserve"> th</w:t>
      </w:r>
      <w:r w:rsidR="00675AB3">
        <w:t xml:space="preserve">e popularity of </w:t>
      </w:r>
      <w:r w:rsidR="00121F45">
        <w:t xml:space="preserve">drop-off </w:t>
      </w:r>
      <w:r w:rsidR="009B0FDE">
        <w:t xml:space="preserve">recycling predicts strong participation in the residential LGE </w:t>
      </w:r>
      <w:r w:rsidR="00A71555">
        <w:t>take back</w:t>
      </w:r>
      <w:r w:rsidR="009B0FDE">
        <w:t xml:space="preserve">/buy back events.  </w:t>
      </w:r>
    </w:p>
    <w:p w14:paraId="45149E99" w14:textId="77777777" w:rsidR="009B0FDE" w:rsidRDefault="009B0FDE" w:rsidP="0081384E"/>
    <w:p w14:paraId="4BBE4F31" w14:textId="3F3BBDF4" w:rsidR="00AD7C53" w:rsidRDefault="009B0FDE" w:rsidP="009B0FDE">
      <w:pPr>
        <w:rPr>
          <w:rFonts w:ascii="Calibri" w:hAnsi="Calibri" w:cs="Calibri"/>
        </w:rPr>
      </w:pPr>
      <w:r>
        <w:rPr>
          <w:rFonts w:ascii="Calibri" w:hAnsi="Calibri" w:cs="Calibri"/>
        </w:rPr>
        <w:t xml:space="preserve">In the commercial sector, utilization of </w:t>
      </w:r>
      <w:r w:rsidR="00121F45">
        <w:rPr>
          <w:rFonts w:ascii="Calibri" w:hAnsi="Calibri" w:cs="Calibri"/>
        </w:rPr>
        <w:t>ZEE</w:t>
      </w:r>
      <w:r>
        <w:rPr>
          <w:rFonts w:ascii="Calibri" w:hAnsi="Calibri" w:cs="Calibri"/>
        </w:rPr>
        <w:t xml:space="preserve"> is much more modest.</w:t>
      </w:r>
      <w:r w:rsidR="00AD7C53">
        <w:rPr>
          <w:rFonts w:ascii="Calibri" w:hAnsi="Calibri" w:cs="Calibri"/>
        </w:rPr>
        <w:t xml:space="preserve"> The </w:t>
      </w:r>
      <w:r w:rsidR="000169B3">
        <w:rPr>
          <w:rFonts w:ascii="Calibri" w:hAnsi="Calibri" w:cs="Calibri"/>
        </w:rPr>
        <w:t>OPEI</w:t>
      </w:r>
      <w:r w:rsidR="00AD7C53">
        <w:rPr>
          <w:rFonts w:ascii="Calibri" w:hAnsi="Calibri" w:cs="Calibri"/>
        </w:rPr>
        <w:t xml:space="preserve"> does not publish or share commercial market share information.  Other industry sources estimate 5-7% or commercial LGE is currently electric.</w:t>
      </w:r>
      <w:r w:rsidR="00AD7C53">
        <w:rPr>
          <w:rStyle w:val="FootnoteReference"/>
          <w:rFonts w:ascii="Calibri" w:hAnsi="Calibri" w:cs="Calibri"/>
        </w:rPr>
        <w:footnoteReference w:id="11"/>
      </w:r>
      <w:r>
        <w:rPr>
          <w:rFonts w:ascii="Calibri" w:hAnsi="Calibri" w:cs="Calibri"/>
        </w:rPr>
        <w:t xml:space="preserve">  </w:t>
      </w:r>
      <w:r w:rsidR="00AD7C53">
        <w:rPr>
          <w:rFonts w:ascii="Calibri" w:hAnsi="Calibri" w:cs="Calibri"/>
        </w:rPr>
        <w:t xml:space="preserve">Customer demands and protection of worker health drives the interest in landscape equipment electrification, but investment and support is needed to spark market transformation.  LEEP </w:t>
      </w:r>
      <w:r w:rsidR="00A71555">
        <w:rPr>
          <w:rFonts w:ascii="Calibri" w:hAnsi="Calibri" w:cs="Calibri"/>
        </w:rPr>
        <w:t>will</w:t>
      </w:r>
      <w:r w:rsidR="00AD7C53">
        <w:rPr>
          <w:rFonts w:ascii="Calibri" w:hAnsi="Calibri" w:cs="Calibri"/>
        </w:rPr>
        <w:t xml:space="preserve"> offer commercial landscapers more </w:t>
      </w:r>
      <w:r w:rsidR="00A71555">
        <w:rPr>
          <w:rFonts w:ascii="Calibri" w:hAnsi="Calibri" w:cs="Calibri"/>
        </w:rPr>
        <w:t>strategic</w:t>
      </w:r>
      <w:r w:rsidR="00AD7C53">
        <w:rPr>
          <w:rFonts w:ascii="Calibri" w:hAnsi="Calibri" w:cs="Calibri"/>
        </w:rPr>
        <w:t xml:space="preserve"> and generous incentives to </w:t>
      </w:r>
      <w:r w:rsidR="00B44F70">
        <w:rPr>
          <w:rFonts w:ascii="Calibri" w:hAnsi="Calibri" w:cs="Calibri"/>
        </w:rPr>
        <w:t xml:space="preserve">accelerate this transition.  LEEP will invest in batteries, charging, electrical work, training, </w:t>
      </w:r>
      <w:r w:rsidR="000169B3">
        <w:rPr>
          <w:rFonts w:ascii="Calibri" w:hAnsi="Calibri" w:cs="Calibri"/>
        </w:rPr>
        <w:t xml:space="preserve">and </w:t>
      </w:r>
      <w:r w:rsidR="00B44F70">
        <w:rPr>
          <w:rFonts w:ascii="Calibri" w:hAnsi="Calibri" w:cs="Calibri"/>
        </w:rPr>
        <w:t xml:space="preserve">marketing for both landscape companies and their customers to make the </w:t>
      </w:r>
      <w:r w:rsidR="000169B3">
        <w:rPr>
          <w:rFonts w:ascii="Calibri" w:hAnsi="Calibri" w:cs="Calibri"/>
        </w:rPr>
        <w:t xml:space="preserve">transition to </w:t>
      </w:r>
      <w:r w:rsidR="00121F45">
        <w:rPr>
          <w:rFonts w:ascii="Calibri" w:hAnsi="Calibri" w:cs="Calibri"/>
        </w:rPr>
        <w:t>ZEE</w:t>
      </w:r>
      <w:r w:rsidR="00B44F70">
        <w:rPr>
          <w:rFonts w:ascii="Calibri" w:hAnsi="Calibri" w:cs="Calibri"/>
        </w:rPr>
        <w:t xml:space="preserve"> positive and effective. Peer </w:t>
      </w:r>
      <w:r w:rsidR="00121F45">
        <w:rPr>
          <w:rFonts w:ascii="Calibri" w:hAnsi="Calibri" w:cs="Calibri"/>
        </w:rPr>
        <w:t>experiences and outcomes</w:t>
      </w:r>
      <w:r w:rsidR="00B44F70">
        <w:rPr>
          <w:rFonts w:ascii="Calibri" w:hAnsi="Calibri" w:cs="Calibri"/>
        </w:rPr>
        <w:t>, both through the ILCA and FLAP</w:t>
      </w:r>
      <w:r w:rsidR="000169B3">
        <w:rPr>
          <w:rFonts w:ascii="Calibri" w:hAnsi="Calibri" w:cs="Calibri"/>
        </w:rPr>
        <w:t xml:space="preserve"> </w:t>
      </w:r>
      <w:r w:rsidR="00B44F70">
        <w:rPr>
          <w:rFonts w:ascii="Calibri" w:hAnsi="Calibri" w:cs="Calibri"/>
        </w:rPr>
        <w:t>will be shared.</w:t>
      </w:r>
    </w:p>
    <w:p w14:paraId="5D857676" w14:textId="77777777" w:rsidR="00AD7C53" w:rsidRDefault="00AD7C53" w:rsidP="009B0FDE">
      <w:pPr>
        <w:rPr>
          <w:rFonts w:ascii="Calibri" w:hAnsi="Calibri" w:cs="Calibri"/>
        </w:rPr>
      </w:pPr>
    </w:p>
    <w:p w14:paraId="0EAFAF38" w14:textId="29E5357F" w:rsidR="009B0FDE" w:rsidRDefault="009B0FDE" w:rsidP="009B0FDE">
      <w:pPr>
        <w:rPr>
          <w:rFonts w:ascii="Calibri" w:hAnsi="Calibri" w:cs="Calibri"/>
        </w:rPr>
      </w:pPr>
      <w:r>
        <w:rPr>
          <w:rFonts w:ascii="Calibri" w:hAnsi="Calibri" w:cs="Calibri"/>
        </w:rPr>
        <w:t xml:space="preserve">The assumption that financial incentives result in market transformation follows the premise of IRA consumer and business tax credits, including direct pay, to drive adoption of clean energy and decarbonization technologies.  </w:t>
      </w:r>
      <w:r w:rsidR="009A7BB6" w:rsidRPr="009A7BB6">
        <w:rPr>
          <w:rFonts w:ascii="Calibri" w:hAnsi="Calibri" w:cs="Calibri"/>
        </w:rPr>
        <w:t>After the IRA EV tax credits took effect, companies have announced at least 31 new battery manufacturing projects in the U.S., which is enough to support the manufacture of 10 to 13 million EVs per year. The U.S. battery production pipeline is now growing faster than in Europe or China.</w:t>
      </w:r>
      <w:r w:rsidR="009A7BB6">
        <w:rPr>
          <w:rStyle w:val="FootnoteReference"/>
          <w:rFonts w:ascii="Calibri" w:hAnsi="Calibri" w:cs="Calibri"/>
        </w:rPr>
        <w:footnoteReference w:id="12"/>
      </w:r>
      <w:r w:rsidR="009A7BB6">
        <w:rPr>
          <w:rFonts w:ascii="Calibri" w:hAnsi="Calibri" w:cs="Calibri"/>
        </w:rPr>
        <w:t xml:space="preserve"> </w:t>
      </w:r>
      <w:r>
        <w:rPr>
          <w:rFonts w:ascii="Calibri" w:hAnsi="Calibri" w:cs="Calibri"/>
        </w:rPr>
        <w:t>Illinois</w:t>
      </w:r>
      <w:r w:rsidR="009A7BB6">
        <w:rPr>
          <w:rFonts w:ascii="Calibri" w:hAnsi="Calibri" w:cs="Calibri"/>
        </w:rPr>
        <w:t xml:space="preserve"> is investing heavily in incentives and rebates to </w:t>
      </w:r>
      <w:r w:rsidR="000169B3">
        <w:rPr>
          <w:rFonts w:ascii="Calibri" w:hAnsi="Calibri" w:cs="Calibri"/>
        </w:rPr>
        <w:t>meet</w:t>
      </w:r>
      <w:r w:rsidR="009A7BB6">
        <w:rPr>
          <w:rFonts w:ascii="Calibri" w:hAnsi="Calibri" w:cs="Calibri"/>
        </w:rPr>
        <w:t xml:space="preserve"> the clean energy goals of the Climate and Equitable Jobs Act</w:t>
      </w:r>
      <w:r w:rsidR="00B01553">
        <w:rPr>
          <w:rFonts w:ascii="Calibri" w:hAnsi="Calibri" w:cs="Calibri"/>
        </w:rPr>
        <w:t xml:space="preserve"> (CEJA). Over </w:t>
      </w:r>
      <w:r w:rsidR="00121F45">
        <w:rPr>
          <w:rFonts w:ascii="Calibri" w:hAnsi="Calibri" w:cs="Calibri"/>
        </w:rPr>
        <w:t xml:space="preserve">a </w:t>
      </w:r>
      <w:r w:rsidR="00A1370E">
        <w:rPr>
          <w:rFonts w:ascii="Calibri" w:hAnsi="Calibri" w:cs="Calibri"/>
        </w:rPr>
        <w:t>10-year</w:t>
      </w:r>
      <w:r w:rsidR="00121F45">
        <w:rPr>
          <w:rFonts w:ascii="Calibri" w:hAnsi="Calibri" w:cs="Calibri"/>
        </w:rPr>
        <w:t xml:space="preserve"> period,</w:t>
      </w:r>
      <w:r w:rsidR="00B01553">
        <w:rPr>
          <w:rFonts w:ascii="Calibri" w:hAnsi="Calibri" w:cs="Calibri"/>
        </w:rPr>
        <w:t xml:space="preserve"> Illinois will invest $7.91 billion to reach the CEJA goal of 40% renewable energy by 2040 and $2.2 billion to reach the goal of 1,000,000 EVs by 2030.  </w:t>
      </w:r>
    </w:p>
    <w:p w14:paraId="6F053CE3" w14:textId="77777777" w:rsidR="001D575C" w:rsidRPr="0081384E" w:rsidRDefault="001D575C" w:rsidP="0081384E"/>
    <w:p w14:paraId="7C1051BC" w14:textId="4943E5CF" w:rsidR="004C35F4" w:rsidRPr="00DB7AC8" w:rsidRDefault="0059360F" w:rsidP="00AF00F5">
      <w:pPr>
        <w:pStyle w:val="Heading1"/>
        <w:numPr>
          <w:ilvl w:val="0"/>
          <w:numId w:val="7"/>
        </w:numPr>
        <w:ind w:left="360"/>
      </w:pPr>
      <w:r w:rsidRPr="00DB7AC8">
        <w:t>Impact of GHG Reduction Measures</w:t>
      </w:r>
      <w:r w:rsidR="00D94FFE" w:rsidRPr="00DB7AC8">
        <w:t xml:space="preserve"> </w:t>
      </w:r>
    </w:p>
    <w:p w14:paraId="12882FE0" w14:textId="274B6477" w:rsidR="00A71555" w:rsidRDefault="009F4F15" w:rsidP="00A71555">
      <w:r w:rsidRPr="00B02EE3">
        <w:rPr>
          <w:b/>
          <w:bCs/>
        </w:rPr>
        <w:t xml:space="preserve">Of total emissions in the Chicago region, </w:t>
      </w:r>
      <w:r w:rsidR="00B02EE3" w:rsidRPr="00B02EE3">
        <w:rPr>
          <w:b/>
          <w:bCs/>
        </w:rPr>
        <w:t xml:space="preserve">LGE </w:t>
      </w:r>
      <w:r w:rsidRPr="00B02EE3">
        <w:rPr>
          <w:b/>
          <w:bCs/>
        </w:rPr>
        <w:t xml:space="preserve">accounts for 1.7% of all </w:t>
      </w:r>
      <w:r w:rsidR="00B02EE3" w:rsidRPr="00B02EE3">
        <w:rPr>
          <w:b/>
          <w:bCs/>
        </w:rPr>
        <w:t>CO2,</w:t>
      </w:r>
      <w:r w:rsidRPr="00B02EE3">
        <w:rPr>
          <w:b/>
          <w:bCs/>
        </w:rPr>
        <w:t xml:space="preserve"> 2.4% of NOx, and 7.1% of VOC emissions</w:t>
      </w:r>
      <w:r>
        <w:t xml:space="preserve">. </w:t>
      </w:r>
      <w:r w:rsidR="00FA4B8A">
        <w:t xml:space="preserve">With expert partners, the Caucus is designing LEEP to provide durable, </w:t>
      </w:r>
      <w:r>
        <w:t>quantifiable GHG</w:t>
      </w:r>
      <w:r w:rsidR="00FA4B8A">
        <w:t xml:space="preserve"> reduction effectively and equitably.  </w:t>
      </w:r>
      <w:r w:rsidR="00A71555">
        <w:t>LEEP will reduce CO</w:t>
      </w:r>
      <w:r w:rsidR="00A71555">
        <w:rPr>
          <w:vertAlign w:val="subscript"/>
        </w:rPr>
        <w:t xml:space="preserve">2 </w:t>
      </w:r>
      <w:r w:rsidR="00A71555">
        <w:t>emission by 10,735 tons</w:t>
      </w:r>
      <w:r>
        <w:t>/</w:t>
      </w:r>
      <w:r w:rsidR="009A7BB6">
        <w:t>year (</w:t>
      </w:r>
      <w:r w:rsidRPr="009F4F15">
        <w:t>9</w:t>
      </w:r>
      <w:r w:rsidR="009D2965">
        <w:t>,</w:t>
      </w:r>
      <w:r w:rsidRPr="009F4F15">
        <w:t>738.6</w:t>
      </w:r>
      <w:r w:rsidR="00A1370E">
        <w:t>3</w:t>
      </w:r>
      <w:r>
        <w:t xml:space="preserve"> metric tons</w:t>
      </w:r>
      <w:r w:rsidR="00A71555">
        <w:t>/year</w:t>
      </w:r>
      <w:r>
        <w:t>)</w:t>
      </w:r>
      <w:r w:rsidR="00A71555">
        <w:t>. Annual Chicago region emissions reduction through LEEP will be 0.02% CO2, 0.02%</w:t>
      </w:r>
      <w:r w:rsidR="009D2965">
        <w:t xml:space="preserve"> </w:t>
      </w:r>
      <w:r w:rsidR="00A71555">
        <w:t xml:space="preserve">NOx, and 0.1% VOC. </w:t>
      </w:r>
    </w:p>
    <w:p w14:paraId="4B558506" w14:textId="77777777" w:rsidR="00A71555" w:rsidRDefault="00A71555" w:rsidP="00FA4B8A"/>
    <w:p w14:paraId="797D984E" w14:textId="0C08D11A" w:rsidR="008054A6" w:rsidRDefault="00644B2B" w:rsidP="008054A6">
      <w:pPr>
        <w:pStyle w:val="Heading3"/>
      </w:pPr>
      <w:r>
        <w:t xml:space="preserve">Magnitude and </w:t>
      </w:r>
      <w:r w:rsidR="008054A6">
        <w:t>Durability</w:t>
      </w:r>
    </w:p>
    <w:p w14:paraId="3951171F" w14:textId="23346FBD" w:rsidR="00457122" w:rsidRDefault="008054A6" w:rsidP="008054A6">
      <w:pPr>
        <w:rPr>
          <w:rFonts w:ascii="Calibri" w:hAnsi="Calibri" w:cs="Calibri"/>
        </w:rPr>
      </w:pPr>
      <w:r>
        <w:rPr>
          <w:rFonts w:ascii="Calibri" w:hAnsi="Calibri" w:cs="Calibri"/>
        </w:rPr>
        <w:t xml:space="preserve">Replacement of gasoline LGE with electric units is assumed to be a permanent shift in consumption habits for both residential and commercial equipment users. We assume that as users overcome the perception and cost barriers of adopting electric LGE, in part incentivized by </w:t>
      </w:r>
      <w:r w:rsidR="00457122">
        <w:rPr>
          <w:rFonts w:ascii="Calibri" w:hAnsi="Calibri" w:cs="Calibri"/>
        </w:rPr>
        <w:t>LEEP</w:t>
      </w:r>
      <w:r>
        <w:rPr>
          <w:rFonts w:ascii="Calibri" w:hAnsi="Calibri" w:cs="Calibri"/>
        </w:rPr>
        <w:t xml:space="preserve"> rebates, that they will continue to use and purchase electric LGE in the future. We also assume that this change in LGE consumption and use habits will be highly durable with a low likelihood of users moving back to gasoline-powered equipment </w:t>
      </w:r>
      <w:r w:rsidR="00457122">
        <w:rPr>
          <w:rFonts w:ascii="Calibri" w:hAnsi="Calibri" w:cs="Calibri"/>
        </w:rPr>
        <w:t>resulting in permanent market transformation</w:t>
      </w:r>
      <w:r>
        <w:rPr>
          <w:rFonts w:ascii="Calibri" w:hAnsi="Calibri" w:cs="Calibri"/>
        </w:rPr>
        <w:t xml:space="preserve">. </w:t>
      </w:r>
      <w:bookmarkStart w:id="10" w:name="_Hlk162472890"/>
      <w:r w:rsidR="00713CC7">
        <w:rPr>
          <w:rFonts w:ascii="Calibri" w:hAnsi="Calibri" w:cs="Calibri"/>
        </w:rPr>
        <w:t xml:space="preserve">We base this durability assumption on data showing that electric LGE is </w:t>
      </w:r>
      <w:r w:rsidR="000D7865">
        <w:rPr>
          <w:rFonts w:ascii="Calibri" w:hAnsi="Calibri" w:cs="Calibri"/>
        </w:rPr>
        <w:t xml:space="preserve">often </w:t>
      </w:r>
      <w:r w:rsidR="00713CC7">
        <w:rPr>
          <w:rFonts w:ascii="Calibri" w:hAnsi="Calibri" w:cs="Calibri"/>
        </w:rPr>
        <w:t>more reliable, cheaper to own, and less disruptive to communities</w:t>
      </w:r>
      <w:r w:rsidR="000D7865">
        <w:rPr>
          <w:rFonts w:ascii="Calibri" w:hAnsi="Calibri" w:cs="Calibri"/>
        </w:rPr>
        <w:t xml:space="preserve"> and workers</w:t>
      </w:r>
      <w:r w:rsidR="00713CC7">
        <w:rPr>
          <w:rStyle w:val="FootnoteReference"/>
          <w:rFonts w:ascii="Calibri" w:hAnsi="Calibri" w:cs="Calibri"/>
        </w:rPr>
        <w:footnoteReference w:id="13"/>
      </w:r>
      <w:r w:rsidR="00713CC7">
        <w:rPr>
          <w:rFonts w:ascii="Calibri" w:hAnsi="Calibri" w:cs="Calibri"/>
        </w:rPr>
        <w:t xml:space="preserve">.  </w:t>
      </w:r>
    </w:p>
    <w:bookmarkEnd w:id="10"/>
    <w:p w14:paraId="5AB9845C" w14:textId="77777777" w:rsidR="0076502E" w:rsidRDefault="0076502E" w:rsidP="008054A6">
      <w:pPr>
        <w:rPr>
          <w:rFonts w:ascii="Calibri" w:hAnsi="Calibri" w:cs="Calibri"/>
        </w:rPr>
      </w:pPr>
    </w:p>
    <w:p w14:paraId="1990AECB" w14:textId="18E9FF30" w:rsidR="0076502E" w:rsidRDefault="0076502E" w:rsidP="008054A6">
      <w:pPr>
        <w:rPr>
          <w:rFonts w:ascii="Calibri" w:hAnsi="Calibri" w:cs="Calibri"/>
        </w:rPr>
      </w:pPr>
      <w:r>
        <w:rPr>
          <w:rFonts w:ascii="Calibri" w:hAnsi="Calibri" w:cs="Calibri"/>
        </w:rPr>
        <w:t xml:space="preserve">The Caucus will also drive adoption and reinforce durable </w:t>
      </w:r>
      <w:r w:rsidR="00644B2B">
        <w:rPr>
          <w:rFonts w:ascii="Calibri" w:hAnsi="Calibri" w:cs="Calibri"/>
        </w:rPr>
        <w:t>transformation</w:t>
      </w:r>
      <w:r>
        <w:rPr>
          <w:rFonts w:ascii="Calibri" w:hAnsi="Calibri" w:cs="Calibri"/>
        </w:rPr>
        <w:t xml:space="preserve"> by employing “trusted messengers” in the environmental justice community and within the landscape industry.  </w:t>
      </w:r>
      <w:bookmarkStart w:id="11" w:name="_Hlk162554890"/>
      <w:r>
        <w:rPr>
          <w:rFonts w:ascii="Calibri" w:hAnsi="Calibri" w:cs="Calibri"/>
        </w:rPr>
        <w:t xml:space="preserve">Supporting </w:t>
      </w:r>
      <w:r w:rsidR="00A1370E">
        <w:rPr>
          <w:rFonts w:ascii="Calibri" w:hAnsi="Calibri" w:cs="Calibri"/>
        </w:rPr>
        <w:t xml:space="preserve">FLAP’s </w:t>
      </w:r>
      <w:r>
        <w:rPr>
          <w:rFonts w:ascii="Calibri" w:hAnsi="Calibri" w:cs="Calibri"/>
        </w:rPr>
        <w:t xml:space="preserve">bilingual Community Navigators will drive deeper adoption through networks of small Latino-owned landscape companies that are likely to possess older, potentially less efficient gasoline and </w:t>
      </w:r>
      <w:r w:rsidR="000D7865">
        <w:rPr>
          <w:rFonts w:ascii="Calibri" w:hAnsi="Calibri" w:cs="Calibri"/>
        </w:rPr>
        <w:t>diesel-powered</w:t>
      </w:r>
      <w:r>
        <w:rPr>
          <w:rFonts w:ascii="Calibri" w:hAnsi="Calibri" w:cs="Calibri"/>
        </w:rPr>
        <w:t xml:space="preserve"> LGE.</w:t>
      </w:r>
      <w:bookmarkEnd w:id="11"/>
      <w:r>
        <w:rPr>
          <w:rFonts w:ascii="Calibri" w:hAnsi="Calibri" w:cs="Calibri"/>
        </w:rPr>
        <w:t xml:space="preserve">  The </w:t>
      </w:r>
      <w:r w:rsidR="000D7865">
        <w:rPr>
          <w:rFonts w:ascii="Calibri" w:hAnsi="Calibri" w:cs="Calibri"/>
        </w:rPr>
        <w:t xml:space="preserve">ILCA </w:t>
      </w:r>
      <w:r>
        <w:rPr>
          <w:rFonts w:ascii="Calibri" w:hAnsi="Calibri" w:cs="Calibri"/>
        </w:rPr>
        <w:t xml:space="preserve">will support deeper adoption across the professional landscape companies with </w:t>
      </w:r>
      <w:r w:rsidR="00A1370E">
        <w:rPr>
          <w:rFonts w:ascii="Calibri" w:hAnsi="Calibri" w:cs="Calibri"/>
        </w:rPr>
        <w:t xml:space="preserve">product demonstrations, </w:t>
      </w:r>
      <w:r>
        <w:rPr>
          <w:rFonts w:ascii="Calibri" w:hAnsi="Calibri" w:cs="Calibri"/>
        </w:rPr>
        <w:t xml:space="preserve">peer learning and mentoring.  </w:t>
      </w:r>
    </w:p>
    <w:p w14:paraId="6DF84AEF" w14:textId="77777777" w:rsidR="0076502E" w:rsidRDefault="0076502E" w:rsidP="008054A6">
      <w:pPr>
        <w:rPr>
          <w:rFonts w:ascii="Calibri" w:hAnsi="Calibri" w:cs="Calibri"/>
        </w:rPr>
      </w:pPr>
    </w:p>
    <w:p w14:paraId="5ADBCDFB" w14:textId="777C6667" w:rsidR="00F63920" w:rsidRDefault="0076502E" w:rsidP="008054A6">
      <w:pPr>
        <w:rPr>
          <w:rFonts w:ascii="Calibri" w:hAnsi="Calibri" w:cs="Calibri"/>
        </w:rPr>
      </w:pPr>
      <w:r>
        <w:rPr>
          <w:rFonts w:ascii="Calibri" w:hAnsi="Calibri" w:cs="Calibri"/>
        </w:rPr>
        <w:t xml:space="preserve">Both durability and magnitude will be enhanced with supportive services that will enhance LGE electrification.  These include </w:t>
      </w:r>
      <w:r w:rsidR="000D7865">
        <w:rPr>
          <w:rFonts w:ascii="Calibri" w:hAnsi="Calibri" w:cs="Calibri"/>
        </w:rPr>
        <w:t xml:space="preserve">extensive professional education, demonstration, and support, including bilingual services.  </w:t>
      </w:r>
      <w:r w:rsidR="000D7865" w:rsidRPr="00B02EE3">
        <w:rPr>
          <w:rFonts w:ascii="Calibri" w:hAnsi="Calibri" w:cs="Calibri"/>
        </w:rPr>
        <w:t xml:space="preserve">The paramount feature of LEEP is the permanent replacement of </w:t>
      </w:r>
      <w:r w:rsidR="00E8591C" w:rsidRPr="00B02EE3">
        <w:rPr>
          <w:rFonts w:ascii="Calibri" w:hAnsi="Calibri" w:cs="Calibri"/>
        </w:rPr>
        <w:t>gasoline powered</w:t>
      </w:r>
      <w:r w:rsidR="000D7865" w:rsidRPr="00B02EE3">
        <w:rPr>
          <w:rFonts w:ascii="Calibri" w:hAnsi="Calibri" w:cs="Calibri"/>
        </w:rPr>
        <w:t xml:space="preserve"> LGE through documented collection, </w:t>
      </w:r>
      <w:r w:rsidR="00CC1C50" w:rsidRPr="00B02EE3">
        <w:rPr>
          <w:rFonts w:ascii="Calibri" w:hAnsi="Calibri" w:cs="Calibri"/>
        </w:rPr>
        <w:t>destruction,</w:t>
      </w:r>
      <w:r w:rsidR="000D7865" w:rsidRPr="00B02EE3">
        <w:rPr>
          <w:rFonts w:ascii="Calibri" w:hAnsi="Calibri" w:cs="Calibri"/>
        </w:rPr>
        <w:t xml:space="preserve"> and EPA</w:t>
      </w:r>
      <w:r w:rsidR="00B02EE3" w:rsidRPr="00B02EE3">
        <w:rPr>
          <w:rFonts w:ascii="Calibri" w:hAnsi="Calibri" w:cs="Calibri"/>
        </w:rPr>
        <w:t>-</w:t>
      </w:r>
      <w:r w:rsidR="000D7865" w:rsidRPr="00B02EE3">
        <w:rPr>
          <w:rFonts w:ascii="Calibri" w:hAnsi="Calibri" w:cs="Calibri"/>
        </w:rPr>
        <w:t xml:space="preserve">compliant disposal </w:t>
      </w:r>
      <w:r w:rsidR="00A3332F" w:rsidRPr="00B02EE3">
        <w:rPr>
          <w:rFonts w:ascii="Calibri" w:hAnsi="Calibri" w:cs="Calibri"/>
        </w:rPr>
        <w:t>of old LGE.</w:t>
      </w:r>
      <w:r w:rsidR="00A3332F">
        <w:rPr>
          <w:rFonts w:ascii="Calibri" w:hAnsi="Calibri" w:cs="Calibri"/>
        </w:rPr>
        <w:t xml:space="preserve"> This </w:t>
      </w:r>
      <w:r w:rsidR="00E8591C">
        <w:rPr>
          <w:rFonts w:ascii="Calibri" w:hAnsi="Calibri" w:cs="Calibri"/>
        </w:rPr>
        <w:t xml:space="preserve">permanent GHG, CAP and HAP reduction </w:t>
      </w:r>
      <w:r w:rsidR="00A3332F">
        <w:rPr>
          <w:rFonts w:ascii="Calibri" w:hAnsi="Calibri" w:cs="Calibri"/>
        </w:rPr>
        <w:t xml:space="preserve">will </w:t>
      </w:r>
      <w:r w:rsidR="00E8591C">
        <w:rPr>
          <w:rFonts w:ascii="Calibri" w:hAnsi="Calibri" w:cs="Calibri"/>
        </w:rPr>
        <w:t>occur as</w:t>
      </w:r>
      <w:r w:rsidR="00A3332F">
        <w:rPr>
          <w:rFonts w:ascii="Calibri" w:hAnsi="Calibri" w:cs="Calibri"/>
        </w:rPr>
        <w:t xml:space="preserve"> documented “buy-back”</w:t>
      </w:r>
      <w:r w:rsidR="00E8591C" w:rsidRPr="00E8591C">
        <w:rPr>
          <w:rFonts w:ascii="Calibri" w:hAnsi="Calibri" w:cs="Calibri"/>
        </w:rPr>
        <w:t xml:space="preserve"> </w:t>
      </w:r>
      <w:r w:rsidR="00E8591C">
        <w:rPr>
          <w:rFonts w:ascii="Calibri" w:hAnsi="Calibri" w:cs="Calibri"/>
        </w:rPr>
        <w:t xml:space="preserve">transactions </w:t>
      </w:r>
      <w:r w:rsidR="00CC1C50">
        <w:rPr>
          <w:rFonts w:ascii="Calibri" w:hAnsi="Calibri" w:cs="Calibri"/>
        </w:rPr>
        <w:t>in both</w:t>
      </w:r>
      <w:r w:rsidR="00E8591C">
        <w:rPr>
          <w:rFonts w:ascii="Calibri" w:hAnsi="Calibri" w:cs="Calibri"/>
        </w:rPr>
        <w:t xml:space="preserve"> the commercial and residential markets.  </w:t>
      </w:r>
    </w:p>
    <w:p w14:paraId="0C21CF06" w14:textId="77777777" w:rsidR="00F63920" w:rsidRDefault="00F63920" w:rsidP="008054A6">
      <w:pPr>
        <w:rPr>
          <w:rFonts w:ascii="Calibri" w:hAnsi="Calibri" w:cs="Calibri"/>
        </w:rPr>
      </w:pPr>
    </w:p>
    <w:p w14:paraId="1066BAD6" w14:textId="2D62BEBD" w:rsidR="00596A10" w:rsidRDefault="00F63920" w:rsidP="008054A6">
      <w:pPr>
        <w:rPr>
          <w:rFonts w:ascii="Calibri" w:hAnsi="Calibri" w:cs="Calibri"/>
        </w:rPr>
      </w:pPr>
      <w:r>
        <w:rPr>
          <w:rFonts w:ascii="Calibri" w:hAnsi="Calibri" w:cs="Calibri"/>
        </w:rPr>
        <w:t xml:space="preserve">Another feature of LEEP will assure increasing and durable LGE </w:t>
      </w:r>
      <w:r w:rsidR="00596A10">
        <w:rPr>
          <w:rFonts w:ascii="Calibri" w:hAnsi="Calibri" w:cs="Calibri"/>
        </w:rPr>
        <w:t>electrification through</w:t>
      </w:r>
      <w:r>
        <w:rPr>
          <w:rFonts w:ascii="Calibri" w:hAnsi="Calibri" w:cs="Calibri"/>
        </w:rPr>
        <w:t xml:space="preserve"> local policies regulating gasoline </w:t>
      </w:r>
      <w:r w:rsidR="00030461">
        <w:rPr>
          <w:rFonts w:ascii="Calibri" w:hAnsi="Calibri" w:cs="Calibri"/>
        </w:rPr>
        <w:t>leaf blowers.</w:t>
      </w:r>
      <w:r>
        <w:rPr>
          <w:rFonts w:ascii="Calibri" w:hAnsi="Calibri" w:cs="Calibri"/>
        </w:rPr>
        <w:t xml:space="preserve"> </w:t>
      </w:r>
      <w:r w:rsidR="00596A10">
        <w:rPr>
          <w:rFonts w:ascii="Calibri" w:hAnsi="Calibri" w:cs="Calibri"/>
        </w:rPr>
        <w:t>The Regional Leaf Blower Working Group, comprised o</w:t>
      </w:r>
      <w:r w:rsidR="00A1370E">
        <w:rPr>
          <w:rFonts w:ascii="Calibri" w:hAnsi="Calibri" w:cs="Calibri"/>
        </w:rPr>
        <w:t>f</w:t>
      </w:r>
      <w:r w:rsidR="00596A10">
        <w:rPr>
          <w:rFonts w:ascii="Calibri" w:hAnsi="Calibri" w:cs="Calibri"/>
        </w:rPr>
        <w:t xml:space="preserve"> civic leaders and representatives of the landscape industry, analyzed </w:t>
      </w:r>
      <w:r w:rsidR="00986295">
        <w:rPr>
          <w:rFonts w:ascii="Calibri" w:hAnsi="Calibri" w:cs="Calibri"/>
        </w:rPr>
        <w:t xml:space="preserve">existing and proposed </w:t>
      </w:r>
      <w:r w:rsidR="00596A10">
        <w:rPr>
          <w:rFonts w:ascii="Calibri" w:hAnsi="Calibri" w:cs="Calibri"/>
        </w:rPr>
        <w:t xml:space="preserve">local regulations </w:t>
      </w:r>
      <w:r w:rsidR="009B06D9">
        <w:rPr>
          <w:rFonts w:ascii="Calibri" w:hAnsi="Calibri" w:cs="Calibri"/>
        </w:rPr>
        <w:t>from about</w:t>
      </w:r>
      <w:r w:rsidR="00B02EE3">
        <w:rPr>
          <w:rFonts w:ascii="Calibri" w:hAnsi="Calibri" w:cs="Calibri"/>
        </w:rPr>
        <w:t xml:space="preserve"> </w:t>
      </w:r>
      <w:r w:rsidR="00596A10">
        <w:rPr>
          <w:rFonts w:ascii="Calibri" w:hAnsi="Calibri" w:cs="Calibri"/>
        </w:rPr>
        <w:t xml:space="preserve">20 municipalities in the Chicago region.  Some municipalities have imposed moderated and seasonal leaf blower regulations. Two communities have banned the use of gasoline powered leaf blowers with unintended and unequitable consequences on Latino landscape workers and company owners.  The Working Group proposes compromise regulations that protect </w:t>
      </w:r>
      <w:r w:rsidR="00B02EE3">
        <w:rPr>
          <w:rFonts w:ascii="Calibri" w:hAnsi="Calibri" w:cs="Calibri"/>
        </w:rPr>
        <w:t>communities and</w:t>
      </w:r>
      <w:r w:rsidR="00596A10">
        <w:rPr>
          <w:rFonts w:ascii="Calibri" w:hAnsi="Calibri" w:cs="Calibri"/>
        </w:rPr>
        <w:t xml:space="preserve"> allow landscape companies </w:t>
      </w:r>
      <w:r w:rsidR="00030461">
        <w:rPr>
          <w:rFonts w:ascii="Calibri" w:hAnsi="Calibri" w:cs="Calibri"/>
        </w:rPr>
        <w:t>3-5 years</w:t>
      </w:r>
      <w:r w:rsidR="00596A10">
        <w:rPr>
          <w:rFonts w:ascii="Calibri" w:hAnsi="Calibri" w:cs="Calibri"/>
        </w:rPr>
        <w:t xml:space="preserve"> to </w:t>
      </w:r>
      <w:r w:rsidR="00A1370E">
        <w:rPr>
          <w:rFonts w:ascii="Calibri" w:hAnsi="Calibri" w:cs="Calibri"/>
        </w:rPr>
        <w:t xml:space="preserve">transition to clean, quiet electric </w:t>
      </w:r>
      <w:r w:rsidR="00B02EE3">
        <w:rPr>
          <w:rFonts w:ascii="Calibri" w:hAnsi="Calibri" w:cs="Calibri"/>
        </w:rPr>
        <w:t>leaf blowers</w:t>
      </w:r>
      <w:r w:rsidR="00596A10">
        <w:rPr>
          <w:rFonts w:ascii="Calibri" w:hAnsi="Calibri" w:cs="Calibri"/>
        </w:rPr>
        <w:t xml:space="preserve">.  </w:t>
      </w:r>
    </w:p>
    <w:p w14:paraId="1C128238" w14:textId="77777777" w:rsidR="00596A10" w:rsidRDefault="00596A10" w:rsidP="008054A6">
      <w:pPr>
        <w:rPr>
          <w:rFonts w:ascii="Calibri" w:hAnsi="Calibri" w:cs="Calibri"/>
        </w:rPr>
      </w:pPr>
    </w:p>
    <w:p w14:paraId="64E7E9A4" w14:textId="6ACCDA6F" w:rsidR="000D7865" w:rsidRDefault="00596A10" w:rsidP="008054A6">
      <w:pPr>
        <w:rPr>
          <w:rFonts w:ascii="Calibri" w:hAnsi="Calibri" w:cs="Calibri"/>
        </w:rPr>
      </w:pPr>
      <w:r>
        <w:rPr>
          <w:rFonts w:ascii="Calibri" w:hAnsi="Calibri" w:cs="Calibri"/>
        </w:rPr>
        <w:t xml:space="preserve">LEEP will ensure durable emissions reduction by promoting tailored, template local LGE </w:t>
      </w:r>
      <w:r w:rsidR="00925C1D">
        <w:rPr>
          <w:rFonts w:ascii="Calibri" w:hAnsi="Calibri" w:cs="Calibri"/>
        </w:rPr>
        <w:t xml:space="preserve">ordinances that balance both community and landscape industry needs with market and enforcement constraints.  LEEP buy-back incentives will dovetail with this permanent policy shift to create more impactful and permanent emissions reductions.  </w:t>
      </w:r>
      <w:r w:rsidR="00CC1C50">
        <w:rPr>
          <w:rFonts w:ascii="Calibri" w:hAnsi="Calibri" w:cs="Calibri"/>
        </w:rPr>
        <w:t xml:space="preserve"> </w:t>
      </w:r>
    </w:p>
    <w:p w14:paraId="2FCF62DC" w14:textId="77777777" w:rsidR="00925C1D" w:rsidRDefault="00925C1D" w:rsidP="008054A6">
      <w:pPr>
        <w:rPr>
          <w:rFonts w:ascii="Calibri" w:hAnsi="Calibri" w:cs="Calibri"/>
        </w:rPr>
      </w:pPr>
    </w:p>
    <w:p w14:paraId="1BBF65EA" w14:textId="3A4F74C5" w:rsidR="00BA4CC1" w:rsidRPr="009B06D9" w:rsidRDefault="00BA4CC1" w:rsidP="009B06D9">
      <w:pPr>
        <w:keepNext/>
        <w:keepLines/>
        <w:spacing w:before="40"/>
        <w:outlineLvl w:val="1"/>
        <w:rPr>
          <w:rFonts w:asciiTheme="majorHAnsi" w:eastAsiaTheme="majorEastAsia" w:hAnsiTheme="majorHAnsi" w:cstheme="majorBidi"/>
          <w:color w:val="F4B083" w:themeColor="accent2" w:themeTint="99"/>
          <w:sz w:val="26"/>
          <w:szCs w:val="26"/>
        </w:rPr>
      </w:pPr>
      <w:r>
        <w:rPr>
          <w:rFonts w:asciiTheme="majorHAnsi" w:eastAsiaTheme="majorEastAsia" w:hAnsiTheme="majorHAnsi" w:cstheme="majorBidi"/>
          <w:color w:val="2F5496" w:themeColor="accent1" w:themeShade="BF"/>
          <w:sz w:val="26"/>
          <w:szCs w:val="26"/>
        </w:rPr>
        <w:t>A</w:t>
      </w:r>
      <w:r w:rsidRPr="00925C1D">
        <w:rPr>
          <w:rFonts w:asciiTheme="majorHAnsi" w:eastAsiaTheme="majorEastAsia" w:hAnsiTheme="majorHAnsi" w:cstheme="majorBidi"/>
          <w:color w:val="2F5496" w:themeColor="accent1" w:themeShade="BF"/>
          <w:sz w:val="26"/>
          <w:szCs w:val="26"/>
        </w:rPr>
        <w:t xml:space="preserve">. </w:t>
      </w:r>
      <w:r>
        <w:rPr>
          <w:rFonts w:asciiTheme="majorHAnsi" w:eastAsiaTheme="majorEastAsia" w:hAnsiTheme="majorHAnsi" w:cstheme="majorBidi"/>
          <w:color w:val="2F5496" w:themeColor="accent1" w:themeShade="BF"/>
          <w:sz w:val="26"/>
          <w:szCs w:val="26"/>
        </w:rPr>
        <w:t xml:space="preserve">Methodology and </w:t>
      </w:r>
      <w:r w:rsidRPr="00925C1D">
        <w:rPr>
          <w:rFonts w:asciiTheme="majorHAnsi" w:eastAsiaTheme="majorEastAsia" w:hAnsiTheme="majorHAnsi" w:cstheme="majorBidi"/>
          <w:color w:val="2F5496" w:themeColor="accent1" w:themeShade="BF"/>
          <w:sz w:val="26"/>
          <w:szCs w:val="26"/>
        </w:rPr>
        <w:t>Documentation of GHG Reduction Assumptions</w:t>
      </w:r>
      <w:r w:rsidR="00D94FFE">
        <w:rPr>
          <w:rFonts w:asciiTheme="majorHAnsi" w:eastAsiaTheme="majorEastAsia" w:hAnsiTheme="majorHAnsi" w:cstheme="majorBidi"/>
          <w:color w:val="2F5496" w:themeColor="accent1" w:themeShade="BF"/>
          <w:sz w:val="26"/>
          <w:szCs w:val="26"/>
        </w:rPr>
        <w:t xml:space="preserve"> </w:t>
      </w:r>
    </w:p>
    <w:p w14:paraId="18B5764F" w14:textId="68B0EC8C" w:rsidR="00BA4CC1" w:rsidRPr="00091AD4" w:rsidRDefault="00BA4CC1" w:rsidP="00BA4CC1">
      <w:pPr>
        <w:rPr>
          <w:rFonts w:ascii="Calibri" w:hAnsi="Calibri" w:cs="Calibri"/>
        </w:rPr>
      </w:pPr>
      <w:r w:rsidRPr="00091AD4">
        <w:rPr>
          <w:rFonts w:ascii="Calibri" w:hAnsi="Calibri" w:cs="Calibri"/>
        </w:rPr>
        <w:t xml:space="preserve">The Lake Michigan Air Directors Consortium (LADCO) estimated LGE activity and GHG, CAP, and HAP emissions by county for the Chicago area using the U.S. EPA Office of Transportation and Air Quality Motor Vehicle Emission Simulator: MOVES4. Year 2020 activity data for the MOVES simulations came from U.S. EPA’s MOVES-Nonroad in default scale mode for county emissions. LADCO ran the emissions by </w:t>
      </w:r>
      <w:r w:rsidR="009D2965">
        <w:rPr>
          <w:rFonts w:ascii="Calibri" w:hAnsi="Calibri" w:cs="Calibri"/>
        </w:rPr>
        <w:t>source classification code (</w:t>
      </w:r>
      <w:r w:rsidRPr="00091AD4">
        <w:rPr>
          <w:rFonts w:ascii="Calibri" w:hAnsi="Calibri" w:cs="Calibri"/>
        </w:rPr>
        <w:t>SCC</w:t>
      </w:r>
      <w:r w:rsidR="009D2965">
        <w:rPr>
          <w:rFonts w:ascii="Calibri" w:hAnsi="Calibri" w:cs="Calibri"/>
        </w:rPr>
        <w:t>)</w:t>
      </w:r>
      <w:r w:rsidRPr="00091AD4">
        <w:rPr>
          <w:rFonts w:ascii="Calibri" w:hAnsi="Calibri" w:cs="Calibri"/>
        </w:rPr>
        <w:t xml:space="preserve"> and equipment type with all activity data available. LADCO used the standard </w:t>
      </w:r>
      <w:r w:rsidR="009D2965">
        <w:rPr>
          <w:rFonts w:ascii="Calibri" w:hAnsi="Calibri" w:cs="Calibri"/>
        </w:rPr>
        <w:t xml:space="preserve">U.S. EPA </w:t>
      </w:r>
      <w:r w:rsidRPr="00091AD4">
        <w:rPr>
          <w:rFonts w:ascii="Calibri" w:hAnsi="Calibri" w:cs="Calibri"/>
        </w:rPr>
        <w:t xml:space="preserve">post processing scripts to extract the results. </w:t>
      </w:r>
      <w:r w:rsidR="00521961" w:rsidRPr="00091AD4">
        <w:rPr>
          <w:rFonts w:ascii="Calibri" w:hAnsi="Calibri" w:cs="Calibri"/>
        </w:rPr>
        <w:t xml:space="preserve">Equipment </w:t>
      </w:r>
      <w:r w:rsidR="00D31045" w:rsidRPr="00091AD4">
        <w:rPr>
          <w:rFonts w:ascii="Calibri" w:hAnsi="Calibri" w:cs="Calibri"/>
        </w:rPr>
        <w:t>categories (</w:t>
      </w:r>
      <w:r w:rsidR="009D2965">
        <w:rPr>
          <w:rFonts w:ascii="Calibri" w:hAnsi="Calibri" w:cs="Calibri"/>
        </w:rPr>
        <w:t xml:space="preserve">by </w:t>
      </w:r>
      <w:r w:rsidR="00521961" w:rsidRPr="00091AD4">
        <w:rPr>
          <w:rFonts w:ascii="Calibri" w:hAnsi="Calibri" w:cs="Calibri"/>
        </w:rPr>
        <w:t>SCC) were validated with assistance from ILCA.</w:t>
      </w:r>
      <w:r w:rsidRPr="00091AD4">
        <w:rPr>
          <w:rFonts w:ascii="Calibri" w:hAnsi="Calibri" w:cs="Calibri"/>
        </w:rPr>
        <w:t xml:space="preserve"> </w:t>
      </w:r>
    </w:p>
    <w:p w14:paraId="0488864D" w14:textId="77777777" w:rsidR="00BA4CC1" w:rsidRPr="00925C1D" w:rsidRDefault="00BA4CC1" w:rsidP="00BA4CC1">
      <w:pPr>
        <w:rPr>
          <w:rFonts w:ascii="Calibri" w:hAnsi="Calibri" w:cs="Calibri"/>
        </w:rPr>
      </w:pPr>
    </w:p>
    <w:p w14:paraId="0494E409" w14:textId="1F01C8D7" w:rsidR="00BA4CC1" w:rsidRDefault="00BA4CC1" w:rsidP="00BA4CC1">
      <w:pPr>
        <w:rPr>
          <w:rFonts w:ascii="Calibri" w:hAnsi="Calibri" w:cs="Calibri"/>
        </w:rPr>
      </w:pPr>
      <w:r w:rsidRPr="00925C1D">
        <w:rPr>
          <w:rFonts w:ascii="Calibri" w:hAnsi="Calibri" w:cs="Calibri"/>
        </w:rPr>
        <w:t xml:space="preserve">To estimate the GHG emissions reductions from </w:t>
      </w:r>
      <w:r w:rsidR="009B06D9">
        <w:rPr>
          <w:rFonts w:ascii="Calibri" w:hAnsi="Calibri" w:cs="Calibri"/>
        </w:rPr>
        <w:t>LEEP’s</w:t>
      </w:r>
      <w:r w:rsidRPr="00925C1D">
        <w:rPr>
          <w:rFonts w:ascii="Calibri" w:hAnsi="Calibri" w:cs="Calibri"/>
        </w:rPr>
        <w:t xml:space="preserve"> buy-back strategy we assumed that the replacement of a gasoline-powered LGE unit with an electric unit would reduce the GHG emissions to zero. The scenario is built around MOVES results that estimate LGE sources for commercial and residential units of different types. </w:t>
      </w:r>
    </w:p>
    <w:p w14:paraId="095B90FF" w14:textId="77777777" w:rsidR="00010FA9" w:rsidRDefault="00010FA9" w:rsidP="00BA4CC1">
      <w:pPr>
        <w:rPr>
          <w:rFonts w:ascii="Calibri" w:hAnsi="Calibri" w:cs="Calibri"/>
        </w:rPr>
      </w:pPr>
    </w:p>
    <w:p w14:paraId="50D88F9A" w14:textId="77777777" w:rsidR="00091AD4" w:rsidRDefault="00010FA9" w:rsidP="00091AD4">
      <w:r>
        <w:rPr>
          <w:rFonts w:ascii="Calibri" w:hAnsi="Calibri" w:cs="Calibri"/>
        </w:rPr>
        <w:t xml:space="preserve">Methodologies and assumptions for each target period are described below. </w:t>
      </w:r>
      <w:r w:rsidR="00091AD4" w:rsidRPr="00925C1D">
        <w:t xml:space="preserve">See GHG </w:t>
      </w:r>
      <w:r w:rsidR="00091AD4">
        <w:t>E</w:t>
      </w:r>
      <w:r w:rsidR="00091AD4" w:rsidRPr="00925C1D">
        <w:t xml:space="preserve">mission </w:t>
      </w:r>
      <w:r w:rsidR="00091AD4">
        <w:t>R</w:t>
      </w:r>
      <w:r w:rsidR="00091AD4" w:rsidRPr="00925C1D">
        <w:t xml:space="preserve">eduction </w:t>
      </w:r>
      <w:r w:rsidR="00091AD4">
        <w:t>C</w:t>
      </w:r>
      <w:r w:rsidR="00091AD4" w:rsidRPr="00925C1D">
        <w:t xml:space="preserve">alculations spreadsheet </w:t>
      </w:r>
      <w:r w:rsidR="00091AD4">
        <w:t>a</w:t>
      </w:r>
      <w:r w:rsidR="00091AD4" w:rsidRPr="00925C1D">
        <w:t>ttach</w:t>
      </w:r>
      <w:r w:rsidR="00091AD4">
        <w:t>ed</w:t>
      </w:r>
      <w:r w:rsidR="00091AD4" w:rsidRPr="00925C1D">
        <w:t xml:space="preserve">.  </w:t>
      </w:r>
    </w:p>
    <w:p w14:paraId="25275DFE" w14:textId="77777777" w:rsidR="00BA4CC1" w:rsidRPr="00FA4B8A" w:rsidRDefault="00BA4CC1" w:rsidP="00BA4CC1"/>
    <w:p w14:paraId="07D46E42" w14:textId="4CD42265" w:rsidR="00644B2B" w:rsidRPr="00D94FFE" w:rsidRDefault="00BA4CC1" w:rsidP="00644B2B">
      <w:pPr>
        <w:pStyle w:val="Heading2"/>
        <w:rPr>
          <w:color w:val="F4B083" w:themeColor="accent2" w:themeTint="99"/>
        </w:rPr>
      </w:pPr>
      <w:r>
        <w:lastRenderedPageBreak/>
        <w:t>B</w:t>
      </w:r>
      <w:r w:rsidR="00644B2B">
        <w:t>. Magnitude of GHG Reductions from 2025-2030</w:t>
      </w:r>
      <w:r w:rsidR="00D94FFE">
        <w:t xml:space="preserve"> </w:t>
      </w:r>
    </w:p>
    <w:p w14:paraId="57BDB36B" w14:textId="0B8E1758" w:rsidR="00B73CEB" w:rsidRPr="00091AD4" w:rsidRDefault="00644B2B" w:rsidP="00B73CEB">
      <w:pPr>
        <w:rPr>
          <w:rFonts w:cstheme="minorHAnsi"/>
        </w:rPr>
      </w:pPr>
      <w:r w:rsidRPr="00091AD4">
        <w:rPr>
          <w:rFonts w:cstheme="minorHAnsi"/>
        </w:rPr>
        <w:t xml:space="preserve">LEEP elements focus on LGE categories that have both emissions reduction potential and plausible implementation feasibility. </w:t>
      </w:r>
      <w:r w:rsidR="00B73CEB" w:rsidRPr="00091AD4">
        <w:rPr>
          <w:rFonts w:cstheme="minorHAnsi"/>
          <w:b/>
          <w:bCs/>
        </w:rPr>
        <w:t xml:space="preserve">The cumulative impacts of the LGE buy-back program for the 2025-2030 period </w:t>
      </w:r>
      <w:r w:rsidR="00EE16C7" w:rsidRPr="00091AD4">
        <w:rPr>
          <w:rFonts w:cstheme="minorHAnsi"/>
          <w:b/>
          <w:bCs/>
        </w:rPr>
        <w:t>is 9</w:t>
      </w:r>
      <w:r w:rsidR="009D2965">
        <w:rPr>
          <w:rFonts w:cstheme="minorHAnsi"/>
          <w:b/>
          <w:bCs/>
        </w:rPr>
        <w:t>,</w:t>
      </w:r>
      <w:r w:rsidR="00EE16C7" w:rsidRPr="00091AD4">
        <w:rPr>
          <w:rFonts w:cstheme="minorHAnsi"/>
          <w:b/>
          <w:bCs/>
        </w:rPr>
        <w:t>738.62 metric tons (</w:t>
      </w:r>
      <w:r w:rsidR="00B61B59" w:rsidRPr="00091AD4">
        <w:rPr>
          <w:rFonts w:cstheme="minorHAnsi"/>
          <w:b/>
          <w:bCs/>
        </w:rPr>
        <w:t>10,735</w:t>
      </w:r>
      <w:r w:rsidR="00B73CEB" w:rsidRPr="00091AD4">
        <w:rPr>
          <w:rFonts w:cstheme="minorHAnsi"/>
          <w:b/>
          <w:bCs/>
        </w:rPr>
        <w:t xml:space="preserve"> tons</w:t>
      </w:r>
      <w:r w:rsidR="00EE16C7" w:rsidRPr="00091AD4">
        <w:rPr>
          <w:rFonts w:cstheme="minorHAnsi"/>
          <w:b/>
          <w:bCs/>
        </w:rPr>
        <w:t xml:space="preserve">) </w:t>
      </w:r>
      <w:r w:rsidR="00B73CEB" w:rsidRPr="00091AD4">
        <w:rPr>
          <w:rFonts w:cstheme="minorHAnsi"/>
          <w:b/>
          <w:bCs/>
        </w:rPr>
        <w:t>of CO2 reduced.</w:t>
      </w:r>
      <w:r w:rsidR="00B73CEB" w:rsidRPr="00091AD4">
        <w:rPr>
          <w:rFonts w:cstheme="minorHAnsi"/>
        </w:rPr>
        <w:t xml:space="preserve"> This impact will be realized across the entire period that the grant funding is available </w:t>
      </w:r>
      <w:r w:rsidR="00EE16C7" w:rsidRPr="00091AD4">
        <w:rPr>
          <w:rFonts w:cstheme="minorHAnsi"/>
        </w:rPr>
        <w:t>through LEEP to</w:t>
      </w:r>
      <w:r w:rsidR="00B73CEB" w:rsidRPr="00091AD4">
        <w:rPr>
          <w:rFonts w:cstheme="minorHAnsi"/>
        </w:rPr>
        <w:t xml:space="preserve"> incentivize equipment replacement in the Chicago area. We can assume that the first year of the program will see less emissions reductions as </w:t>
      </w:r>
      <w:r w:rsidR="00EE16C7" w:rsidRPr="00091AD4">
        <w:rPr>
          <w:rFonts w:cstheme="minorHAnsi"/>
        </w:rPr>
        <w:t>LEEP</w:t>
      </w:r>
      <w:r w:rsidR="00B73CEB" w:rsidRPr="00091AD4">
        <w:rPr>
          <w:rFonts w:cstheme="minorHAnsi"/>
        </w:rPr>
        <w:t xml:space="preserve"> </w:t>
      </w:r>
      <w:proofErr w:type="gramStart"/>
      <w:r w:rsidR="00B73CEB" w:rsidRPr="00091AD4">
        <w:rPr>
          <w:rFonts w:cstheme="minorHAnsi"/>
        </w:rPr>
        <w:t>is</w:t>
      </w:r>
      <w:proofErr w:type="gramEnd"/>
      <w:r w:rsidR="00B73CEB" w:rsidRPr="00091AD4">
        <w:rPr>
          <w:rFonts w:cstheme="minorHAnsi"/>
        </w:rPr>
        <w:t xml:space="preserve"> initiated, set-up, and publicized. Starting in year two, once the programmatic and logistical infrastructures are in place to run the buy-back program, we anticipate realizing steady emissions reductions as the grant funding is used to replace and scrap gas-powered </w:t>
      </w:r>
      <w:r w:rsidR="009B06D9">
        <w:rPr>
          <w:rFonts w:cstheme="minorHAnsi"/>
        </w:rPr>
        <w:t xml:space="preserve">LGE </w:t>
      </w:r>
      <w:r w:rsidR="00B73CEB" w:rsidRPr="00091AD4">
        <w:rPr>
          <w:rFonts w:cstheme="minorHAnsi"/>
        </w:rPr>
        <w:t xml:space="preserve">with </w:t>
      </w:r>
      <w:r w:rsidR="00EE16C7" w:rsidRPr="00091AD4">
        <w:rPr>
          <w:rFonts w:cstheme="minorHAnsi"/>
        </w:rPr>
        <w:t>ZEE</w:t>
      </w:r>
      <w:r w:rsidR="00B73CEB" w:rsidRPr="00091AD4">
        <w:rPr>
          <w:rFonts w:cstheme="minorHAnsi"/>
        </w:rPr>
        <w:t>.</w:t>
      </w:r>
    </w:p>
    <w:p w14:paraId="01ACE581" w14:textId="77777777" w:rsidR="00A24D9C" w:rsidRPr="00091AD4" w:rsidRDefault="00A24D9C" w:rsidP="00A24D9C">
      <w:pPr>
        <w:pStyle w:val="ListParagraph"/>
        <w:ind w:left="360"/>
        <w:rPr>
          <w:rFonts w:cstheme="minorHAnsi"/>
          <w:sz w:val="22"/>
          <w:szCs w:val="22"/>
          <w:u w:val="single"/>
        </w:rPr>
      </w:pPr>
    </w:p>
    <w:p w14:paraId="2147EF6F" w14:textId="1CF1C204" w:rsidR="00644B2B" w:rsidRPr="00091AD4" w:rsidRDefault="00644B2B" w:rsidP="00A24D9C">
      <w:pPr>
        <w:pStyle w:val="ListParagraph"/>
        <w:ind w:left="0"/>
        <w:rPr>
          <w:rFonts w:cstheme="minorHAnsi"/>
          <w:sz w:val="22"/>
          <w:szCs w:val="22"/>
        </w:rPr>
      </w:pPr>
      <w:r w:rsidRPr="00091AD4">
        <w:rPr>
          <w:rFonts w:cstheme="minorHAnsi"/>
          <w:sz w:val="22"/>
          <w:szCs w:val="22"/>
          <w:u w:val="single"/>
        </w:rPr>
        <w:t>All-residential equipment</w:t>
      </w:r>
      <w:r w:rsidRPr="00091AD4">
        <w:rPr>
          <w:rFonts w:cstheme="minorHAnsi"/>
          <w:sz w:val="22"/>
          <w:szCs w:val="22"/>
        </w:rPr>
        <w:t>: we estimated the baseline emissions for residential LGE equipment by summing the GHG, CAP, HAP pollutant emissions across all equipment types identified as residential by MOVES.  The table below shows the estimates of baseline 2020 residential LGE emissions, the cumulative 2025-2030 emissions reductions, and annual 2025-2030 emissions reductions for the seven Chicago area counties.</w:t>
      </w:r>
    </w:p>
    <w:p w14:paraId="33EA532C" w14:textId="77777777" w:rsidR="003C208B" w:rsidRPr="00091AD4" w:rsidRDefault="003C208B" w:rsidP="00A24D9C">
      <w:pPr>
        <w:pStyle w:val="ListParagraph"/>
        <w:ind w:left="0"/>
        <w:rPr>
          <w:rFonts w:cstheme="minorHAnsi"/>
          <w:sz w:val="22"/>
          <w:szCs w:val="22"/>
        </w:rPr>
      </w:pPr>
    </w:p>
    <w:tbl>
      <w:tblPr>
        <w:tblStyle w:val="TableGrid"/>
        <w:tblW w:w="0" w:type="auto"/>
        <w:tblLook w:val="04A0" w:firstRow="1" w:lastRow="0" w:firstColumn="1" w:lastColumn="0" w:noHBand="0" w:noVBand="1"/>
      </w:tblPr>
      <w:tblGrid>
        <w:gridCol w:w="1255"/>
        <w:gridCol w:w="1170"/>
        <w:gridCol w:w="1980"/>
        <w:gridCol w:w="1710"/>
        <w:gridCol w:w="1530"/>
      </w:tblGrid>
      <w:tr w:rsidR="004C05EA" w:rsidRPr="009B06D9" w14:paraId="4CE2AD54" w14:textId="77777777" w:rsidTr="00B30266">
        <w:trPr>
          <w:trHeight w:val="290"/>
        </w:trPr>
        <w:tc>
          <w:tcPr>
            <w:tcW w:w="1255" w:type="dxa"/>
            <w:noWrap/>
            <w:hideMark/>
          </w:tcPr>
          <w:p w14:paraId="282FC552" w14:textId="77777777" w:rsidR="003C208B" w:rsidRPr="009B06D9" w:rsidRDefault="003C208B">
            <w:pPr>
              <w:rPr>
                <w:rFonts w:cstheme="minorHAnsi"/>
                <w:b/>
                <w:bCs/>
                <w:sz w:val="22"/>
                <w:szCs w:val="22"/>
              </w:rPr>
            </w:pPr>
            <w:r w:rsidRPr="009B06D9">
              <w:rPr>
                <w:rFonts w:cstheme="minorHAnsi"/>
                <w:b/>
                <w:bCs/>
                <w:sz w:val="22"/>
                <w:szCs w:val="22"/>
              </w:rPr>
              <w:t xml:space="preserve">Residential </w:t>
            </w:r>
          </w:p>
        </w:tc>
        <w:tc>
          <w:tcPr>
            <w:tcW w:w="1170" w:type="dxa"/>
            <w:noWrap/>
            <w:hideMark/>
          </w:tcPr>
          <w:p w14:paraId="4BB1A74A" w14:textId="77777777" w:rsidR="003C208B" w:rsidRPr="009B06D9" w:rsidRDefault="003C208B">
            <w:pPr>
              <w:rPr>
                <w:rFonts w:cstheme="minorHAnsi"/>
                <w:sz w:val="22"/>
                <w:szCs w:val="22"/>
              </w:rPr>
            </w:pPr>
            <w:r w:rsidRPr="009B06D9">
              <w:rPr>
                <w:rFonts w:cstheme="minorHAnsi"/>
                <w:sz w:val="22"/>
                <w:szCs w:val="22"/>
              </w:rPr>
              <w:t xml:space="preserve">Pollutant </w:t>
            </w:r>
          </w:p>
        </w:tc>
        <w:tc>
          <w:tcPr>
            <w:tcW w:w="1980" w:type="dxa"/>
            <w:noWrap/>
            <w:hideMark/>
          </w:tcPr>
          <w:p w14:paraId="796BAD2D" w14:textId="77777777" w:rsidR="003C208B" w:rsidRPr="009B06D9" w:rsidRDefault="003C208B">
            <w:pPr>
              <w:rPr>
                <w:rFonts w:cstheme="minorHAnsi"/>
                <w:sz w:val="22"/>
                <w:szCs w:val="22"/>
              </w:rPr>
            </w:pPr>
            <w:r w:rsidRPr="009B06D9">
              <w:rPr>
                <w:rFonts w:cstheme="minorHAnsi"/>
                <w:sz w:val="22"/>
                <w:szCs w:val="22"/>
              </w:rPr>
              <w:t>Baseline 2020 tons</w:t>
            </w:r>
          </w:p>
        </w:tc>
        <w:tc>
          <w:tcPr>
            <w:tcW w:w="1710" w:type="dxa"/>
            <w:noWrap/>
            <w:hideMark/>
          </w:tcPr>
          <w:p w14:paraId="32DF9BBF" w14:textId="77777777" w:rsidR="003C208B" w:rsidRPr="009B06D9" w:rsidRDefault="003C208B">
            <w:pPr>
              <w:rPr>
                <w:rFonts w:cstheme="minorHAnsi"/>
                <w:sz w:val="22"/>
                <w:szCs w:val="22"/>
              </w:rPr>
            </w:pPr>
            <w:r w:rsidRPr="009B06D9">
              <w:rPr>
                <w:rFonts w:cstheme="minorHAnsi"/>
                <w:sz w:val="22"/>
                <w:szCs w:val="22"/>
              </w:rPr>
              <w:t>Cumulative tons</w:t>
            </w:r>
          </w:p>
        </w:tc>
        <w:tc>
          <w:tcPr>
            <w:tcW w:w="1530" w:type="dxa"/>
            <w:noWrap/>
            <w:hideMark/>
          </w:tcPr>
          <w:p w14:paraId="4766C6BA" w14:textId="77777777" w:rsidR="003C208B" w:rsidRPr="009B06D9" w:rsidRDefault="003C208B">
            <w:pPr>
              <w:rPr>
                <w:rFonts w:cstheme="minorHAnsi"/>
                <w:sz w:val="22"/>
                <w:szCs w:val="22"/>
              </w:rPr>
            </w:pPr>
            <w:r w:rsidRPr="009B06D9">
              <w:rPr>
                <w:rFonts w:cstheme="minorHAnsi"/>
                <w:sz w:val="22"/>
                <w:szCs w:val="22"/>
              </w:rPr>
              <w:t>Annual tons</w:t>
            </w:r>
          </w:p>
        </w:tc>
      </w:tr>
      <w:tr w:rsidR="00B30266" w:rsidRPr="009B06D9" w14:paraId="76EEFDB3" w14:textId="77777777" w:rsidTr="00B30266">
        <w:trPr>
          <w:trHeight w:val="350"/>
        </w:trPr>
        <w:tc>
          <w:tcPr>
            <w:tcW w:w="1255" w:type="dxa"/>
            <w:noWrap/>
            <w:hideMark/>
          </w:tcPr>
          <w:p w14:paraId="2F204E9A" w14:textId="77777777" w:rsidR="003C208B" w:rsidRPr="009B06D9" w:rsidRDefault="003C208B">
            <w:pPr>
              <w:rPr>
                <w:rFonts w:cstheme="minorHAnsi"/>
                <w:sz w:val="22"/>
                <w:szCs w:val="22"/>
              </w:rPr>
            </w:pPr>
            <w:r w:rsidRPr="009B06D9">
              <w:rPr>
                <w:rFonts w:cstheme="minorHAnsi"/>
                <w:sz w:val="22"/>
                <w:szCs w:val="22"/>
              </w:rPr>
              <w:t> </w:t>
            </w:r>
          </w:p>
        </w:tc>
        <w:tc>
          <w:tcPr>
            <w:tcW w:w="1170" w:type="dxa"/>
            <w:noWrap/>
            <w:hideMark/>
          </w:tcPr>
          <w:p w14:paraId="057430AE" w14:textId="77777777" w:rsidR="003C208B" w:rsidRPr="009B06D9" w:rsidRDefault="003C208B">
            <w:pPr>
              <w:rPr>
                <w:rFonts w:cstheme="minorHAnsi"/>
                <w:sz w:val="22"/>
                <w:szCs w:val="22"/>
              </w:rPr>
            </w:pPr>
            <w:r w:rsidRPr="009B06D9">
              <w:rPr>
                <w:rFonts w:cstheme="minorHAnsi"/>
                <w:sz w:val="22"/>
                <w:szCs w:val="22"/>
              </w:rPr>
              <w:t>CO2</w:t>
            </w:r>
          </w:p>
        </w:tc>
        <w:tc>
          <w:tcPr>
            <w:tcW w:w="1980" w:type="dxa"/>
            <w:noWrap/>
            <w:hideMark/>
          </w:tcPr>
          <w:p w14:paraId="557C48AB" w14:textId="3EA9E590" w:rsidR="003C208B" w:rsidRPr="009B06D9" w:rsidRDefault="003C208B" w:rsidP="003C208B">
            <w:pPr>
              <w:jc w:val="right"/>
              <w:rPr>
                <w:rFonts w:cstheme="minorHAnsi"/>
                <w:sz w:val="22"/>
                <w:szCs w:val="22"/>
              </w:rPr>
            </w:pPr>
            <w:r w:rsidRPr="009B06D9">
              <w:rPr>
                <w:rFonts w:cstheme="minorHAnsi"/>
                <w:sz w:val="22"/>
                <w:szCs w:val="22"/>
              </w:rPr>
              <w:t xml:space="preserve">          149,260 </w:t>
            </w:r>
          </w:p>
        </w:tc>
        <w:tc>
          <w:tcPr>
            <w:tcW w:w="1710" w:type="dxa"/>
            <w:noWrap/>
            <w:hideMark/>
          </w:tcPr>
          <w:p w14:paraId="1BFCB093" w14:textId="44D173F8" w:rsidR="003C208B" w:rsidRPr="009B06D9" w:rsidRDefault="003C208B" w:rsidP="003C208B">
            <w:pPr>
              <w:jc w:val="right"/>
              <w:rPr>
                <w:rFonts w:cstheme="minorHAnsi"/>
                <w:sz w:val="22"/>
                <w:szCs w:val="22"/>
              </w:rPr>
            </w:pPr>
            <w:r w:rsidRPr="009B06D9">
              <w:rPr>
                <w:rFonts w:cstheme="minorHAnsi"/>
                <w:sz w:val="22"/>
                <w:szCs w:val="22"/>
              </w:rPr>
              <w:t xml:space="preserve">        4,660 </w:t>
            </w:r>
          </w:p>
        </w:tc>
        <w:tc>
          <w:tcPr>
            <w:tcW w:w="1530" w:type="dxa"/>
            <w:noWrap/>
            <w:hideMark/>
          </w:tcPr>
          <w:p w14:paraId="480EB2D2" w14:textId="5DFDC1F0" w:rsidR="003C208B" w:rsidRPr="009B06D9" w:rsidRDefault="003C208B" w:rsidP="003C208B">
            <w:pPr>
              <w:jc w:val="right"/>
              <w:rPr>
                <w:rFonts w:cstheme="minorHAnsi"/>
                <w:sz w:val="22"/>
                <w:szCs w:val="22"/>
              </w:rPr>
            </w:pPr>
            <w:r w:rsidRPr="009B06D9">
              <w:rPr>
                <w:rFonts w:cstheme="minorHAnsi"/>
                <w:sz w:val="22"/>
                <w:szCs w:val="22"/>
              </w:rPr>
              <w:t xml:space="preserve">     932 </w:t>
            </w:r>
          </w:p>
        </w:tc>
      </w:tr>
      <w:tr w:rsidR="00B30266" w:rsidRPr="009B06D9" w14:paraId="3B0DC5BC" w14:textId="77777777" w:rsidTr="00B30266">
        <w:trPr>
          <w:trHeight w:val="404"/>
        </w:trPr>
        <w:tc>
          <w:tcPr>
            <w:tcW w:w="1255" w:type="dxa"/>
            <w:noWrap/>
            <w:hideMark/>
          </w:tcPr>
          <w:p w14:paraId="4987ACF2" w14:textId="77777777" w:rsidR="003C208B" w:rsidRPr="009B06D9" w:rsidRDefault="003C208B">
            <w:pPr>
              <w:rPr>
                <w:rFonts w:cstheme="minorHAnsi"/>
                <w:sz w:val="22"/>
                <w:szCs w:val="22"/>
              </w:rPr>
            </w:pPr>
            <w:r w:rsidRPr="009B06D9">
              <w:rPr>
                <w:rFonts w:cstheme="minorHAnsi"/>
                <w:sz w:val="22"/>
                <w:szCs w:val="22"/>
              </w:rPr>
              <w:t> </w:t>
            </w:r>
          </w:p>
        </w:tc>
        <w:tc>
          <w:tcPr>
            <w:tcW w:w="1170" w:type="dxa"/>
            <w:noWrap/>
            <w:hideMark/>
          </w:tcPr>
          <w:p w14:paraId="75028F8F" w14:textId="0540B39B" w:rsidR="003C208B" w:rsidRPr="009B06D9" w:rsidRDefault="003C208B">
            <w:pPr>
              <w:rPr>
                <w:rFonts w:cstheme="minorHAnsi"/>
                <w:sz w:val="22"/>
                <w:szCs w:val="22"/>
              </w:rPr>
            </w:pPr>
            <w:r w:rsidRPr="009B06D9">
              <w:rPr>
                <w:rFonts w:cstheme="minorHAnsi"/>
                <w:sz w:val="22"/>
                <w:szCs w:val="22"/>
              </w:rPr>
              <w:t>NOx</w:t>
            </w:r>
          </w:p>
        </w:tc>
        <w:tc>
          <w:tcPr>
            <w:tcW w:w="1980" w:type="dxa"/>
            <w:noWrap/>
            <w:hideMark/>
          </w:tcPr>
          <w:p w14:paraId="7E4A645F" w14:textId="1494F1C8" w:rsidR="003C208B" w:rsidRPr="009B06D9" w:rsidRDefault="003C208B" w:rsidP="003C208B">
            <w:pPr>
              <w:jc w:val="right"/>
              <w:rPr>
                <w:rFonts w:cstheme="minorHAnsi"/>
                <w:sz w:val="22"/>
                <w:szCs w:val="22"/>
              </w:rPr>
            </w:pPr>
            <w:r w:rsidRPr="009B06D9">
              <w:rPr>
                <w:rFonts w:cstheme="minorHAnsi"/>
                <w:sz w:val="22"/>
                <w:szCs w:val="22"/>
              </w:rPr>
              <w:t xml:space="preserve">                 300 </w:t>
            </w:r>
          </w:p>
        </w:tc>
        <w:tc>
          <w:tcPr>
            <w:tcW w:w="1710" w:type="dxa"/>
            <w:noWrap/>
            <w:hideMark/>
          </w:tcPr>
          <w:p w14:paraId="06F9816F" w14:textId="40245402" w:rsidR="003C208B" w:rsidRPr="009B06D9" w:rsidRDefault="003C208B" w:rsidP="003C208B">
            <w:pPr>
              <w:jc w:val="right"/>
              <w:rPr>
                <w:rFonts w:cstheme="minorHAnsi"/>
                <w:sz w:val="22"/>
                <w:szCs w:val="22"/>
              </w:rPr>
            </w:pPr>
            <w:r w:rsidRPr="009B06D9">
              <w:rPr>
                <w:rFonts w:cstheme="minorHAnsi"/>
                <w:sz w:val="22"/>
                <w:szCs w:val="22"/>
              </w:rPr>
              <w:t xml:space="preserve">                9 </w:t>
            </w:r>
          </w:p>
        </w:tc>
        <w:tc>
          <w:tcPr>
            <w:tcW w:w="1530" w:type="dxa"/>
            <w:noWrap/>
            <w:hideMark/>
          </w:tcPr>
          <w:p w14:paraId="2CE7289C" w14:textId="391BB61E" w:rsidR="003C208B" w:rsidRPr="009B06D9" w:rsidRDefault="003C208B" w:rsidP="003C208B">
            <w:pPr>
              <w:jc w:val="right"/>
              <w:rPr>
                <w:rFonts w:cstheme="minorHAnsi"/>
                <w:sz w:val="22"/>
                <w:szCs w:val="22"/>
              </w:rPr>
            </w:pPr>
            <w:r w:rsidRPr="009B06D9">
              <w:rPr>
                <w:rFonts w:cstheme="minorHAnsi"/>
                <w:sz w:val="22"/>
                <w:szCs w:val="22"/>
              </w:rPr>
              <w:t xml:space="preserve">         2 </w:t>
            </w:r>
          </w:p>
        </w:tc>
      </w:tr>
      <w:tr w:rsidR="00B30266" w:rsidRPr="009B06D9" w14:paraId="3CC0BDAE" w14:textId="77777777" w:rsidTr="00B30266">
        <w:trPr>
          <w:trHeight w:val="288"/>
        </w:trPr>
        <w:tc>
          <w:tcPr>
            <w:tcW w:w="1255" w:type="dxa"/>
            <w:noWrap/>
            <w:hideMark/>
          </w:tcPr>
          <w:p w14:paraId="1A6787B4" w14:textId="77777777" w:rsidR="003C208B" w:rsidRPr="009B06D9" w:rsidRDefault="003C208B">
            <w:pPr>
              <w:rPr>
                <w:rFonts w:cstheme="minorHAnsi"/>
                <w:sz w:val="22"/>
                <w:szCs w:val="22"/>
              </w:rPr>
            </w:pPr>
            <w:r w:rsidRPr="009B06D9">
              <w:rPr>
                <w:rFonts w:cstheme="minorHAnsi"/>
                <w:sz w:val="22"/>
                <w:szCs w:val="22"/>
              </w:rPr>
              <w:t> </w:t>
            </w:r>
          </w:p>
        </w:tc>
        <w:tc>
          <w:tcPr>
            <w:tcW w:w="1170" w:type="dxa"/>
            <w:noWrap/>
            <w:hideMark/>
          </w:tcPr>
          <w:p w14:paraId="10CDC608" w14:textId="77777777" w:rsidR="003C208B" w:rsidRPr="009B06D9" w:rsidRDefault="003C208B">
            <w:pPr>
              <w:rPr>
                <w:rFonts w:cstheme="minorHAnsi"/>
                <w:sz w:val="22"/>
                <w:szCs w:val="22"/>
              </w:rPr>
            </w:pPr>
            <w:r w:rsidRPr="009B06D9">
              <w:rPr>
                <w:rFonts w:cstheme="minorHAnsi"/>
                <w:sz w:val="22"/>
                <w:szCs w:val="22"/>
              </w:rPr>
              <w:t>VOCs</w:t>
            </w:r>
          </w:p>
        </w:tc>
        <w:tc>
          <w:tcPr>
            <w:tcW w:w="1980" w:type="dxa"/>
            <w:noWrap/>
            <w:hideMark/>
          </w:tcPr>
          <w:p w14:paraId="4132D8E1" w14:textId="2A8E7056" w:rsidR="003C208B" w:rsidRPr="009B06D9" w:rsidRDefault="003C208B" w:rsidP="003C208B">
            <w:pPr>
              <w:jc w:val="right"/>
              <w:rPr>
                <w:rFonts w:cstheme="minorHAnsi"/>
                <w:sz w:val="22"/>
                <w:szCs w:val="22"/>
              </w:rPr>
            </w:pPr>
            <w:r w:rsidRPr="009B06D9">
              <w:rPr>
                <w:rFonts w:cstheme="minorHAnsi"/>
                <w:sz w:val="22"/>
                <w:szCs w:val="22"/>
              </w:rPr>
              <w:t xml:space="preserve">              1,970 </w:t>
            </w:r>
          </w:p>
        </w:tc>
        <w:tc>
          <w:tcPr>
            <w:tcW w:w="1710" w:type="dxa"/>
            <w:noWrap/>
            <w:hideMark/>
          </w:tcPr>
          <w:p w14:paraId="56B6FD83" w14:textId="2702DE69" w:rsidR="003C208B" w:rsidRPr="009B06D9" w:rsidRDefault="003C208B" w:rsidP="003C208B">
            <w:pPr>
              <w:jc w:val="right"/>
              <w:rPr>
                <w:rFonts w:cstheme="minorHAnsi"/>
                <w:sz w:val="22"/>
                <w:szCs w:val="22"/>
              </w:rPr>
            </w:pPr>
            <w:r w:rsidRPr="009B06D9">
              <w:rPr>
                <w:rFonts w:cstheme="minorHAnsi"/>
                <w:sz w:val="22"/>
                <w:szCs w:val="22"/>
              </w:rPr>
              <w:t xml:space="preserve">              60 </w:t>
            </w:r>
          </w:p>
        </w:tc>
        <w:tc>
          <w:tcPr>
            <w:tcW w:w="1530" w:type="dxa"/>
            <w:noWrap/>
            <w:hideMark/>
          </w:tcPr>
          <w:p w14:paraId="45287942" w14:textId="3063A6F0" w:rsidR="003C208B" w:rsidRPr="009B06D9" w:rsidRDefault="003C208B" w:rsidP="003C208B">
            <w:pPr>
              <w:jc w:val="right"/>
              <w:rPr>
                <w:rFonts w:cstheme="minorHAnsi"/>
                <w:sz w:val="22"/>
                <w:szCs w:val="22"/>
              </w:rPr>
            </w:pPr>
            <w:r w:rsidRPr="009B06D9">
              <w:rPr>
                <w:rFonts w:cstheme="minorHAnsi"/>
                <w:sz w:val="22"/>
                <w:szCs w:val="22"/>
              </w:rPr>
              <w:t xml:space="preserve">        12 </w:t>
            </w:r>
          </w:p>
        </w:tc>
      </w:tr>
    </w:tbl>
    <w:p w14:paraId="5FB9359C" w14:textId="77777777" w:rsidR="00644B2B" w:rsidRPr="009B06D9" w:rsidRDefault="00644B2B" w:rsidP="00A24D9C">
      <w:pPr>
        <w:rPr>
          <w:rFonts w:cstheme="minorHAnsi"/>
        </w:rPr>
      </w:pPr>
    </w:p>
    <w:tbl>
      <w:tblPr>
        <w:tblStyle w:val="TableGrid"/>
        <w:tblW w:w="0" w:type="auto"/>
        <w:tblLook w:val="04A0" w:firstRow="1" w:lastRow="0" w:firstColumn="1" w:lastColumn="0" w:noHBand="0" w:noVBand="1"/>
      </w:tblPr>
      <w:tblGrid>
        <w:gridCol w:w="1233"/>
        <w:gridCol w:w="1200"/>
        <w:gridCol w:w="1972"/>
        <w:gridCol w:w="1710"/>
        <w:gridCol w:w="1530"/>
      </w:tblGrid>
      <w:tr w:rsidR="00B30266" w:rsidRPr="009B06D9" w14:paraId="4410E2E0" w14:textId="77777777" w:rsidTr="00B30266">
        <w:trPr>
          <w:trHeight w:val="290"/>
        </w:trPr>
        <w:tc>
          <w:tcPr>
            <w:tcW w:w="1233" w:type="dxa"/>
            <w:noWrap/>
            <w:hideMark/>
          </w:tcPr>
          <w:p w14:paraId="59F6BCA7" w14:textId="77777777" w:rsidR="003C208B" w:rsidRPr="009B06D9" w:rsidRDefault="003C208B">
            <w:pPr>
              <w:rPr>
                <w:rFonts w:cstheme="minorHAnsi"/>
                <w:b/>
                <w:bCs/>
                <w:sz w:val="22"/>
                <w:szCs w:val="22"/>
              </w:rPr>
            </w:pPr>
            <w:r w:rsidRPr="009B06D9">
              <w:rPr>
                <w:rFonts w:cstheme="minorHAnsi"/>
                <w:b/>
                <w:bCs/>
                <w:sz w:val="22"/>
                <w:szCs w:val="22"/>
              </w:rPr>
              <w:t xml:space="preserve">Residential </w:t>
            </w:r>
          </w:p>
        </w:tc>
        <w:tc>
          <w:tcPr>
            <w:tcW w:w="1200" w:type="dxa"/>
            <w:noWrap/>
            <w:hideMark/>
          </w:tcPr>
          <w:p w14:paraId="69B03233" w14:textId="77777777" w:rsidR="003C208B" w:rsidRPr="009B06D9" w:rsidRDefault="003C208B">
            <w:pPr>
              <w:rPr>
                <w:rFonts w:cstheme="minorHAnsi"/>
                <w:sz w:val="22"/>
                <w:szCs w:val="22"/>
              </w:rPr>
            </w:pPr>
            <w:r w:rsidRPr="009B06D9">
              <w:rPr>
                <w:rFonts w:cstheme="minorHAnsi"/>
                <w:sz w:val="22"/>
                <w:szCs w:val="22"/>
              </w:rPr>
              <w:t xml:space="preserve">Pollutant </w:t>
            </w:r>
          </w:p>
        </w:tc>
        <w:tc>
          <w:tcPr>
            <w:tcW w:w="1972" w:type="dxa"/>
            <w:noWrap/>
            <w:hideMark/>
          </w:tcPr>
          <w:p w14:paraId="2782BF12" w14:textId="02AC72A0" w:rsidR="003C208B" w:rsidRPr="009B06D9" w:rsidRDefault="003C208B">
            <w:pPr>
              <w:rPr>
                <w:rFonts w:cstheme="minorHAnsi"/>
                <w:sz w:val="22"/>
                <w:szCs w:val="22"/>
              </w:rPr>
            </w:pPr>
            <w:r w:rsidRPr="009B06D9">
              <w:rPr>
                <w:rFonts w:cstheme="minorHAnsi"/>
                <w:sz w:val="22"/>
                <w:szCs w:val="22"/>
              </w:rPr>
              <w:t>Baseline 2020 metric tons</w:t>
            </w:r>
          </w:p>
        </w:tc>
        <w:tc>
          <w:tcPr>
            <w:tcW w:w="1710" w:type="dxa"/>
            <w:noWrap/>
            <w:hideMark/>
          </w:tcPr>
          <w:p w14:paraId="5DE8E8A2" w14:textId="77777777" w:rsidR="003C208B" w:rsidRPr="009B06D9" w:rsidRDefault="003C208B">
            <w:pPr>
              <w:rPr>
                <w:rFonts w:cstheme="minorHAnsi"/>
                <w:sz w:val="22"/>
                <w:szCs w:val="22"/>
              </w:rPr>
            </w:pPr>
            <w:r w:rsidRPr="009B06D9">
              <w:rPr>
                <w:rFonts w:cstheme="minorHAnsi"/>
                <w:sz w:val="22"/>
                <w:szCs w:val="22"/>
              </w:rPr>
              <w:t>Cumulative metric tons</w:t>
            </w:r>
          </w:p>
        </w:tc>
        <w:tc>
          <w:tcPr>
            <w:tcW w:w="1530" w:type="dxa"/>
            <w:noWrap/>
            <w:hideMark/>
          </w:tcPr>
          <w:p w14:paraId="4B31798D" w14:textId="77777777" w:rsidR="003C208B" w:rsidRPr="009B06D9" w:rsidRDefault="003C208B">
            <w:pPr>
              <w:rPr>
                <w:rFonts w:cstheme="minorHAnsi"/>
                <w:sz w:val="22"/>
                <w:szCs w:val="22"/>
              </w:rPr>
            </w:pPr>
            <w:r w:rsidRPr="009B06D9">
              <w:rPr>
                <w:rFonts w:cstheme="minorHAnsi"/>
                <w:sz w:val="22"/>
                <w:szCs w:val="22"/>
              </w:rPr>
              <w:t>Annual metric tons</w:t>
            </w:r>
          </w:p>
        </w:tc>
      </w:tr>
      <w:tr w:rsidR="00B30266" w:rsidRPr="009B06D9" w14:paraId="6E935EC5" w14:textId="77777777" w:rsidTr="00B30266">
        <w:trPr>
          <w:trHeight w:val="290"/>
        </w:trPr>
        <w:tc>
          <w:tcPr>
            <w:tcW w:w="1233" w:type="dxa"/>
            <w:noWrap/>
            <w:hideMark/>
          </w:tcPr>
          <w:p w14:paraId="56DC7E3F" w14:textId="77777777" w:rsidR="003C208B" w:rsidRPr="009B06D9" w:rsidRDefault="003C208B">
            <w:pPr>
              <w:rPr>
                <w:rFonts w:cstheme="minorHAnsi"/>
                <w:sz w:val="22"/>
                <w:szCs w:val="22"/>
              </w:rPr>
            </w:pPr>
            <w:r w:rsidRPr="009B06D9">
              <w:rPr>
                <w:rFonts w:cstheme="minorHAnsi"/>
                <w:sz w:val="22"/>
                <w:szCs w:val="22"/>
              </w:rPr>
              <w:t> </w:t>
            </w:r>
          </w:p>
        </w:tc>
        <w:tc>
          <w:tcPr>
            <w:tcW w:w="1200" w:type="dxa"/>
            <w:noWrap/>
            <w:hideMark/>
          </w:tcPr>
          <w:p w14:paraId="63E40CAE" w14:textId="77777777" w:rsidR="003C208B" w:rsidRPr="009B06D9" w:rsidRDefault="003C208B">
            <w:pPr>
              <w:rPr>
                <w:rFonts w:cstheme="minorHAnsi"/>
                <w:sz w:val="22"/>
                <w:szCs w:val="22"/>
              </w:rPr>
            </w:pPr>
            <w:r w:rsidRPr="009B06D9">
              <w:rPr>
                <w:rFonts w:cstheme="minorHAnsi"/>
                <w:sz w:val="22"/>
                <w:szCs w:val="22"/>
              </w:rPr>
              <w:t>CO2</w:t>
            </w:r>
          </w:p>
        </w:tc>
        <w:tc>
          <w:tcPr>
            <w:tcW w:w="1972" w:type="dxa"/>
            <w:noWrap/>
            <w:hideMark/>
          </w:tcPr>
          <w:p w14:paraId="3EC7483A" w14:textId="72FB51E3" w:rsidR="003C208B" w:rsidRPr="009B06D9" w:rsidRDefault="003C208B" w:rsidP="004C05EA">
            <w:pPr>
              <w:jc w:val="right"/>
              <w:rPr>
                <w:rFonts w:cstheme="minorHAnsi"/>
                <w:sz w:val="22"/>
                <w:szCs w:val="22"/>
              </w:rPr>
            </w:pPr>
            <w:r w:rsidRPr="009B06D9">
              <w:rPr>
                <w:rFonts w:cstheme="minorHAnsi"/>
                <w:sz w:val="22"/>
                <w:szCs w:val="22"/>
              </w:rPr>
              <w:t xml:space="preserve">         135,407 </w:t>
            </w:r>
          </w:p>
        </w:tc>
        <w:tc>
          <w:tcPr>
            <w:tcW w:w="1710" w:type="dxa"/>
            <w:noWrap/>
            <w:hideMark/>
          </w:tcPr>
          <w:p w14:paraId="7E2AAAD0" w14:textId="2E81642E" w:rsidR="003C208B" w:rsidRPr="009B06D9" w:rsidRDefault="003C208B" w:rsidP="004C05EA">
            <w:pPr>
              <w:jc w:val="right"/>
              <w:rPr>
                <w:rFonts w:cstheme="minorHAnsi"/>
                <w:sz w:val="22"/>
                <w:szCs w:val="22"/>
              </w:rPr>
            </w:pPr>
            <w:r w:rsidRPr="009B06D9">
              <w:rPr>
                <w:rFonts w:cstheme="minorHAnsi"/>
                <w:sz w:val="22"/>
                <w:szCs w:val="22"/>
              </w:rPr>
              <w:t xml:space="preserve">          4,227 </w:t>
            </w:r>
          </w:p>
        </w:tc>
        <w:tc>
          <w:tcPr>
            <w:tcW w:w="1530" w:type="dxa"/>
            <w:noWrap/>
            <w:hideMark/>
          </w:tcPr>
          <w:p w14:paraId="45E7F449" w14:textId="34ED1626" w:rsidR="003C208B" w:rsidRPr="009B06D9" w:rsidRDefault="003C208B" w:rsidP="004C05EA">
            <w:pPr>
              <w:jc w:val="right"/>
              <w:rPr>
                <w:rFonts w:cstheme="minorHAnsi"/>
                <w:sz w:val="22"/>
                <w:szCs w:val="22"/>
              </w:rPr>
            </w:pPr>
            <w:r w:rsidRPr="009B06D9">
              <w:rPr>
                <w:rFonts w:cstheme="minorHAnsi"/>
                <w:sz w:val="22"/>
                <w:szCs w:val="22"/>
              </w:rPr>
              <w:t xml:space="preserve">             845 </w:t>
            </w:r>
          </w:p>
        </w:tc>
      </w:tr>
      <w:tr w:rsidR="00B30266" w:rsidRPr="009B06D9" w14:paraId="74151DD7" w14:textId="77777777" w:rsidTr="00B30266">
        <w:trPr>
          <w:trHeight w:val="290"/>
        </w:trPr>
        <w:tc>
          <w:tcPr>
            <w:tcW w:w="1233" w:type="dxa"/>
            <w:noWrap/>
            <w:hideMark/>
          </w:tcPr>
          <w:p w14:paraId="26A7ABFF" w14:textId="77777777" w:rsidR="003C208B" w:rsidRPr="009B06D9" w:rsidRDefault="003C208B">
            <w:pPr>
              <w:rPr>
                <w:rFonts w:cstheme="minorHAnsi"/>
                <w:sz w:val="22"/>
                <w:szCs w:val="22"/>
              </w:rPr>
            </w:pPr>
            <w:r w:rsidRPr="009B06D9">
              <w:rPr>
                <w:rFonts w:cstheme="minorHAnsi"/>
                <w:sz w:val="22"/>
                <w:szCs w:val="22"/>
              </w:rPr>
              <w:t> </w:t>
            </w:r>
          </w:p>
        </w:tc>
        <w:tc>
          <w:tcPr>
            <w:tcW w:w="1200" w:type="dxa"/>
            <w:noWrap/>
            <w:hideMark/>
          </w:tcPr>
          <w:p w14:paraId="097E1601" w14:textId="76644844" w:rsidR="003C208B" w:rsidRPr="009B06D9" w:rsidRDefault="003C208B">
            <w:pPr>
              <w:rPr>
                <w:rFonts w:cstheme="minorHAnsi"/>
                <w:sz w:val="22"/>
                <w:szCs w:val="22"/>
              </w:rPr>
            </w:pPr>
            <w:r w:rsidRPr="009B06D9">
              <w:rPr>
                <w:rFonts w:cstheme="minorHAnsi"/>
                <w:sz w:val="22"/>
                <w:szCs w:val="22"/>
              </w:rPr>
              <w:t>NOx</w:t>
            </w:r>
          </w:p>
        </w:tc>
        <w:tc>
          <w:tcPr>
            <w:tcW w:w="1972" w:type="dxa"/>
            <w:noWrap/>
            <w:hideMark/>
          </w:tcPr>
          <w:p w14:paraId="451ED8F7" w14:textId="30111156" w:rsidR="003C208B" w:rsidRPr="009B06D9" w:rsidRDefault="003C208B" w:rsidP="004C05EA">
            <w:pPr>
              <w:jc w:val="right"/>
              <w:rPr>
                <w:rFonts w:cstheme="minorHAnsi"/>
                <w:sz w:val="22"/>
                <w:szCs w:val="22"/>
              </w:rPr>
            </w:pPr>
            <w:r w:rsidRPr="009B06D9">
              <w:rPr>
                <w:rFonts w:cstheme="minorHAnsi"/>
                <w:sz w:val="22"/>
                <w:szCs w:val="22"/>
              </w:rPr>
              <w:t xml:space="preserve">                 272 </w:t>
            </w:r>
          </w:p>
        </w:tc>
        <w:tc>
          <w:tcPr>
            <w:tcW w:w="1710" w:type="dxa"/>
            <w:noWrap/>
            <w:hideMark/>
          </w:tcPr>
          <w:p w14:paraId="4B7642D6" w14:textId="19D2CA17" w:rsidR="003C208B" w:rsidRPr="009B06D9" w:rsidRDefault="003C208B" w:rsidP="004C05EA">
            <w:pPr>
              <w:jc w:val="right"/>
              <w:rPr>
                <w:rFonts w:cstheme="minorHAnsi"/>
                <w:sz w:val="22"/>
                <w:szCs w:val="22"/>
              </w:rPr>
            </w:pPr>
            <w:r w:rsidRPr="009B06D9">
              <w:rPr>
                <w:rFonts w:cstheme="minorHAnsi"/>
                <w:sz w:val="22"/>
                <w:szCs w:val="22"/>
              </w:rPr>
              <w:t xml:space="preserve">                  9 </w:t>
            </w:r>
          </w:p>
        </w:tc>
        <w:tc>
          <w:tcPr>
            <w:tcW w:w="1530" w:type="dxa"/>
            <w:noWrap/>
            <w:hideMark/>
          </w:tcPr>
          <w:p w14:paraId="12EEF40C" w14:textId="7278390C" w:rsidR="003C208B" w:rsidRPr="009B06D9" w:rsidRDefault="003C208B" w:rsidP="004C05EA">
            <w:pPr>
              <w:jc w:val="right"/>
              <w:rPr>
                <w:rFonts w:cstheme="minorHAnsi"/>
                <w:sz w:val="22"/>
                <w:szCs w:val="22"/>
              </w:rPr>
            </w:pPr>
            <w:r w:rsidRPr="009B06D9">
              <w:rPr>
                <w:rFonts w:cstheme="minorHAnsi"/>
                <w:sz w:val="22"/>
                <w:szCs w:val="22"/>
              </w:rPr>
              <w:t xml:space="preserve">                 2 </w:t>
            </w:r>
          </w:p>
        </w:tc>
      </w:tr>
      <w:tr w:rsidR="00B30266" w:rsidRPr="009B06D9" w14:paraId="6BF50A86" w14:textId="77777777" w:rsidTr="00B30266">
        <w:trPr>
          <w:trHeight w:val="359"/>
        </w:trPr>
        <w:tc>
          <w:tcPr>
            <w:tcW w:w="1233" w:type="dxa"/>
            <w:noWrap/>
            <w:hideMark/>
          </w:tcPr>
          <w:p w14:paraId="6926A4C2" w14:textId="77777777" w:rsidR="003C208B" w:rsidRPr="009B06D9" w:rsidRDefault="003C208B">
            <w:pPr>
              <w:rPr>
                <w:rFonts w:cstheme="minorHAnsi"/>
                <w:sz w:val="22"/>
                <w:szCs w:val="22"/>
              </w:rPr>
            </w:pPr>
            <w:r w:rsidRPr="009B06D9">
              <w:rPr>
                <w:rFonts w:cstheme="minorHAnsi"/>
                <w:sz w:val="22"/>
                <w:szCs w:val="22"/>
              </w:rPr>
              <w:t> </w:t>
            </w:r>
          </w:p>
        </w:tc>
        <w:tc>
          <w:tcPr>
            <w:tcW w:w="1200" w:type="dxa"/>
            <w:noWrap/>
            <w:hideMark/>
          </w:tcPr>
          <w:p w14:paraId="0A8B96CC" w14:textId="77777777" w:rsidR="003C208B" w:rsidRPr="009B06D9" w:rsidRDefault="003C208B">
            <w:pPr>
              <w:rPr>
                <w:rFonts w:cstheme="minorHAnsi"/>
                <w:sz w:val="22"/>
                <w:szCs w:val="22"/>
              </w:rPr>
            </w:pPr>
            <w:r w:rsidRPr="009B06D9">
              <w:rPr>
                <w:rFonts w:cstheme="minorHAnsi"/>
                <w:sz w:val="22"/>
                <w:szCs w:val="22"/>
              </w:rPr>
              <w:t>VOCs</w:t>
            </w:r>
          </w:p>
        </w:tc>
        <w:tc>
          <w:tcPr>
            <w:tcW w:w="1972" w:type="dxa"/>
            <w:noWrap/>
            <w:hideMark/>
          </w:tcPr>
          <w:p w14:paraId="2824CE4D" w14:textId="488CA25B" w:rsidR="003C208B" w:rsidRPr="009B06D9" w:rsidRDefault="003C208B" w:rsidP="004C05EA">
            <w:pPr>
              <w:jc w:val="right"/>
              <w:rPr>
                <w:rFonts w:cstheme="minorHAnsi"/>
                <w:sz w:val="22"/>
                <w:szCs w:val="22"/>
              </w:rPr>
            </w:pPr>
            <w:r w:rsidRPr="009B06D9">
              <w:rPr>
                <w:rFonts w:cstheme="minorHAnsi"/>
                <w:sz w:val="22"/>
                <w:szCs w:val="22"/>
              </w:rPr>
              <w:t xml:space="preserve">              1,787 </w:t>
            </w:r>
          </w:p>
        </w:tc>
        <w:tc>
          <w:tcPr>
            <w:tcW w:w="1710" w:type="dxa"/>
            <w:noWrap/>
            <w:hideMark/>
          </w:tcPr>
          <w:p w14:paraId="270B30AC" w14:textId="0B2FDC3D" w:rsidR="003C208B" w:rsidRPr="009B06D9" w:rsidRDefault="003C208B" w:rsidP="004C05EA">
            <w:pPr>
              <w:jc w:val="right"/>
              <w:rPr>
                <w:rFonts w:cstheme="minorHAnsi"/>
                <w:sz w:val="22"/>
                <w:szCs w:val="22"/>
              </w:rPr>
            </w:pPr>
            <w:r w:rsidRPr="009B06D9">
              <w:rPr>
                <w:rFonts w:cstheme="minorHAnsi"/>
                <w:sz w:val="22"/>
                <w:szCs w:val="22"/>
              </w:rPr>
              <w:t xml:space="preserve">               54 </w:t>
            </w:r>
          </w:p>
        </w:tc>
        <w:tc>
          <w:tcPr>
            <w:tcW w:w="1530" w:type="dxa"/>
            <w:noWrap/>
            <w:hideMark/>
          </w:tcPr>
          <w:p w14:paraId="73570202" w14:textId="712C3F53" w:rsidR="003C208B" w:rsidRPr="009B06D9" w:rsidRDefault="003C208B" w:rsidP="004C05EA">
            <w:pPr>
              <w:jc w:val="right"/>
              <w:rPr>
                <w:rFonts w:cstheme="minorHAnsi"/>
                <w:sz w:val="22"/>
                <w:szCs w:val="22"/>
              </w:rPr>
            </w:pPr>
            <w:r w:rsidRPr="009B06D9">
              <w:rPr>
                <w:rFonts w:cstheme="minorHAnsi"/>
                <w:sz w:val="22"/>
                <w:szCs w:val="22"/>
              </w:rPr>
              <w:t xml:space="preserve">               11 </w:t>
            </w:r>
          </w:p>
        </w:tc>
      </w:tr>
    </w:tbl>
    <w:p w14:paraId="6481F9E7" w14:textId="77777777" w:rsidR="00644B2B" w:rsidRPr="004C05EA" w:rsidRDefault="00644B2B" w:rsidP="00A24D9C">
      <w:pPr>
        <w:pStyle w:val="ListParagraph"/>
        <w:ind w:left="1080"/>
        <w:rPr>
          <w:rFonts w:cstheme="minorHAnsi"/>
          <w:sz w:val="22"/>
          <w:szCs w:val="22"/>
        </w:rPr>
      </w:pPr>
    </w:p>
    <w:p w14:paraId="695CFD77" w14:textId="2B6F64EA" w:rsidR="00644B2B" w:rsidRPr="004C05EA" w:rsidRDefault="00644B2B" w:rsidP="00A24D9C">
      <w:pPr>
        <w:pStyle w:val="ListParagraph"/>
        <w:ind w:left="0"/>
        <w:rPr>
          <w:rFonts w:cstheme="minorHAnsi"/>
          <w:sz w:val="22"/>
          <w:szCs w:val="22"/>
        </w:rPr>
      </w:pPr>
      <w:r w:rsidRPr="004C05EA">
        <w:rPr>
          <w:rFonts w:cstheme="minorHAnsi"/>
          <w:sz w:val="22"/>
          <w:szCs w:val="22"/>
          <w:u w:val="single"/>
        </w:rPr>
        <w:t>Commercial hand-held equipment</w:t>
      </w:r>
      <w:r w:rsidRPr="004C05EA">
        <w:rPr>
          <w:rFonts w:cstheme="minorHAnsi"/>
          <w:sz w:val="22"/>
          <w:szCs w:val="22"/>
        </w:rPr>
        <w:t>: as with the all-residential equipment category, we summed the emissions for the units estimated by MOVES as commercial gasoline hand-held equipment. We defined hand-held equipment as the following MOVES equipment types:</w:t>
      </w:r>
      <w:r w:rsidRPr="004C05EA">
        <w:rPr>
          <w:rFonts w:cstheme="minorHAnsi"/>
          <w:color w:val="000000"/>
          <w:sz w:val="22"/>
          <w:szCs w:val="22"/>
        </w:rPr>
        <w:t xml:space="preserve"> 2-Str </w:t>
      </w:r>
      <w:r w:rsidR="0095784B" w:rsidRPr="004C05EA">
        <w:rPr>
          <w:rFonts w:cstheme="minorHAnsi"/>
          <w:color w:val="000000"/>
          <w:sz w:val="22"/>
          <w:szCs w:val="22"/>
        </w:rPr>
        <w:t>Leaf blowers</w:t>
      </w:r>
      <w:r w:rsidRPr="004C05EA">
        <w:rPr>
          <w:rFonts w:cstheme="minorHAnsi"/>
          <w:color w:val="000000"/>
          <w:sz w:val="22"/>
          <w:szCs w:val="22"/>
        </w:rPr>
        <w:t xml:space="preserve">/Vacuums (com), 2-Str Trimmers/Edgers/Brush Cutter (com), 2-Str Chain Saws &lt; 6 HP (com), 4-Str </w:t>
      </w:r>
      <w:r w:rsidR="0095784B" w:rsidRPr="004C05EA">
        <w:rPr>
          <w:rFonts w:cstheme="minorHAnsi"/>
          <w:color w:val="000000"/>
          <w:sz w:val="22"/>
          <w:szCs w:val="22"/>
        </w:rPr>
        <w:t>Leaf blowers</w:t>
      </w:r>
      <w:r w:rsidRPr="004C05EA">
        <w:rPr>
          <w:rFonts w:cstheme="minorHAnsi"/>
          <w:color w:val="000000"/>
          <w:sz w:val="22"/>
          <w:szCs w:val="22"/>
        </w:rPr>
        <w:t xml:space="preserve">/Vacuums (com). </w:t>
      </w:r>
      <w:r w:rsidRPr="004C05EA">
        <w:rPr>
          <w:rFonts w:cstheme="minorHAnsi"/>
          <w:sz w:val="22"/>
          <w:szCs w:val="22"/>
        </w:rPr>
        <w:t>The table below shows the estimates of baseline 2020 commercial hand-held LGE emissions, the cumulative 2025-2030 emissions reductions, and annual 2025-2030 emissions reductions for the seven Chicago area counties.</w:t>
      </w:r>
    </w:p>
    <w:tbl>
      <w:tblPr>
        <w:tblStyle w:val="TableGrid"/>
        <w:tblW w:w="0" w:type="auto"/>
        <w:tblLook w:val="04A0" w:firstRow="1" w:lastRow="0" w:firstColumn="1" w:lastColumn="0" w:noHBand="0" w:noVBand="1"/>
      </w:tblPr>
      <w:tblGrid>
        <w:gridCol w:w="1885"/>
        <w:gridCol w:w="1170"/>
        <w:gridCol w:w="2160"/>
        <w:gridCol w:w="1890"/>
        <w:gridCol w:w="1710"/>
      </w:tblGrid>
      <w:tr w:rsidR="00426E53" w:rsidRPr="009B06D9" w14:paraId="5BC53797" w14:textId="77777777" w:rsidTr="00067D34">
        <w:trPr>
          <w:trHeight w:val="310"/>
        </w:trPr>
        <w:tc>
          <w:tcPr>
            <w:tcW w:w="1885" w:type="dxa"/>
            <w:noWrap/>
            <w:hideMark/>
          </w:tcPr>
          <w:p w14:paraId="24D8FEE9" w14:textId="27A9B2A6" w:rsidR="00FA0E9C" w:rsidRPr="009B06D9" w:rsidRDefault="00FA0E9C">
            <w:pPr>
              <w:rPr>
                <w:rFonts w:cstheme="minorHAnsi"/>
                <w:b/>
                <w:bCs/>
                <w:sz w:val="22"/>
                <w:szCs w:val="22"/>
              </w:rPr>
            </w:pPr>
            <w:r w:rsidRPr="009B06D9">
              <w:rPr>
                <w:rFonts w:cstheme="minorHAnsi"/>
                <w:b/>
                <w:bCs/>
                <w:sz w:val="22"/>
                <w:szCs w:val="22"/>
              </w:rPr>
              <w:t xml:space="preserve">Comm </w:t>
            </w:r>
            <w:r w:rsidR="00AA2506" w:rsidRPr="009B06D9">
              <w:rPr>
                <w:rFonts w:cstheme="minorHAnsi"/>
                <w:b/>
                <w:bCs/>
                <w:sz w:val="22"/>
                <w:szCs w:val="22"/>
              </w:rPr>
              <w:t>h</w:t>
            </w:r>
            <w:r w:rsidR="00DF76DA" w:rsidRPr="009B06D9">
              <w:rPr>
                <w:rFonts w:cstheme="minorHAnsi"/>
                <w:b/>
                <w:bCs/>
                <w:sz w:val="22"/>
                <w:szCs w:val="22"/>
              </w:rPr>
              <w:t>and</w:t>
            </w:r>
            <w:r w:rsidR="00AA2CD2" w:rsidRPr="009B06D9">
              <w:rPr>
                <w:rFonts w:cstheme="minorHAnsi"/>
                <w:b/>
                <w:bCs/>
                <w:sz w:val="22"/>
                <w:szCs w:val="22"/>
              </w:rPr>
              <w:t>-</w:t>
            </w:r>
            <w:r w:rsidR="00DF76DA" w:rsidRPr="009B06D9">
              <w:rPr>
                <w:rFonts w:cstheme="minorHAnsi"/>
                <w:b/>
                <w:bCs/>
                <w:sz w:val="22"/>
                <w:szCs w:val="22"/>
              </w:rPr>
              <w:t>held</w:t>
            </w:r>
          </w:p>
        </w:tc>
        <w:tc>
          <w:tcPr>
            <w:tcW w:w="1170" w:type="dxa"/>
            <w:noWrap/>
            <w:hideMark/>
          </w:tcPr>
          <w:p w14:paraId="33B806F7" w14:textId="77777777" w:rsidR="00FA0E9C" w:rsidRPr="009B06D9" w:rsidRDefault="00FA0E9C">
            <w:pPr>
              <w:rPr>
                <w:rFonts w:cstheme="minorHAnsi"/>
                <w:sz w:val="22"/>
                <w:szCs w:val="22"/>
              </w:rPr>
            </w:pPr>
            <w:r w:rsidRPr="009B06D9">
              <w:rPr>
                <w:rFonts w:cstheme="minorHAnsi"/>
                <w:sz w:val="22"/>
                <w:szCs w:val="22"/>
              </w:rPr>
              <w:t xml:space="preserve">Pollutant </w:t>
            </w:r>
          </w:p>
        </w:tc>
        <w:tc>
          <w:tcPr>
            <w:tcW w:w="2160" w:type="dxa"/>
            <w:noWrap/>
            <w:hideMark/>
          </w:tcPr>
          <w:p w14:paraId="35EFEECC" w14:textId="77777777" w:rsidR="00FA0E9C" w:rsidRPr="009B06D9" w:rsidRDefault="00FA0E9C">
            <w:pPr>
              <w:rPr>
                <w:rFonts w:cstheme="minorHAnsi"/>
                <w:sz w:val="22"/>
                <w:szCs w:val="22"/>
              </w:rPr>
            </w:pPr>
            <w:r w:rsidRPr="009B06D9">
              <w:rPr>
                <w:rFonts w:cstheme="minorHAnsi"/>
                <w:sz w:val="22"/>
                <w:szCs w:val="22"/>
              </w:rPr>
              <w:t>Baseline 2020 tons</w:t>
            </w:r>
          </w:p>
        </w:tc>
        <w:tc>
          <w:tcPr>
            <w:tcW w:w="1890" w:type="dxa"/>
            <w:noWrap/>
            <w:hideMark/>
          </w:tcPr>
          <w:p w14:paraId="50A8E35F" w14:textId="77777777" w:rsidR="00FA0E9C" w:rsidRPr="009B06D9" w:rsidRDefault="00FA0E9C">
            <w:pPr>
              <w:rPr>
                <w:rFonts w:cstheme="minorHAnsi"/>
                <w:sz w:val="22"/>
                <w:szCs w:val="22"/>
              </w:rPr>
            </w:pPr>
            <w:r w:rsidRPr="009B06D9">
              <w:rPr>
                <w:rFonts w:cstheme="minorHAnsi"/>
                <w:sz w:val="22"/>
                <w:szCs w:val="22"/>
              </w:rPr>
              <w:t>Cumulative tons</w:t>
            </w:r>
          </w:p>
        </w:tc>
        <w:tc>
          <w:tcPr>
            <w:tcW w:w="1710" w:type="dxa"/>
            <w:noWrap/>
            <w:hideMark/>
          </w:tcPr>
          <w:p w14:paraId="7A27967D" w14:textId="77777777" w:rsidR="00FA0E9C" w:rsidRPr="009B06D9" w:rsidRDefault="00FA0E9C">
            <w:pPr>
              <w:rPr>
                <w:rFonts w:cstheme="minorHAnsi"/>
                <w:sz w:val="22"/>
                <w:szCs w:val="22"/>
              </w:rPr>
            </w:pPr>
            <w:r w:rsidRPr="009B06D9">
              <w:rPr>
                <w:rFonts w:cstheme="minorHAnsi"/>
                <w:sz w:val="22"/>
                <w:szCs w:val="22"/>
              </w:rPr>
              <w:t>Annual tons</w:t>
            </w:r>
          </w:p>
        </w:tc>
      </w:tr>
      <w:tr w:rsidR="00426E53" w:rsidRPr="009B06D9" w14:paraId="5E8C5E4C" w14:textId="77777777" w:rsidTr="00067D34">
        <w:trPr>
          <w:trHeight w:val="290"/>
        </w:trPr>
        <w:tc>
          <w:tcPr>
            <w:tcW w:w="1885" w:type="dxa"/>
            <w:noWrap/>
            <w:hideMark/>
          </w:tcPr>
          <w:p w14:paraId="37F27133" w14:textId="77777777" w:rsidR="00FA0E9C" w:rsidRPr="009B06D9" w:rsidRDefault="00FA0E9C">
            <w:pPr>
              <w:rPr>
                <w:rFonts w:cstheme="minorHAnsi"/>
                <w:sz w:val="22"/>
                <w:szCs w:val="22"/>
              </w:rPr>
            </w:pPr>
            <w:r w:rsidRPr="009B06D9">
              <w:rPr>
                <w:rFonts w:cstheme="minorHAnsi"/>
                <w:sz w:val="22"/>
                <w:szCs w:val="22"/>
              </w:rPr>
              <w:t> </w:t>
            </w:r>
          </w:p>
        </w:tc>
        <w:tc>
          <w:tcPr>
            <w:tcW w:w="1170" w:type="dxa"/>
            <w:noWrap/>
            <w:hideMark/>
          </w:tcPr>
          <w:p w14:paraId="6AED8718" w14:textId="77777777" w:rsidR="00FA0E9C" w:rsidRPr="009B06D9" w:rsidRDefault="00FA0E9C">
            <w:pPr>
              <w:rPr>
                <w:rFonts w:cstheme="minorHAnsi"/>
                <w:sz w:val="22"/>
                <w:szCs w:val="22"/>
              </w:rPr>
            </w:pPr>
            <w:r w:rsidRPr="009B06D9">
              <w:rPr>
                <w:rFonts w:cstheme="minorHAnsi"/>
                <w:sz w:val="22"/>
                <w:szCs w:val="22"/>
              </w:rPr>
              <w:t>CO2</w:t>
            </w:r>
          </w:p>
        </w:tc>
        <w:tc>
          <w:tcPr>
            <w:tcW w:w="2160" w:type="dxa"/>
            <w:noWrap/>
            <w:hideMark/>
          </w:tcPr>
          <w:p w14:paraId="35648E31" w14:textId="73048414" w:rsidR="00FA0E9C" w:rsidRPr="009B06D9" w:rsidRDefault="00FA0E9C" w:rsidP="004C05EA">
            <w:pPr>
              <w:jc w:val="right"/>
              <w:rPr>
                <w:rFonts w:cstheme="minorHAnsi"/>
                <w:sz w:val="22"/>
                <w:szCs w:val="22"/>
              </w:rPr>
            </w:pPr>
            <w:r w:rsidRPr="009B06D9">
              <w:rPr>
                <w:rFonts w:cstheme="minorHAnsi"/>
                <w:sz w:val="22"/>
                <w:szCs w:val="22"/>
              </w:rPr>
              <w:t xml:space="preserve">          102,830 </w:t>
            </w:r>
          </w:p>
        </w:tc>
        <w:tc>
          <w:tcPr>
            <w:tcW w:w="1890" w:type="dxa"/>
            <w:noWrap/>
            <w:hideMark/>
          </w:tcPr>
          <w:p w14:paraId="6DAFCBFC" w14:textId="3B22E393" w:rsidR="00FA0E9C" w:rsidRPr="009B06D9" w:rsidRDefault="00FA0E9C" w:rsidP="004C05EA">
            <w:pPr>
              <w:jc w:val="right"/>
              <w:rPr>
                <w:rFonts w:cstheme="minorHAnsi"/>
                <w:sz w:val="22"/>
                <w:szCs w:val="22"/>
              </w:rPr>
            </w:pPr>
            <w:r w:rsidRPr="009B06D9">
              <w:rPr>
                <w:rFonts w:cstheme="minorHAnsi"/>
                <w:sz w:val="22"/>
                <w:szCs w:val="22"/>
              </w:rPr>
              <w:t xml:space="preserve">        2,570 </w:t>
            </w:r>
          </w:p>
        </w:tc>
        <w:tc>
          <w:tcPr>
            <w:tcW w:w="1710" w:type="dxa"/>
            <w:noWrap/>
            <w:hideMark/>
          </w:tcPr>
          <w:p w14:paraId="0C3168C1" w14:textId="5ACC3E6F" w:rsidR="00FA0E9C" w:rsidRPr="009B06D9" w:rsidRDefault="00FA0E9C" w:rsidP="004C05EA">
            <w:pPr>
              <w:jc w:val="right"/>
              <w:rPr>
                <w:rFonts w:cstheme="minorHAnsi"/>
                <w:sz w:val="22"/>
                <w:szCs w:val="22"/>
              </w:rPr>
            </w:pPr>
            <w:r w:rsidRPr="009B06D9">
              <w:rPr>
                <w:rFonts w:cstheme="minorHAnsi"/>
                <w:sz w:val="22"/>
                <w:szCs w:val="22"/>
              </w:rPr>
              <w:t xml:space="preserve">           514 </w:t>
            </w:r>
          </w:p>
        </w:tc>
      </w:tr>
      <w:tr w:rsidR="00426E53" w:rsidRPr="009B06D9" w14:paraId="0319C2FE" w14:textId="77777777" w:rsidTr="00067D34">
        <w:trPr>
          <w:trHeight w:val="290"/>
        </w:trPr>
        <w:tc>
          <w:tcPr>
            <w:tcW w:w="1885" w:type="dxa"/>
            <w:noWrap/>
            <w:hideMark/>
          </w:tcPr>
          <w:p w14:paraId="4A0A6D90" w14:textId="77777777" w:rsidR="00FA0E9C" w:rsidRPr="009B06D9" w:rsidRDefault="00FA0E9C">
            <w:pPr>
              <w:rPr>
                <w:rFonts w:cstheme="minorHAnsi"/>
                <w:sz w:val="22"/>
                <w:szCs w:val="22"/>
              </w:rPr>
            </w:pPr>
            <w:r w:rsidRPr="009B06D9">
              <w:rPr>
                <w:rFonts w:cstheme="minorHAnsi"/>
                <w:sz w:val="22"/>
                <w:szCs w:val="22"/>
              </w:rPr>
              <w:t> </w:t>
            </w:r>
          </w:p>
        </w:tc>
        <w:tc>
          <w:tcPr>
            <w:tcW w:w="1170" w:type="dxa"/>
            <w:noWrap/>
            <w:hideMark/>
          </w:tcPr>
          <w:p w14:paraId="0D1A12FE" w14:textId="507343C2" w:rsidR="00FA0E9C" w:rsidRPr="009B06D9" w:rsidRDefault="00FA0E9C">
            <w:pPr>
              <w:rPr>
                <w:rFonts w:cstheme="minorHAnsi"/>
                <w:sz w:val="22"/>
                <w:szCs w:val="22"/>
              </w:rPr>
            </w:pPr>
            <w:r w:rsidRPr="009B06D9">
              <w:rPr>
                <w:rFonts w:cstheme="minorHAnsi"/>
                <w:sz w:val="22"/>
                <w:szCs w:val="22"/>
              </w:rPr>
              <w:t>NOx</w:t>
            </w:r>
          </w:p>
        </w:tc>
        <w:tc>
          <w:tcPr>
            <w:tcW w:w="2160" w:type="dxa"/>
            <w:noWrap/>
            <w:hideMark/>
          </w:tcPr>
          <w:p w14:paraId="3C576068" w14:textId="2A933F99" w:rsidR="00FA0E9C" w:rsidRPr="009B06D9" w:rsidRDefault="00FA0E9C" w:rsidP="004C05EA">
            <w:pPr>
              <w:jc w:val="right"/>
              <w:rPr>
                <w:rFonts w:cstheme="minorHAnsi"/>
                <w:sz w:val="22"/>
                <w:szCs w:val="22"/>
              </w:rPr>
            </w:pPr>
            <w:r w:rsidRPr="009B06D9">
              <w:rPr>
                <w:rFonts w:cstheme="minorHAnsi"/>
                <w:sz w:val="22"/>
                <w:szCs w:val="22"/>
              </w:rPr>
              <w:t xml:space="preserve">                  220 </w:t>
            </w:r>
          </w:p>
        </w:tc>
        <w:tc>
          <w:tcPr>
            <w:tcW w:w="1890" w:type="dxa"/>
            <w:noWrap/>
            <w:hideMark/>
          </w:tcPr>
          <w:p w14:paraId="7F1A5037" w14:textId="1F209B57" w:rsidR="00FA0E9C" w:rsidRPr="009B06D9" w:rsidRDefault="00FA0E9C" w:rsidP="004C05EA">
            <w:pPr>
              <w:jc w:val="right"/>
              <w:rPr>
                <w:rFonts w:cstheme="minorHAnsi"/>
                <w:sz w:val="22"/>
                <w:szCs w:val="22"/>
              </w:rPr>
            </w:pPr>
            <w:r w:rsidRPr="009B06D9">
              <w:rPr>
                <w:rFonts w:cstheme="minorHAnsi"/>
                <w:sz w:val="22"/>
                <w:szCs w:val="22"/>
              </w:rPr>
              <w:t xml:space="preserve">                6 </w:t>
            </w:r>
          </w:p>
        </w:tc>
        <w:tc>
          <w:tcPr>
            <w:tcW w:w="1710" w:type="dxa"/>
            <w:noWrap/>
            <w:hideMark/>
          </w:tcPr>
          <w:p w14:paraId="2F845766" w14:textId="07CE43E8" w:rsidR="00FA0E9C" w:rsidRPr="009B06D9" w:rsidRDefault="00FA0E9C" w:rsidP="004C05EA">
            <w:pPr>
              <w:jc w:val="right"/>
              <w:rPr>
                <w:rFonts w:cstheme="minorHAnsi"/>
                <w:sz w:val="22"/>
                <w:szCs w:val="22"/>
              </w:rPr>
            </w:pPr>
            <w:r w:rsidRPr="009B06D9">
              <w:rPr>
                <w:rFonts w:cstheme="minorHAnsi"/>
                <w:sz w:val="22"/>
                <w:szCs w:val="22"/>
              </w:rPr>
              <w:t xml:space="preserve">               1 </w:t>
            </w:r>
          </w:p>
        </w:tc>
      </w:tr>
      <w:tr w:rsidR="00426E53" w:rsidRPr="009B06D9" w14:paraId="2DA0DC70" w14:textId="77777777" w:rsidTr="00067D34">
        <w:trPr>
          <w:trHeight w:val="290"/>
        </w:trPr>
        <w:tc>
          <w:tcPr>
            <w:tcW w:w="1885" w:type="dxa"/>
            <w:noWrap/>
            <w:hideMark/>
          </w:tcPr>
          <w:p w14:paraId="0E5A4313" w14:textId="77777777" w:rsidR="00FA0E9C" w:rsidRPr="009B06D9" w:rsidRDefault="00FA0E9C">
            <w:pPr>
              <w:rPr>
                <w:rFonts w:cstheme="minorHAnsi"/>
                <w:sz w:val="22"/>
                <w:szCs w:val="22"/>
              </w:rPr>
            </w:pPr>
            <w:r w:rsidRPr="009B06D9">
              <w:rPr>
                <w:rFonts w:cstheme="minorHAnsi"/>
                <w:sz w:val="22"/>
                <w:szCs w:val="22"/>
              </w:rPr>
              <w:t> </w:t>
            </w:r>
          </w:p>
        </w:tc>
        <w:tc>
          <w:tcPr>
            <w:tcW w:w="1170" w:type="dxa"/>
            <w:noWrap/>
            <w:hideMark/>
          </w:tcPr>
          <w:p w14:paraId="37CBD73E" w14:textId="77777777" w:rsidR="00FA0E9C" w:rsidRPr="009B06D9" w:rsidRDefault="00FA0E9C">
            <w:pPr>
              <w:rPr>
                <w:rFonts w:cstheme="minorHAnsi"/>
                <w:sz w:val="22"/>
                <w:szCs w:val="22"/>
              </w:rPr>
            </w:pPr>
            <w:r w:rsidRPr="009B06D9">
              <w:rPr>
                <w:rFonts w:cstheme="minorHAnsi"/>
                <w:sz w:val="22"/>
                <w:szCs w:val="22"/>
              </w:rPr>
              <w:t>VOCs</w:t>
            </w:r>
          </w:p>
        </w:tc>
        <w:tc>
          <w:tcPr>
            <w:tcW w:w="2160" w:type="dxa"/>
            <w:noWrap/>
            <w:hideMark/>
          </w:tcPr>
          <w:p w14:paraId="220D3DDE" w14:textId="6CF75496" w:rsidR="00FA0E9C" w:rsidRPr="009B06D9" w:rsidRDefault="00FA0E9C" w:rsidP="004C05EA">
            <w:pPr>
              <w:jc w:val="right"/>
              <w:rPr>
                <w:rFonts w:cstheme="minorHAnsi"/>
                <w:sz w:val="22"/>
                <w:szCs w:val="22"/>
              </w:rPr>
            </w:pPr>
            <w:r w:rsidRPr="009B06D9">
              <w:rPr>
                <w:rFonts w:cstheme="minorHAnsi"/>
                <w:sz w:val="22"/>
                <w:szCs w:val="22"/>
              </w:rPr>
              <w:t xml:space="preserve">              4,340 </w:t>
            </w:r>
          </w:p>
        </w:tc>
        <w:tc>
          <w:tcPr>
            <w:tcW w:w="1890" w:type="dxa"/>
            <w:noWrap/>
            <w:hideMark/>
          </w:tcPr>
          <w:p w14:paraId="710B270A" w14:textId="4EB055F2" w:rsidR="00FA0E9C" w:rsidRPr="009B06D9" w:rsidRDefault="00FA0E9C" w:rsidP="004C05EA">
            <w:pPr>
              <w:jc w:val="right"/>
              <w:rPr>
                <w:rFonts w:cstheme="minorHAnsi"/>
                <w:sz w:val="22"/>
                <w:szCs w:val="22"/>
              </w:rPr>
            </w:pPr>
            <w:r w:rsidRPr="009B06D9">
              <w:rPr>
                <w:rFonts w:cstheme="minorHAnsi"/>
                <w:sz w:val="22"/>
                <w:szCs w:val="22"/>
              </w:rPr>
              <w:t xml:space="preserve">           110 </w:t>
            </w:r>
          </w:p>
        </w:tc>
        <w:tc>
          <w:tcPr>
            <w:tcW w:w="1710" w:type="dxa"/>
            <w:noWrap/>
            <w:hideMark/>
          </w:tcPr>
          <w:p w14:paraId="53E5B014" w14:textId="347C15BD" w:rsidR="00FA0E9C" w:rsidRPr="009B06D9" w:rsidRDefault="00FA0E9C" w:rsidP="004C05EA">
            <w:pPr>
              <w:jc w:val="right"/>
              <w:rPr>
                <w:rFonts w:cstheme="minorHAnsi"/>
                <w:sz w:val="22"/>
                <w:szCs w:val="22"/>
              </w:rPr>
            </w:pPr>
            <w:r w:rsidRPr="009B06D9">
              <w:rPr>
                <w:rFonts w:cstheme="minorHAnsi"/>
                <w:sz w:val="22"/>
                <w:szCs w:val="22"/>
              </w:rPr>
              <w:t xml:space="preserve">             22 </w:t>
            </w:r>
          </w:p>
        </w:tc>
      </w:tr>
    </w:tbl>
    <w:p w14:paraId="2F74A34F" w14:textId="77777777" w:rsidR="00644B2B" w:rsidRPr="009B06D9" w:rsidRDefault="00644B2B" w:rsidP="00A24D9C">
      <w:pPr>
        <w:rPr>
          <w:rFonts w:cstheme="minorHAnsi"/>
        </w:rPr>
      </w:pPr>
    </w:p>
    <w:tbl>
      <w:tblPr>
        <w:tblStyle w:val="TableGrid"/>
        <w:tblW w:w="0" w:type="auto"/>
        <w:tblLook w:val="04A0" w:firstRow="1" w:lastRow="0" w:firstColumn="1" w:lastColumn="0" w:noHBand="0" w:noVBand="1"/>
      </w:tblPr>
      <w:tblGrid>
        <w:gridCol w:w="1880"/>
        <w:gridCol w:w="1175"/>
        <w:gridCol w:w="2340"/>
        <w:gridCol w:w="1710"/>
        <w:gridCol w:w="1710"/>
      </w:tblGrid>
      <w:tr w:rsidR="00DF76DA" w:rsidRPr="009B06D9" w14:paraId="5C255C69" w14:textId="77777777" w:rsidTr="00AA2506">
        <w:trPr>
          <w:trHeight w:val="310"/>
        </w:trPr>
        <w:tc>
          <w:tcPr>
            <w:tcW w:w="1880" w:type="dxa"/>
            <w:noWrap/>
            <w:hideMark/>
          </w:tcPr>
          <w:p w14:paraId="1F7994C4" w14:textId="47D82658" w:rsidR="00DF76DA" w:rsidRPr="009B06D9" w:rsidRDefault="00DF76DA" w:rsidP="00DF76DA">
            <w:pPr>
              <w:pStyle w:val="ListParagraph"/>
              <w:ind w:left="0"/>
              <w:jc w:val="both"/>
              <w:rPr>
                <w:rFonts w:cstheme="minorHAnsi"/>
                <w:b/>
                <w:bCs/>
                <w:sz w:val="22"/>
                <w:szCs w:val="22"/>
              </w:rPr>
            </w:pPr>
            <w:r w:rsidRPr="009B06D9">
              <w:rPr>
                <w:rFonts w:cstheme="minorHAnsi"/>
                <w:b/>
                <w:bCs/>
                <w:sz w:val="22"/>
                <w:szCs w:val="22"/>
              </w:rPr>
              <w:t xml:space="preserve">Comm </w:t>
            </w:r>
            <w:r w:rsidR="00AA2506" w:rsidRPr="009B06D9">
              <w:rPr>
                <w:rFonts w:cstheme="minorHAnsi"/>
                <w:b/>
                <w:bCs/>
                <w:sz w:val="22"/>
                <w:szCs w:val="22"/>
              </w:rPr>
              <w:t>h</w:t>
            </w:r>
            <w:r w:rsidRPr="009B06D9">
              <w:rPr>
                <w:rFonts w:cstheme="minorHAnsi"/>
                <w:b/>
                <w:bCs/>
                <w:sz w:val="22"/>
                <w:szCs w:val="22"/>
              </w:rPr>
              <w:t>and</w:t>
            </w:r>
            <w:r w:rsidR="00AA2CD2" w:rsidRPr="009B06D9">
              <w:rPr>
                <w:rFonts w:cstheme="minorHAnsi"/>
                <w:b/>
                <w:bCs/>
                <w:sz w:val="22"/>
                <w:szCs w:val="22"/>
              </w:rPr>
              <w:t>-</w:t>
            </w:r>
            <w:r w:rsidRPr="009B06D9">
              <w:rPr>
                <w:rFonts w:cstheme="minorHAnsi"/>
                <w:b/>
                <w:bCs/>
                <w:sz w:val="22"/>
                <w:szCs w:val="22"/>
              </w:rPr>
              <w:t>held</w:t>
            </w:r>
          </w:p>
        </w:tc>
        <w:tc>
          <w:tcPr>
            <w:tcW w:w="1175" w:type="dxa"/>
            <w:noWrap/>
            <w:hideMark/>
          </w:tcPr>
          <w:p w14:paraId="164CE12C" w14:textId="77777777" w:rsidR="00DF76DA" w:rsidRPr="009B06D9" w:rsidRDefault="00DF76DA" w:rsidP="00426E53">
            <w:pPr>
              <w:pStyle w:val="ListParagraph"/>
              <w:ind w:left="0"/>
              <w:rPr>
                <w:rFonts w:cstheme="minorHAnsi"/>
                <w:sz w:val="22"/>
                <w:szCs w:val="22"/>
              </w:rPr>
            </w:pPr>
            <w:r w:rsidRPr="009B06D9">
              <w:rPr>
                <w:rFonts w:cstheme="minorHAnsi"/>
                <w:sz w:val="22"/>
                <w:szCs w:val="22"/>
              </w:rPr>
              <w:t xml:space="preserve">Pollutant </w:t>
            </w:r>
          </w:p>
        </w:tc>
        <w:tc>
          <w:tcPr>
            <w:tcW w:w="2340" w:type="dxa"/>
            <w:noWrap/>
            <w:hideMark/>
          </w:tcPr>
          <w:p w14:paraId="1E6710C8" w14:textId="22565F02" w:rsidR="00DF76DA" w:rsidRPr="009B06D9" w:rsidRDefault="00DF76DA" w:rsidP="00426E53">
            <w:pPr>
              <w:pStyle w:val="ListParagraph"/>
              <w:ind w:left="0"/>
              <w:rPr>
                <w:rFonts w:cstheme="minorHAnsi"/>
                <w:sz w:val="22"/>
                <w:szCs w:val="22"/>
              </w:rPr>
            </w:pPr>
            <w:r w:rsidRPr="009B06D9">
              <w:rPr>
                <w:rFonts w:cstheme="minorHAnsi"/>
                <w:sz w:val="22"/>
                <w:szCs w:val="22"/>
              </w:rPr>
              <w:t>Baseline 2020</w:t>
            </w:r>
            <w:r w:rsidR="00426E53" w:rsidRPr="009B06D9">
              <w:rPr>
                <w:rFonts w:cstheme="minorHAnsi"/>
                <w:sz w:val="22"/>
                <w:szCs w:val="22"/>
              </w:rPr>
              <w:t xml:space="preserve"> </w:t>
            </w:r>
            <w:r w:rsidRPr="009B06D9">
              <w:rPr>
                <w:rFonts w:cstheme="minorHAnsi"/>
                <w:sz w:val="22"/>
                <w:szCs w:val="22"/>
              </w:rPr>
              <w:t>metric tons</w:t>
            </w:r>
          </w:p>
        </w:tc>
        <w:tc>
          <w:tcPr>
            <w:tcW w:w="1710" w:type="dxa"/>
            <w:noWrap/>
            <w:hideMark/>
          </w:tcPr>
          <w:p w14:paraId="72FB7A2E" w14:textId="1F575B6B" w:rsidR="00DF76DA" w:rsidRPr="009B06D9" w:rsidRDefault="00DF76DA" w:rsidP="00426E53">
            <w:pPr>
              <w:pStyle w:val="ListParagraph"/>
              <w:ind w:left="0"/>
              <w:rPr>
                <w:rFonts w:cstheme="minorHAnsi"/>
                <w:sz w:val="22"/>
                <w:szCs w:val="22"/>
              </w:rPr>
            </w:pPr>
            <w:r w:rsidRPr="009B06D9">
              <w:rPr>
                <w:rFonts w:cstheme="minorHAnsi"/>
                <w:sz w:val="22"/>
                <w:szCs w:val="22"/>
              </w:rPr>
              <w:t>Cumulative metric tons</w:t>
            </w:r>
          </w:p>
        </w:tc>
        <w:tc>
          <w:tcPr>
            <w:tcW w:w="1710" w:type="dxa"/>
            <w:noWrap/>
            <w:hideMark/>
          </w:tcPr>
          <w:p w14:paraId="348B3963" w14:textId="77777777" w:rsidR="00DF76DA" w:rsidRPr="009B06D9" w:rsidRDefault="00DF76DA" w:rsidP="00426E53">
            <w:pPr>
              <w:pStyle w:val="ListParagraph"/>
              <w:ind w:left="0"/>
              <w:rPr>
                <w:rFonts w:cstheme="minorHAnsi"/>
                <w:sz w:val="22"/>
                <w:szCs w:val="22"/>
              </w:rPr>
            </w:pPr>
            <w:r w:rsidRPr="009B06D9">
              <w:rPr>
                <w:rFonts w:cstheme="minorHAnsi"/>
                <w:sz w:val="22"/>
                <w:szCs w:val="22"/>
              </w:rPr>
              <w:t>Annual metric tons</w:t>
            </w:r>
          </w:p>
        </w:tc>
      </w:tr>
      <w:tr w:rsidR="00DF76DA" w:rsidRPr="009B06D9" w14:paraId="3B532F10" w14:textId="77777777" w:rsidTr="00AA2506">
        <w:trPr>
          <w:trHeight w:val="332"/>
        </w:trPr>
        <w:tc>
          <w:tcPr>
            <w:tcW w:w="1880" w:type="dxa"/>
            <w:noWrap/>
            <w:vAlign w:val="bottom"/>
            <w:hideMark/>
          </w:tcPr>
          <w:p w14:paraId="205712FF" w14:textId="77777777" w:rsidR="00DF76DA" w:rsidRPr="009B06D9" w:rsidRDefault="00DF76DA" w:rsidP="00DF76DA">
            <w:pPr>
              <w:pStyle w:val="ListParagraph"/>
              <w:rPr>
                <w:rFonts w:cstheme="minorHAnsi"/>
                <w:sz w:val="22"/>
                <w:szCs w:val="22"/>
              </w:rPr>
            </w:pPr>
            <w:r w:rsidRPr="009B06D9">
              <w:rPr>
                <w:rFonts w:cstheme="minorHAnsi"/>
                <w:sz w:val="22"/>
                <w:szCs w:val="22"/>
              </w:rPr>
              <w:t> </w:t>
            </w:r>
          </w:p>
        </w:tc>
        <w:tc>
          <w:tcPr>
            <w:tcW w:w="1175" w:type="dxa"/>
            <w:noWrap/>
            <w:vAlign w:val="bottom"/>
            <w:hideMark/>
          </w:tcPr>
          <w:p w14:paraId="478074DD" w14:textId="77777777" w:rsidR="00DF76DA" w:rsidRPr="009B06D9" w:rsidRDefault="00DF76DA" w:rsidP="004C05EA">
            <w:pPr>
              <w:pStyle w:val="ListParagraph"/>
              <w:ind w:left="0"/>
              <w:jc w:val="both"/>
              <w:rPr>
                <w:rFonts w:cstheme="minorHAnsi"/>
                <w:sz w:val="22"/>
                <w:szCs w:val="22"/>
              </w:rPr>
            </w:pPr>
            <w:r w:rsidRPr="009B06D9">
              <w:rPr>
                <w:rFonts w:cstheme="minorHAnsi"/>
                <w:sz w:val="22"/>
                <w:szCs w:val="22"/>
              </w:rPr>
              <w:t>CO2</w:t>
            </w:r>
          </w:p>
        </w:tc>
        <w:tc>
          <w:tcPr>
            <w:tcW w:w="2340" w:type="dxa"/>
            <w:noWrap/>
            <w:vAlign w:val="bottom"/>
            <w:hideMark/>
          </w:tcPr>
          <w:p w14:paraId="26100CEA" w14:textId="65926B71" w:rsidR="00DF76DA" w:rsidRPr="009B06D9" w:rsidRDefault="00DF76DA" w:rsidP="004C05EA">
            <w:pPr>
              <w:pStyle w:val="ListParagraph"/>
              <w:jc w:val="right"/>
              <w:rPr>
                <w:rFonts w:cstheme="minorHAnsi"/>
                <w:sz w:val="22"/>
                <w:szCs w:val="22"/>
              </w:rPr>
            </w:pPr>
            <w:r w:rsidRPr="009B06D9">
              <w:rPr>
                <w:rFonts w:cstheme="minorHAnsi"/>
                <w:sz w:val="22"/>
                <w:szCs w:val="22"/>
              </w:rPr>
              <w:t xml:space="preserve">93,286 </w:t>
            </w:r>
          </w:p>
        </w:tc>
        <w:tc>
          <w:tcPr>
            <w:tcW w:w="1710" w:type="dxa"/>
            <w:noWrap/>
            <w:vAlign w:val="bottom"/>
            <w:hideMark/>
          </w:tcPr>
          <w:p w14:paraId="50CC438D" w14:textId="59B97FD8" w:rsidR="00DF76DA" w:rsidRPr="009B06D9" w:rsidRDefault="00DF76DA" w:rsidP="004C05EA">
            <w:pPr>
              <w:pStyle w:val="ListParagraph"/>
              <w:jc w:val="right"/>
              <w:rPr>
                <w:rFonts w:cstheme="minorHAnsi"/>
                <w:sz w:val="22"/>
                <w:szCs w:val="22"/>
              </w:rPr>
            </w:pPr>
            <w:r w:rsidRPr="009B06D9">
              <w:rPr>
                <w:rFonts w:cstheme="minorHAnsi"/>
                <w:sz w:val="22"/>
                <w:szCs w:val="22"/>
              </w:rPr>
              <w:t xml:space="preserve">2,331 </w:t>
            </w:r>
          </w:p>
        </w:tc>
        <w:tc>
          <w:tcPr>
            <w:tcW w:w="1710" w:type="dxa"/>
            <w:noWrap/>
            <w:vAlign w:val="bottom"/>
            <w:hideMark/>
          </w:tcPr>
          <w:p w14:paraId="47484A32" w14:textId="6DC01A2D" w:rsidR="00DF76DA" w:rsidRPr="009B06D9" w:rsidRDefault="00DF76DA" w:rsidP="004C05EA">
            <w:pPr>
              <w:pStyle w:val="ListParagraph"/>
              <w:jc w:val="right"/>
              <w:rPr>
                <w:rFonts w:cstheme="minorHAnsi"/>
                <w:sz w:val="22"/>
                <w:szCs w:val="22"/>
              </w:rPr>
            </w:pPr>
            <w:r w:rsidRPr="009B06D9">
              <w:rPr>
                <w:rFonts w:cstheme="minorHAnsi"/>
                <w:sz w:val="22"/>
                <w:szCs w:val="22"/>
              </w:rPr>
              <w:t xml:space="preserve">466 </w:t>
            </w:r>
          </w:p>
        </w:tc>
      </w:tr>
      <w:tr w:rsidR="00DF76DA" w:rsidRPr="009B06D9" w14:paraId="3ADEF4CE" w14:textId="77777777" w:rsidTr="00AA2506">
        <w:trPr>
          <w:trHeight w:val="143"/>
        </w:trPr>
        <w:tc>
          <w:tcPr>
            <w:tcW w:w="1880" w:type="dxa"/>
            <w:noWrap/>
            <w:vAlign w:val="bottom"/>
            <w:hideMark/>
          </w:tcPr>
          <w:p w14:paraId="01415CEC" w14:textId="447C430B" w:rsidR="00DF76DA" w:rsidRPr="009B06D9" w:rsidRDefault="00DF76DA" w:rsidP="00DF76DA">
            <w:pPr>
              <w:pStyle w:val="ListParagraph"/>
              <w:jc w:val="right"/>
              <w:rPr>
                <w:rFonts w:cstheme="minorHAnsi"/>
                <w:sz w:val="22"/>
                <w:szCs w:val="22"/>
              </w:rPr>
            </w:pPr>
          </w:p>
        </w:tc>
        <w:tc>
          <w:tcPr>
            <w:tcW w:w="1175" w:type="dxa"/>
            <w:noWrap/>
            <w:vAlign w:val="bottom"/>
            <w:hideMark/>
          </w:tcPr>
          <w:p w14:paraId="4396709F" w14:textId="02E08CB9" w:rsidR="00DF76DA" w:rsidRPr="009B06D9" w:rsidRDefault="00DF76DA" w:rsidP="004C05EA">
            <w:pPr>
              <w:pStyle w:val="ListParagraph"/>
              <w:ind w:left="0"/>
              <w:jc w:val="both"/>
              <w:rPr>
                <w:rFonts w:cstheme="minorHAnsi"/>
                <w:sz w:val="22"/>
                <w:szCs w:val="22"/>
              </w:rPr>
            </w:pPr>
            <w:r w:rsidRPr="009B06D9">
              <w:rPr>
                <w:rFonts w:cstheme="minorHAnsi"/>
                <w:sz w:val="22"/>
                <w:szCs w:val="22"/>
              </w:rPr>
              <w:t>NOx</w:t>
            </w:r>
          </w:p>
        </w:tc>
        <w:tc>
          <w:tcPr>
            <w:tcW w:w="2340" w:type="dxa"/>
            <w:noWrap/>
            <w:vAlign w:val="bottom"/>
            <w:hideMark/>
          </w:tcPr>
          <w:p w14:paraId="7D6B6803" w14:textId="5FF889FC" w:rsidR="00DF76DA" w:rsidRPr="009B06D9" w:rsidRDefault="00DF76DA" w:rsidP="004C05EA">
            <w:pPr>
              <w:pStyle w:val="ListParagraph"/>
              <w:jc w:val="right"/>
              <w:rPr>
                <w:rFonts w:cstheme="minorHAnsi"/>
                <w:sz w:val="22"/>
                <w:szCs w:val="22"/>
              </w:rPr>
            </w:pPr>
            <w:r w:rsidRPr="009B06D9">
              <w:rPr>
                <w:rFonts w:cstheme="minorHAnsi"/>
                <w:sz w:val="22"/>
                <w:szCs w:val="22"/>
              </w:rPr>
              <w:t xml:space="preserve">   200 </w:t>
            </w:r>
          </w:p>
        </w:tc>
        <w:tc>
          <w:tcPr>
            <w:tcW w:w="1710" w:type="dxa"/>
            <w:noWrap/>
            <w:vAlign w:val="bottom"/>
            <w:hideMark/>
          </w:tcPr>
          <w:p w14:paraId="1C82481B" w14:textId="7AE81BDD" w:rsidR="00DF76DA" w:rsidRPr="009B06D9" w:rsidRDefault="00DF76DA" w:rsidP="004C05EA">
            <w:pPr>
              <w:pStyle w:val="ListParagraph"/>
              <w:jc w:val="right"/>
              <w:rPr>
                <w:rFonts w:cstheme="minorHAnsi"/>
                <w:sz w:val="22"/>
                <w:szCs w:val="22"/>
              </w:rPr>
            </w:pPr>
            <w:r w:rsidRPr="009B06D9">
              <w:rPr>
                <w:rFonts w:cstheme="minorHAnsi"/>
                <w:sz w:val="22"/>
                <w:szCs w:val="22"/>
              </w:rPr>
              <w:t xml:space="preserve">     5 </w:t>
            </w:r>
          </w:p>
        </w:tc>
        <w:tc>
          <w:tcPr>
            <w:tcW w:w="1710" w:type="dxa"/>
            <w:noWrap/>
            <w:vAlign w:val="bottom"/>
            <w:hideMark/>
          </w:tcPr>
          <w:p w14:paraId="4D1507F4" w14:textId="2F26BB7B" w:rsidR="00DF76DA" w:rsidRPr="009B06D9" w:rsidRDefault="00DF76DA" w:rsidP="004C05EA">
            <w:pPr>
              <w:pStyle w:val="ListParagraph"/>
              <w:jc w:val="right"/>
              <w:rPr>
                <w:rFonts w:cstheme="minorHAnsi"/>
                <w:sz w:val="22"/>
                <w:szCs w:val="22"/>
              </w:rPr>
            </w:pPr>
            <w:r w:rsidRPr="009B06D9">
              <w:rPr>
                <w:rFonts w:cstheme="minorHAnsi"/>
                <w:sz w:val="22"/>
                <w:szCs w:val="22"/>
              </w:rPr>
              <w:t xml:space="preserve">             1 </w:t>
            </w:r>
          </w:p>
        </w:tc>
      </w:tr>
      <w:tr w:rsidR="00DF76DA" w:rsidRPr="009B06D9" w14:paraId="4C392FDE" w14:textId="77777777" w:rsidTr="00AA2506">
        <w:trPr>
          <w:trHeight w:val="341"/>
        </w:trPr>
        <w:tc>
          <w:tcPr>
            <w:tcW w:w="1880" w:type="dxa"/>
            <w:noWrap/>
            <w:vAlign w:val="bottom"/>
            <w:hideMark/>
          </w:tcPr>
          <w:p w14:paraId="16626286" w14:textId="77777777" w:rsidR="00DF76DA" w:rsidRPr="009B06D9" w:rsidRDefault="00DF76DA" w:rsidP="00DF76DA">
            <w:pPr>
              <w:pStyle w:val="ListParagraph"/>
              <w:jc w:val="right"/>
              <w:rPr>
                <w:rFonts w:cstheme="minorHAnsi"/>
                <w:sz w:val="22"/>
                <w:szCs w:val="22"/>
              </w:rPr>
            </w:pPr>
            <w:r w:rsidRPr="009B06D9">
              <w:rPr>
                <w:rFonts w:cstheme="minorHAnsi"/>
                <w:sz w:val="22"/>
                <w:szCs w:val="22"/>
              </w:rPr>
              <w:t> </w:t>
            </w:r>
          </w:p>
        </w:tc>
        <w:tc>
          <w:tcPr>
            <w:tcW w:w="1175" w:type="dxa"/>
            <w:noWrap/>
            <w:vAlign w:val="bottom"/>
            <w:hideMark/>
          </w:tcPr>
          <w:p w14:paraId="576A606E" w14:textId="77777777" w:rsidR="00DF76DA" w:rsidRPr="009B06D9" w:rsidRDefault="00DF76DA" w:rsidP="004C05EA">
            <w:pPr>
              <w:pStyle w:val="ListParagraph"/>
              <w:ind w:left="0"/>
              <w:jc w:val="both"/>
              <w:rPr>
                <w:rFonts w:cstheme="minorHAnsi"/>
                <w:sz w:val="22"/>
                <w:szCs w:val="22"/>
              </w:rPr>
            </w:pPr>
            <w:r w:rsidRPr="009B06D9">
              <w:rPr>
                <w:rFonts w:cstheme="minorHAnsi"/>
                <w:sz w:val="22"/>
                <w:szCs w:val="22"/>
              </w:rPr>
              <w:t>VOCs</w:t>
            </w:r>
          </w:p>
        </w:tc>
        <w:tc>
          <w:tcPr>
            <w:tcW w:w="2340" w:type="dxa"/>
            <w:noWrap/>
            <w:vAlign w:val="bottom"/>
            <w:hideMark/>
          </w:tcPr>
          <w:p w14:paraId="27024D2E" w14:textId="1ACD38C4" w:rsidR="00DF76DA" w:rsidRPr="009B06D9" w:rsidRDefault="00DF76DA" w:rsidP="004C05EA">
            <w:pPr>
              <w:pStyle w:val="ListParagraph"/>
              <w:jc w:val="right"/>
              <w:rPr>
                <w:rFonts w:cstheme="minorHAnsi"/>
                <w:sz w:val="22"/>
                <w:szCs w:val="22"/>
              </w:rPr>
            </w:pPr>
            <w:r w:rsidRPr="009B06D9">
              <w:rPr>
                <w:rFonts w:cstheme="minorHAnsi"/>
                <w:sz w:val="22"/>
                <w:szCs w:val="22"/>
              </w:rPr>
              <w:t xml:space="preserve">       3,937 </w:t>
            </w:r>
          </w:p>
        </w:tc>
        <w:tc>
          <w:tcPr>
            <w:tcW w:w="1710" w:type="dxa"/>
            <w:noWrap/>
            <w:vAlign w:val="bottom"/>
            <w:hideMark/>
          </w:tcPr>
          <w:p w14:paraId="1E57A2CC" w14:textId="61D5D84A" w:rsidR="00DF76DA" w:rsidRPr="009B06D9" w:rsidRDefault="00DF76DA" w:rsidP="004C05EA">
            <w:pPr>
              <w:pStyle w:val="ListParagraph"/>
              <w:jc w:val="right"/>
              <w:rPr>
                <w:rFonts w:cstheme="minorHAnsi"/>
                <w:sz w:val="22"/>
                <w:szCs w:val="22"/>
              </w:rPr>
            </w:pPr>
            <w:r w:rsidRPr="009B06D9">
              <w:rPr>
                <w:rFonts w:cstheme="minorHAnsi"/>
                <w:sz w:val="22"/>
                <w:szCs w:val="22"/>
              </w:rPr>
              <w:t xml:space="preserve">  100 </w:t>
            </w:r>
          </w:p>
        </w:tc>
        <w:tc>
          <w:tcPr>
            <w:tcW w:w="1710" w:type="dxa"/>
            <w:noWrap/>
            <w:vAlign w:val="bottom"/>
            <w:hideMark/>
          </w:tcPr>
          <w:p w14:paraId="230D31B8" w14:textId="72FB99BC" w:rsidR="00DF76DA" w:rsidRPr="009B06D9" w:rsidRDefault="00DF76DA" w:rsidP="004C05EA">
            <w:pPr>
              <w:pStyle w:val="ListParagraph"/>
              <w:jc w:val="right"/>
              <w:rPr>
                <w:rFonts w:cstheme="minorHAnsi"/>
                <w:sz w:val="22"/>
                <w:szCs w:val="22"/>
              </w:rPr>
            </w:pPr>
            <w:r w:rsidRPr="009B06D9">
              <w:rPr>
                <w:rFonts w:cstheme="minorHAnsi"/>
                <w:sz w:val="22"/>
                <w:szCs w:val="22"/>
              </w:rPr>
              <w:t xml:space="preserve">        20 </w:t>
            </w:r>
          </w:p>
        </w:tc>
      </w:tr>
    </w:tbl>
    <w:p w14:paraId="1012C60D" w14:textId="31FDEAC9" w:rsidR="00AA2CD2" w:rsidRPr="004C05EA" w:rsidRDefault="00644B2B" w:rsidP="00891AB0">
      <w:pPr>
        <w:pStyle w:val="ListParagraph"/>
        <w:ind w:left="0"/>
        <w:rPr>
          <w:rFonts w:cstheme="minorHAnsi"/>
          <w:sz w:val="22"/>
          <w:szCs w:val="22"/>
        </w:rPr>
      </w:pPr>
      <w:r w:rsidRPr="004C05EA">
        <w:rPr>
          <w:rFonts w:cstheme="minorHAnsi"/>
          <w:sz w:val="22"/>
          <w:szCs w:val="22"/>
          <w:u w:val="single"/>
        </w:rPr>
        <w:lastRenderedPageBreak/>
        <w:t>Commercial mowers and tractors</w:t>
      </w:r>
      <w:r w:rsidRPr="004C05EA">
        <w:rPr>
          <w:rFonts w:cstheme="minorHAnsi"/>
          <w:sz w:val="22"/>
          <w:szCs w:val="22"/>
        </w:rPr>
        <w:t xml:space="preserve">: as with the all-residential equipment category, we summed the emissions for the units estimated by MOVES as commercial gasoline mowers and tractors. We defined commercial mowers and tractors as the following MOVES equipment types: </w:t>
      </w:r>
      <w:r w:rsidRPr="004C05EA">
        <w:rPr>
          <w:rFonts w:cstheme="minorHAnsi"/>
          <w:color w:val="000000"/>
          <w:sz w:val="22"/>
          <w:szCs w:val="22"/>
        </w:rPr>
        <w:t>4-Str Rear Engine Riding Mowers (com), 4-Str Front Mowers (com), 4-Str Lawn mowers (Com), 4-Str Lawn &amp; Garden Tractors (com), 4-Str Commercial Turf Equipment (com)</w:t>
      </w:r>
      <w:r w:rsidRPr="004C05EA">
        <w:rPr>
          <w:rFonts w:cstheme="minorHAnsi"/>
          <w:sz w:val="22"/>
          <w:szCs w:val="22"/>
        </w:rPr>
        <w:t xml:space="preserve">. The table below shows the estimates of baseline 2020 commercial </w:t>
      </w:r>
      <w:r w:rsidR="00D44B1F">
        <w:rPr>
          <w:rFonts w:cstheme="minorHAnsi"/>
          <w:sz w:val="22"/>
          <w:szCs w:val="22"/>
        </w:rPr>
        <w:t>tractor mowers</w:t>
      </w:r>
      <w:r w:rsidRPr="004C05EA">
        <w:rPr>
          <w:rFonts w:cstheme="minorHAnsi"/>
          <w:sz w:val="22"/>
          <w:szCs w:val="22"/>
        </w:rPr>
        <w:t xml:space="preserve"> LGE emissions, the cumulative 2025-2030 emissions reductions, and annual 2025-2030 emissions reductions for the seven Chicago area counties.</w:t>
      </w:r>
    </w:p>
    <w:tbl>
      <w:tblPr>
        <w:tblStyle w:val="TableGrid"/>
        <w:tblW w:w="0" w:type="auto"/>
        <w:tblLook w:val="04A0" w:firstRow="1" w:lastRow="0" w:firstColumn="1" w:lastColumn="0" w:noHBand="0" w:noVBand="1"/>
      </w:tblPr>
      <w:tblGrid>
        <w:gridCol w:w="1615"/>
        <w:gridCol w:w="1260"/>
        <w:gridCol w:w="2070"/>
        <w:gridCol w:w="1800"/>
        <w:gridCol w:w="1530"/>
      </w:tblGrid>
      <w:tr w:rsidR="00426E53" w:rsidRPr="009B06D9" w14:paraId="02EEEE38" w14:textId="77777777" w:rsidTr="00426E53">
        <w:trPr>
          <w:trHeight w:val="290"/>
        </w:trPr>
        <w:tc>
          <w:tcPr>
            <w:tcW w:w="1615" w:type="dxa"/>
            <w:noWrap/>
            <w:hideMark/>
          </w:tcPr>
          <w:p w14:paraId="54A5441C" w14:textId="459914D2" w:rsidR="00AA2CD2" w:rsidRPr="009B06D9" w:rsidRDefault="00D44B1F">
            <w:pPr>
              <w:rPr>
                <w:rFonts w:cstheme="minorHAnsi"/>
                <w:b/>
                <w:bCs/>
                <w:sz w:val="22"/>
                <w:szCs w:val="22"/>
              </w:rPr>
            </w:pPr>
            <w:r w:rsidRPr="009B06D9">
              <w:rPr>
                <w:rFonts w:cstheme="minorHAnsi"/>
                <w:b/>
                <w:bCs/>
                <w:sz w:val="22"/>
                <w:szCs w:val="22"/>
              </w:rPr>
              <w:t>Comm Tractor</w:t>
            </w:r>
          </w:p>
        </w:tc>
        <w:tc>
          <w:tcPr>
            <w:tcW w:w="1260" w:type="dxa"/>
            <w:noWrap/>
            <w:hideMark/>
          </w:tcPr>
          <w:p w14:paraId="6332DA9C" w14:textId="77777777" w:rsidR="00AA2CD2" w:rsidRPr="009B06D9" w:rsidRDefault="00AA2CD2">
            <w:pPr>
              <w:rPr>
                <w:rFonts w:cstheme="minorHAnsi"/>
                <w:sz w:val="22"/>
                <w:szCs w:val="22"/>
              </w:rPr>
            </w:pPr>
            <w:r w:rsidRPr="009B06D9">
              <w:rPr>
                <w:rFonts w:cstheme="minorHAnsi"/>
                <w:sz w:val="22"/>
                <w:szCs w:val="22"/>
              </w:rPr>
              <w:t xml:space="preserve">Pollutant </w:t>
            </w:r>
          </w:p>
        </w:tc>
        <w:tc>
          <w:tcPr>
            <w:tcW w:w="2070" w:type="dxa"/>
            <w:noWrap/>
            <w:hideMark/>
          </w:tcPr>
          <w:p w14:paraId="30F976DA" w14:textId="77777777" w:rsidR="00AA2CD2" w:rsidRPr="009B06D9" w:rsidRDefault="00AA2CD2">
            <w:pPr>
              <w:rPr>
                <w:rFonts w:cstheme="minorHAnsi"/>
                <w:sz w:val="22"/>
                <w:szCs w:val="22"/>
              </w:rPr>
            </w:pPr>
            <w:r w:rsidRPr="009B06D9">
              <w:rPr>
                <w:rFonts w:cstheme="minorHAnsi"/>
                <w:sz w:val="22"/>
                <w:szCs w:val="22"/>
              </w:rPr>
              <w:t>Baseline 2020 tons</w:t>
            </w:r>
          </w:p>
        </w:tc>
        <w:tc>
          <w:tcPr>
            <w:tcW w:w="1800" w:type="dxa"/>
            <w:noWrap/>
            <w:hideMark/>
          </w:tcPr>
          <w:p w14:paraId="6D515D6A" w14:textId="77777777" w:rsidR="00AA2CD2" w:rsidRPr="009B06D9" w:rsidRDefault="00AA2CD2">
            <w:pPr>
              <w:rPr>
                <w:rFonts w:cstheme="minorHAnsi"/>
                <w:sz w:val="22"/>
                <w:szCs w:val="22"/>
              </w:rPr>
            </w:pPr>
            <w:r w:rsidRPr="009B06D9">
              <w:rPr>
                <w:rFonts w:cstheme="minorHAnsi"/>
                <w:sz w:val="22"/>
                <w:szCs w:val="22"/>
              </w:rPr>
              <w:t>Cumulative tons</w:t>
            </w:r>
          </w:p>
        </w:tc>
        <w:tc>
          <w:tcPr>
            <w:tcW w:w="1530" w:type="dxa"/>
            <w:noWrap/>
            <w:hideMark/>
          </w:tcPr>
          <w:p w14:paraId="65798BA4" w14:textId="77777777" w:rsidR="00AA2CD2" w:rsidRPr="009B06D9" w:rsidRDefault="00AA2CD2">
            <w:pPr>
              <w:rPr>
                <w:rFonts w:cstheme="minorHAnsi"/>
                <w:sz w:val="22"/>
                <w:szCs w:val="22"/>
              </w:rPr>
            </w:pPr>
            <w:r w:rsidRPr="009B06D9">
              <w:rPr>
                <w:rFonts w:cstheme="minorHAnsi"/>
                <w:sz w:val="22"/>
                <w:szCs w:val="22"/>
              </w:rPr>
              <w:t>Annual tons</w:t>
            </w:r>
          </w:p>
        </w:tc>
      </w:tr>
      <w:tr w:rsidR="00426E53" w:rsidRPr="009B06D9" w14:paraId="2B4C40A7" w14:textId="77777777" w:rsidTr="00426E53">
        <w:trPr>
          <w:trHeight w:val="290"/>
        </w:trPr>
        <w:tc>
          <w:tcPr>
            <w:tcW w:w="1615" w:type="dxa"/>
            <w:noWrap/>
            <w:hideMark/>
          </w:tcPr>
          <w:p w14:paraId="23359371" w14:textId="77777777" w:rsidR="00AA2CD2" w:rsidRPr="009B06D9" w:rsidRDefault="00AA2CD2">
            <w:pPr>
              <w:rPr>
                <w:rFonts w:cstheme="minorHAnsi"/>
                <w:sz w:val="22"/>
                <w:szCs w:val="22"/>
              </w:rPr>
            </w:pPr>
            <w:r w:rsidRPr="009B06D9">
              <w:rPr>
                <w:rFonts w:cstheme="minorHAnsi"/>
                <w:sz w:val="22"/>
                <w:szCs w:val="22"/>
              </w:rPr>
              <w:t> </w:t>
            </w:r>
          </w:p>
        </w:tc>
        <w:tc>
          <w:tcPr>
            <w:tcW w:w="1260" w:type="dxa"/>
            <w:noWrap/>
            <w:hideMark/>
          </w:tcPr>
          <w:p w14:paraId="59661943" w14:textId="77777777" w:rsidR="00AA2CD2" w:rsidRPr="009B06D9" w:rsidRDefault="00AA2CD2">
            <w:pPr>
              <w:rPr>
                <w:rFonts w:cstheme="minorHAnsi"/>
                <w:sz w:val="22"/>
                <w:szCs w:val="22"/>
              </w:rPr>
            </w:pPr>
            <w:r w:rsidRPr="009B06D9">
              <w:rPr>
                <w:rFonts w:cstheme="minorHAnsi"/>
                <w:sz w:val="22"/>
                <w:szCs w:val="22"/>
              </w:rPr>
              <w:t>CO2</w:t>
            </w:r>
          </w:p>
        </w:tc>
        <w:tc>
          <w:tcPr>
            <w:tcW w:w="2070" w:type="dxa"/>
            <w:noWrap/>
            <w:hideMark/>
          </w:tcPr>
          <w:p w14:paraId="3CE40D8F" w14:textId="77777777" w:rsidR="00AA2CD2" w:rsidRPr="009B06D9" w:rsidRDefault="00AA2CD2" w:rsidP="00426E53">
            <w:pPr>
              <w:jc w:val="right"/>
              <w:rPr>
                <w:rFonts w:cstheme="minorHAnsi"/>
                <w:sz w:val="22"/>
                <w:szCs w:val="22"/>
              </w:rPr>
            </w:pPr>
            <w:r w:rsidRPr="009B06D9">
              <w:rPr>
                <w:rFonts w:cstheme="minorHAnsi"/>
                <w:sz w:val="22"/>
                <w:szCs w:val="22"/>
              </w:rPr>
              <w:t xml:space="preserve">            479,450 </w:t>
            </w:r>
          </w:p>
        </w:tc>
        <w:tc>
          <w:tcPr>
            <w:tcW w:w="1800" w:type="dxa"/>
            <w:noWrap/>
            <w:hideMark/>
          </w:tcPr>
          <w:p w14:paraId="13E90836" w14:textId="77777777" w:rsidR="00AA2CD2" w:rsidRPr="009B06D9" w:rsidRDefault="00AA2CD2" w:rsidP="00426E53">
            <w:pPr>
              <w:jc w:val="right"/>
              <w:rPr>
                <w:rFonts w:cstheme="minorHAnsi"/>
                <w:sz w:val="22"/>
                <w:szCs w:val="22"/>
              </w:rPr>
            </w:pPr>
            <w:r w:rsidRPr="009B06D9">
              <w:rPr>
                <w:rFonts w:cstheme="minorHAnsi"/>
                <w:sz w:val="22"/>
                <w:szCs w:val="22"/>
              </w:rPr>
              <w:t xml:space="preserve">           3,500 </w:t>
            </w:r>
          </w:p>
        </w:tc>
        <w:tc>
          <w:tcPr>
            <w:tcW w:w="1530" w:type="dxa"/>
            <w:noWrap/>
            <w:hideMark/>
          </w:tcPr>
          <w:p w14:paraId="6DECAA40" w14:textId="77777777" w:rsidR="00AA2CD2" w:rsidRPr="009B06D9" w:rsidRDefault="00AA2CD2" w:rsidP="00426E53">
            <w:pPr>
              <w:jc w:val="right"/>
              <w:rPr>
                <w:rFonts w:cstheme="minorHAnsi"/>
                <w:sz w:val="22"/>
                <w:szCs w:val="22"/>
              </w:rPr>
            </w:pPr>
            <w:r w:rsidRPr="009B06D9">
              <w:rPr>
                <w:rFonts w:cstheme="minorHAnsi"/>
                <w:sz w:val="22"/>
                <w:szCs w:val="22"/>
              </w:rPr>
              <w:t xml:space="preserve">              700 </w:t>
            </w:r>
          </w:p>
        </w:tc>
      </w:tr>
      <w:tr w:rsidR="00426E53" w:rsidRPr="009B06D9" w14:paraId="34659173" w14:textId="77777777" w:rsidTr="00426E53">
        <w:trPr>
          <w:trHeight w:val="290"/>
        </w:trPr>
        <w:tc>
          <w:tcPr>
            <w:tcW w:w="1615" w:type="dxa"/>
            <w:noWrap/>
            <w:hideMark/>
          </w:tcPr>
          <w:p w14:paraId="2759139F" w14:textId="77777777" w:rsidR="00AA2CD2" w:rsidRPr="009B06D9" w:rsidRDefault="00AA2CD2">
            <w:pPr>
              <w:rPr>
                <w:rFonts w:cstheme="minorHAnsi"/>
                <w:sz w:val="22"/>
                <w:szCs w:val="22"/>
              </w:rPr>
            </w:pPr>
            <w:r w:rsidRPr="009B06D9">
              <w:rPr>
                <w:rFonts w:cstheme="minorHAnsi"/>
                <w:sz w:val="22"/>
                <w:szCs w:val="22"/>
              </w:rPr>
              <w:t> </w:t>
            </w:r>
          </w:p>
        </w:tc>
        <w:tc>
          <w:tcPr>
            <w:tcW w:w="1260" w:type="dxa"/>
            <w:noWrap/>
            <w:hideMark/>
          </w:tcPr>
          <w:p w14:paraId="1F528325" w14:textId="23783AAC" w:rsidR="00AA2CD2" w:rsidRPr="009B06D9" w:rsidRDefault="00AA2CD2">
            <w:pPr>
              <w:rPr>
                <w:rFonts w:cstheme="minorHAnsi"/>
                <w:sz w:val="22"/>
                <w:szCs w:val="22"/>
              </w:rPr>
            </w:pPr>
            <w:r w:rsidRPr="009B06D9">
              <w:rPr>
                <w:rFonts w:cstheme="minorHAnsi"/>
                <w:sz w:val="22"/>
                <w:szCs w:val="22"/>
              </w:rPr>
              <w:t>NOx</w:t>
            </w:r>
          </w:p>
        </w:tc>
        <w:tc>
          <w:tcPr>
            <w:tcW w:w="2070" w:type="dxa"/>
            <w:noWrap/>
            <w:hideMark/>
          </w:tcPr>
          <w:p w14:paraId="3B7DE7C0" w14:textId="77777777" w:rsidR="00AA2CD2" w:rsidRPr="009B06D9" w:rsidRDefault="00AA2CD2" w:rsidP="00426E53">
            <w:pPr>
              <w:jc w:val="right"/>
              <w:rPr>
                <w:rFonts w:cstheme="minorHAnsi"/>
                <w:sz w:val="22"/>
                <w:szCs w:val="22"/>
              </w:rPr>
            </w:pPr>
            <w:r w:rsidRPr="009B06D9">
              <w:rPr>
                <w:rFonts w:cstheme="minorHAnsi"/>
                <w:sz w:val="22"/>
                <w:szCs w:val="22"/>
              </w:rPr>
              <w:t xml:space="preserve">                1,190 </w:t>
            </w:r>
          </w:p>
        </w:tc>
        <w:tc>
          <w:tcPr>
            <w:tcW w:w="1800" w:type="dxa"/>
            <w:noWrap/>
            <w:hideMark/>
          </w:tcPr>
          <w:p w14:paraId="68308B43" w14:textId="77777777" w:rsidR="00AA2CD2" w:rsidRPr="009B06D9" w:rsidRDefault="00AA2CD2" w:rsidP="00426E53">
            <w:pPr>
              <w:jc w:val="right"/>
              <w:rPr>
                <w:rFonts w:cstheme="minorHAnsi"/>
                <w:sz w:val="22"/>
                <w:szCs w:val="22"/>
              </w:rPr>
            </w:pPr>
            <w:r w:rsidRPr="009B06D9">
              <w:rPr>
                <w:rFonts w:cstheme="minorHAnsi"/>
                <w:sz w:val="22"/>
                <w:szCs w:val="22"/>
              </w:rPr>
              <w:t xml:space="preserve">                   9 </w:t>
            </w:r>
          </w:p>
        </w:tc>
        <w:tc>
          <w:tcPr>
            <w:tcW w:w="1530" w:type="dxa"/>
            <w:noWrap/>
            <w:hideMark/>
          </w:tcPr>
          <w:p w14:paraId="295B735D" w14:textId="77777777" w:rsidR="00AA2CD2" w:rsidRPr="009B06D9" w:rsidRDefault="00AA2CD2" w:rsidP="00426E53">
            <w:pPr>
              <w:jc w:val="right"/>
              <w:rPr>
                <w:rFonts w:cstheme="minorHAnsi"/>
                <w:sz w:val="22"/>
                <w:szCs w:val="22"/>
              </w:rPr>
            </w:pPr>
            <w:r w:rsidRPr="009B06D9">
              <w:rPr>
                <w:rFonts w:cstheme="minorHAnsi"/>
                <w:sz w:val="22"/>
                <w:szCs w:val="22"/>
              </w:rPr>
              <w:t xml:space="preserve">                   2 </w:t>
            </w:r>
          </w:p>
        </w:tc>
      </w:tr>
      <w:tr w:rsidR="00426E53" w:rsidRPr="009B06D9" w14:paraId="3C4469A5" w14:textId="77777777" w:rsidTr="00426E53">
        <w:trPr>
          <w:trHeight w:val="290"/>
        </w:trPr>
        <w:tc>
          <w:tcPr>
            <w:tcW w:w="1615" w:type="dxa"/>
            <w:noWrap/>
            <w:hideMark/>
          </w:tcPr>
          <w:p w14:paraId="3789BA60" w14:textId="77777777" w:rsidR="00AA2CD2" w:rsidRPr="009B06D9" w:rsidRDefault="00AA2CD2">
            <w:pPr>
              <w:rPr>
                <w:rFonts w:cstheme="minorHAnsi"/>
                <w:sz w:val="22"/>
                <w:szCs w:val="22"/>
              </w:rPr>
            </w:pPr>
            <w:r w:rsidRPr="009B06D9">
              <w:rPr>
                <w:rFonts w:cstheme="minorHAnsi"/>
                <w:sz w:val="22"/>
                <w:szCs w:val="22"/>
              </w:rPr>
              <w:t> </w:t>
            </w:r>
          </w:p>
        </w:tc>
        <w:tc>
          <w:tcPr>
            <w:tcW w:w="1260" w:type="dxa"/>
            <w:noWrap/>
            <w:hideMark/>
          </w:tcPr>
          <w:p w14:paraId="39BFC74C" w14:textId="77777777" w:rsidR="00AA2CD2" w:rsidRPr="009B06D9" w:rsidRDefault="00AA2CD2">
            <w:pPr>
              <w:rPr>
                <w:rFonts w:cstheme="minorHAnsi"/>
                <w:sz w:val="22"/>
                <w:szCs w:val="22"/>
              </w:rPr>
            </w:pPr>
            <w:r w:rsidRPr="009B06D9">
              <w:rPr>
                <w:rFonts w:cstheme="minorHAnsi"/>
                <w:sz w:val="22"/>
                <w:szCs w:val="22"/>
              </w:rPr>
              <w:t>VOCs</w:t>
            </w:r>
          </w:p>
        </w:tc>
        <w:tc>
          <w:tcPr>
            <w:tcW w:w="2070" w:type="dxa"/>
            <w:noWrap/>
            <w:hideMark/>
          </w:tcPr>
          <w:p w14:paraId="0D4D80F6" w14:textId="77777777" w:rsidR="00AA2CD2" w:rsidRPr="009B06D9" w:rsidRDefault="00AA2CD2" w:rsidP="00426E53">
            <w:pPr>
              <w:jc w:val="right"/>
              <w:rPr>
                <w:rFonts w:cstheme="minorHAnsi"/>
                <w:sz w:val="22"/>
                <w:szCs w:val="22"/>
              </w:rPr>
            </w:pPr>
            <w:r w:rsidRPr="009B06D9">
              <w:rPr>
                <w:rFonts w:cstheme="minorHAnsi"/>
                <w:sz w:val="22"/>
                <w:szCs w:val="22"/>
              </w:rPr>
              <w:t xml:space="preserve">                2,610 </w:t>
            </w:r>
          </w:p>
        </w:tc>
        <w:tc>
          <w:tcPr>
            <w:tcW w:w="1800" w:type="dxa"/>
            <w:noWrap/>
            <w:hideMark/>
          </w:tcPr>
          <w:p w14:paraId="71590261" w14:textId="77777777" w:rsidR="00AA2CD2" w:rsidRPr="009B06D9" w:rsidRDefault="00AA2CD2" w:rsidP="00426E53">
            <w:pPr>
              <w:jc w:val="right"/>
              <w:rPr>
                <w:rFonts w:cstheme="minorHAnsi"/>
                <w:sz w:val="22"/>
                <w:szCs w:val="22"/>
              </w:rPr>
            </w:pPr>
            <w:r w:rsidRPr="009B06D9">
              <w:rPr>
                <w:rFonts w:cstheme="minorHAnsi"/>
                <w:sz w:val="22"/>
                <w:szCs w:val="22"/>
              </w:rPr>
              <w:t xml:space="preserve">                 20 </w:t>
            </w:r>
          </w:p>
        </w:tc>
        <w:tc>
          <w:tcPr>
            <w:tcW w:w="1530" w:type="dxa"/>
            <w:noWrap/>
            <w:hideMark/>
          </w:tcPr>
          <w:p w14:paraId="7EBD3919" w14:textId="77777777" w:rsidR="00AA2CD2" w:rsidRPr="009B06D9" w:rsidRDefault="00AA2CD2" w:rsidP="00426E53">
            <w:pPr>
              <w:jc w:val="right"/>
              <w:rPr>
                <w:rFonts w:cstheme="minorHAnsi"/>
                <w:sz w:val="22"/>
                <w:szCs w:val="22"/>
              </w:rPr>
            </w:pPr>
            <w:r w:rsidRPr="009B06D9">
              <w:rPr>
                <w:rFonts w:cstheme="minorHAnsi"/>
                <w:sz w:val="22"/>
                <w:szCs w:val="22"/>
              </w:rPr>
              <w:t xml:space="preserve">                   4 </w:t>
            </w:r>
          </w:p>
        </w:tc>
      </w:tr>
    </w:tbl>
    <w:p w14:paraId="52652C8A" w14:textId="77777777" w:rsidR="00644B2B" w:rsidRPr="009B06D9" w:rsidRDefault="00644B2B" w:rsidP="00644B2B">
      <w:pPr>
        <w:rPr>
          <w:rFonts w:cstheme="minorHAnsi"/>
        </w:rPr>
      </w:pPr>
    </w:p>
    <w:tbl>
      <w:tblPr>
        <w:tblStyle w:val="TableGrid"/>
        <w:tblW w:w="0" w:type="auto"/>
        <w:tblLook w:val="04A0" w:firstRow="1" w:lastRow="0" w:firstColumn="1" w:lastColumn="0" w:noHBand="0" w:noVBand="1"/>
      </w:tblPr>
      <w:tblGrid>
        <w:gridCol w:w="1615"/>
        <w:gridCol w:w="1336"/>
        <w:gridCol w:w="1994"/>
        <w:gridCol w:w="1800"/>
        <w:gridCol w:w="1530"/>
      </w:tblGrid>
      <w:tr w:rsidR="00426E53" w:rsidRPr="009B06D9" w14:paraId="0F4D9CF5" w14:textId="77777777" w:rsidTr="00426E53">
        <w:trPr>
          <w:trHeight w:val="290"/>
        </w:trPr>
        <w:tc>
          <w:tcPr>
            <w:tcW w:w="1615" w:type="dxa"/>
            <w:noWrap/>
            <w:hideMark/>
          </w:tcPr>
          <w:p w14:paraId="13101334" w14:textId="5B64A497" w:rsidR="00AA2CD2" w:rsidRPr="009B06D9" w:rsidRDefault="00AA2CD2" w:rsidP="00426E53">
            <w:pPr>
              <w:pStyle w:val="ListParagraph"/>
              <w:ind w:left="0"/>
              <w:rPr>
                <w:rFonts w:cstheme="minorHAnsi"/>
                <w:b/>
                <w:bCs/>
                <w:sz w:val="22"/>
                <w:szCs w:val="22"/>
              </w:rPr>
            </w:pPr>
            <w:r w:rsidRPr="009B06D9">
              <w:rPr>
                <w:rFonts w:cstheme="minorHAnsi"/>
                <w:b/>
                <w:bCs/>
                <w:sz w:val="22"/>
                <w:szCs w:val="22"/>
              </w:rPr>
              <w:t>Comm</w:t>
            </w:r>
            <w:r w:rsidR="00426E53" w:rsidRPr="009B06D9">
              <w:rPr>
                <w:rFonts w:cstheme="minorHAnsi"/>
                <w:b/>
                <w:bCs/>
                <w:sz w:val="22"/>
                <w:szCs w:val="22"/>
              </w:rPr>
              <w:t xml:space="preserve"> </w:t>
            </w:r>
            <w:r w:rsidRPr="009B06D9">
              <w:rPr>
                <w:rFonts w:cstheme="minorHAnsi"/>
                <w:b/>
                <w:bCs/>
                <w:sz w:val="22"/>
                <w:szCs w:val="22"/>
              </w:rPr>
              <w:t>Tractor</w:t>
            </w:r>
          </w:p>
        </w:tc>
        <w:tc>
          <w:tcPr>
            <w:tcW w:w="1336" w:type="dxa"/>
            <w:noWrap/>
            <w:hideMark/>
          </w:tcPr>
          <w:p w14:paraId="6ABD77F2" w14:textId="77777777" w:rsidR="00AA2CD2" w:rsidRPr="009B06D9" w:rsidRDefault="00AA2CD2" w:rsidP="00426E53">
            <w:pPr>
              <w:pStyle w:val="ListParagraph"/>
              <w:ind w:left="0"/>
              <w:jc w:val="both"/>
              <w:rPr>
                <w:rFonts w:cstheme="minorHAnsi"/>
                <w:sz w:val="22"/>
                <w:szCs w:val="22"/>
              </w:rPr>
            </w:pPr>
            <w:r w:rsidRPr="009B06D9">
              <w:rPr>
                <w:rFonts w:cstheme="minorHAnsi"/>
                <w:sz w:val="22"/>
                <w:szCs w:val="22"/>
              </w:rPr>
              <w:t xml:space="preserve">Pollutant </w:t>
            </w:r>
          </w:p>
        </w:tc>
        <w:tc>
          <w:tcPr>
            <w:tcW w:w="1994" w:type="dxa"/>
            <w:noWrap/>
            <w:hideMark/>
          </w:tcPr>
          <w:p w14:paraId="01AF78C0" w14:textId="77777777" w:rsidR="00AA2CD2" w:rsidRPr="009B06D9" w:rsidRDefault="00AA2CD2" w:rsidP="00426E53">
            <w:pPr>
              <w:pStyle w:val="ListParagraph"/>
              <w:ind w:left="0"/>
              <w:rPr>
                <w:rFonts w:cstheme="minorHAnsi"/>
                <w:sz w:val="22"/>
                <w:szCs w:val="22"/>
              </w:rPr>
            </w:pPr>
            <w:r w:rsidRPr="009B06D9">
              <w:rPr>
                <w:rFonts w:cstheme="minorHAnsi"/>
                <w:sz w:val="22"/>
                <w:szCs w:val="22"/>
              </w:rPr>
              <w:t>Baseline 2020 metric tons</w:t>
            </w:r>
          </w:p>
        </w:tc>
        <w:tc>
          <w:tcPr>
            <w:tcW w:w="1800" w:type="dxa"/>
            <w:noWrap/>
            <w:hideMark/>
          </w:tcPr>
          <w:p w14:paraId="43B81E90" w14:textId="769A4F7C" w:rsidR="00AA2CD2" w:rsidRPr="009B06D9" w:rsidRDefault="00AA2CD2" w:rsidP="00426E53">
            <w:pPr>
              <w:pStyle w:val="ListParagraph"/>
              <w:ind w:left="0"/>
              <w:rPr>
                <w:rFonts w:cstheme="minorHAnsi"/>
                <w:sz w:val="22"/>
                <w:szCs w:val="22"/>
              </w:rPr>
            </w:pPr>
            <w:r w:rsidRPr="009B06D9">
              <w:rPr>
                <w:rFonts w:cstheme="minorHAnsi"/>
                <w:sz w:val="22"/>
                <w:szCs w:val="22"/>
              </w:rPr>
              <w:t>Cumulative me</w:t>
            </w:r>
            <w:r w:rsidR="00747F25" w:rsidRPr="009B06D9">
              <w:rPr>
                <w:rFonts w:cstheme="minorHAnsi"/>
                <w:sz w:val="22"/>
                <w:szCs w:val="22"/>
              </w:rPr>
              <w:t>t</w:t>
            </w:r>
            <w:r w:rsidRPr="009B06D9">
              <w:rPr>
                <w:rFonts w:cstheme="minorHAnsi"/>
                <w:sz w:val="22"/>
                <w:szCs w:val="22"/>
              </w:rPr>
              <w:t>ric tons</w:t>
            </w:r>
          </w:p>
        </w:tc>
        <w:tc>
          <w:tcPr>
            <w:tcW w:w="1530" w:type="dxa"/>
            <w:noWrap/>
            <w:hideMark/>
          </w:tcPr>
          <w:p w14:paraId="097958BA" w14:textId="77777777" w:rsidR="00AA2CD2" w:rsidRPr="009B06D9" w:rsidRDefault="00AA2CD2" w:rsidP="00426E53">
            <w:pPr>
              <w:pStyle w:val="ListParagraph"/>
              <w:ind w:left="0"/>
              <w:rPr>
                <w:rFonts w:cstheme="minorHAnsi"/>
                <w:sz w:val="22"/>
                <w:szCs w:val="22"/>
              </w:rPr>
            </w:pPr>
            <w:r w:rsidRPr="009B06D9">
              <w:rPr>
                <w:rFonts w:cstheme="minorHAnsi"/>
                <w:sz w:val="22"/>
                <w:szCs w:val="22"/>
              </w:rPr>
              <w:t>Annual metric tons</w:t>
            </w:r>
          </w:p>
        </w:tc>
      </w:tr>
      <w:tr w:rsidR="00426E53" w:rsidRPr="009B06D9" w14:paraId="61008113" w14:textId="77777777" w:rsidTr="00426E53">
        <w:trPr>
          <w:trHeight w:val="314"/>
        </w:trPr>
        <w:tc>
          <w:tcPr>
            <w:tcW w:w="1615" w:type="dxa"/>
            <w:noWrap/>
            <w:hideMark/>
          </w:tcPr>
          <w:p w14:paraId="2F8B1E20" w14:textId="3F0B142A" w:rsidR="00AA2CD2" w:rsidRPr="009B06D9" w:rsidRDefault="00AA2CD2" w:rsidP="00AA2CD2">
            <w:pPr>
              <w:pStyle w:val="ListParagraph"/>
              <w:rPr>
                <w:rFonts w:cstheme="minorHAnsi"/>
                <w:sz w:val="22"/>
                <w:szCs w:val="22"/>
              </w:rPr>
            </w:pPr>
          </w:p>
        </w:tc>
        <w:tc>
          <w:tcPr>
            <w:tcW w:w="1336" w:type="dxa"/>
            <w:noWrap/>
            <w:hideMark/>
          </w:tcPr>
          <w:p w14:paraId="070F712B" w14:textId="77777777" w:rsidR="00AA2CD2" w:rsidRPr="009B06D9" w:rsidRDefault="00AA2CD2" w:rsidP="00426E53">
            <w:pPr>
              <w:pStyle w:val="ListParagraph"/>
              <w:ind w:left="0"/>
              <w:jc w:val="both"/>
              <w:rPr>
                <w:rFonts w:cstheme="minorHAnsi"/>
                <w:sz w:val="22"/>
                <w:szCs w:val="22"/>
              </w:rPr>
            </w:pPr>
            <w:r w:rsidRPr="009B06D9">
              <w:rPr>
                <w:rFonts w:cstheme="minorHAnsi"/>
                <w:sz w:val="22"/>
                <w:szCs w:val="22"/>
              </w:rPr>
              <w:t>CO2</w:t>
            </w:r>
          </w:p>
        </w:tc>
        <w:tc>
          <w:tcPr>
            <w:tcW w:w="1994" w:type="dxa"/>
            <w:noWrap/>
            <w:hideMark/>
          </w:tcPr>
          <w:p w14:paraId="7675334B" w14:textId="623EB2A6" w:rsidR="00AA2CD2" w:rsidRPr="009B06D9" w:rsidRDefault="00AA2CD2" w:rsidP="00AA2CD2">
            <w:pPr>
              <w:pStyle w:val="ListParagraph"/>
              <w:rPr>
                <w:rFonts w:cstheme="minorHAnsi"/>
                <w:sz w:val="22"/>
                <w:szCs w:val="22"/>
              </w:rPr>
            </w:pPr>
            <w:r w:rsidRPr="009B06D9">
              <w:rPr>
                <w:rFonts w:cstheme="minorHAnsi"/>
                <w:sz w:val="22"/>
                <w:szCs w:val="22"/>
              </w:rPr>
              <w:t xml:space="preserve">434,950 </w:t>
            </w:r>
          </w:p>
        </w:tc>
        <w:tc>
          <w:tcPr>
            <w:tcW w:w="1800" w:type="dxa"/>
            <w:noWrap/>
            <w:hideMark/>
          </w:tcPr>
          <w:p w14:paraId="093DB8B0" w14:textId="6B0B7A35" w:rsidR="00AA2CD2" w:rsidRPr="009B06D9" w:rsidRDefault="00AA2CD2" w:rsidP="00AA2CD2">
            <w:pPr>
              <w:pStyle w:val="ListParagraph"/>
              <w:rPr>
                <w:rFonts w:cstheme="minorHAnsi"/>
                <w:sz w:val="22"/>
                <w:szCs w:val="22"/>
              </w:rPr>
            </w:pPr>
            <w:r w:rsidRPr="009B06D9">
              <w:rPr>
                <w:rFonts w:cstheme="minorHAnsi"/>
                <w:sz w:val="22"/>
                <w:szCs w:val="22"/>
              </w:rPr>
              <w:t xml:space="preserve">3,175 </w:t>
            </w:r>
          </w:p>
        </w:tc>
        <w:tc>
          <w:tcPr>
            <w:tcW w:w="1530" w:type="dxa"/>
            <w:noWrap/>
            <w:hideMark/>
          </w:tcPr>
          <w:p w14:paraId="1FE2F5E8" w14:textId="33115B75" w:rsidR="00AA2CD2" w:rsidRPr="009B06D9" w:rsidRDefault="00AA2CD2" w:rsidP="00426E53">
            <w:pPr>
              <w:pStyle w:val="ListParagraph"/>
              <w:rPr>
                <w:rFonts w:cstheme="minorHAnsi"/>
                <w:sz w:val="22"/>
                <w:szCs w:val="22"/>
              </w:rPr>
            </w:pPr>
            <w:r w:rsidRPr="009B06D9">
              <w:rPr>
                <w:rFonts w:cstheme="minorHAnsi"/>
                <w:sz w:val="22"/>
                <w:szCs w:val="22"/>
              </w:rPr>
              <w:t xml:space="preserve">635 </w:t>
            </w:r>
          </w:p>
        </w:tc>
      </w:tr>
      <w:tr w:rsidR="00426E53" w:rsidRPr="009B06D9" w14:paraId="39C5C456" w14:textId="77777777" w:rsidTr="00426E53">
        <w:trPr>
          <w:trHeight w:val="290"/>
        </w:trPr>
        <w:tc>
          <w:tcPr>
            <w:tcW w:w="1615" w:type="dxa"/>
            <w:noWrap/>
            <w:hideMark/>
          </w:tcPr>
          <w:p w14:paraId="6B648DCA" w14:textId="77777777" w:rsidR="00AA2CD2" w:rsidRPr="009B06D9" w:rsidRDefault="00AA2CD2" w:rsidP="00AA2CD2">
            <w:pPr>
              <w:pStyle w:val="ListParagraph"/>
              <w:rPr>
                <w:rFonts w:cstheme="minorHAnsi"/>
                <w:sz w:val="22"/>
                <w:szCs w:val="22"/>
              </w:rPr>
            </w:pPr>
            <w:r w:rsidRPr="009B06D9">
              <w:rPr>
                <w:rFonts w:cstheme="minorHAnsi"/>
                <w:sz w:val="22"/>
                <w:szCs w:val="22"/>
              </w:rPr>
              <w:t> </w:t>
            </w:r>
          </w:p>
        </w:tc>
        <w:tc>
          <w:tcPr>
            <w:tcW w:w="1336" w:type="dxa"/>
            <w:noWrap/>
            <w:hideMark/>
          </w:tcPr>
          <w:p w14:paraId="0BA08110" w14:textId="1469BF3A" w:rsidR="00AA2CD2" w:rsidRPr="009B06D9" w:rsidRDefault="00AA2CD2" w:rsidP="00426E53">
            <w:pPr>
              <w:pStyle w:val="ListParagraph"/>
              <w:ind w:left="0"/>
              <w:jc w:val="both"/>
              <w:rPr>
                <w:rFonts w:cstheme="minorHAnsi"/>
                <w:sz w:val="22"/>
                <w:szCs w:val="22"/>
              </w:rPr>
            </w:pPr>
            <w:r w:rsidRPr="009B06D9">
              <w:rPr>
                <w:rFonts w:cstheme="minorHAnsi"/>
                <w:sz w:val="22"/>
                <w:szCs w:val="22"/>
              </w:rPr>
              <w:t>NOx</w:t>
            </w:r>
          </w:p>
        </w:tc>
        <w:tc>
          <w:tcPr>
            <w:tcW w:w="1994" w:type="dxa"/>
            <w:noWrap/>
            <w:hideMark/>
          </w:tcPr>
          <w:p w14:paraId="2783EDE6" w14:textId="21F2B102" w:rsidR="00AA2CD2" w:rsidRPr="009B06D9" w:rsidRDefault="00AA2CD2" w:rsidP="00AA2CD2">
            <w:pPr>
              <w:pStyle w:val="ListParagraph"/>
              <w:rPr>
                <w:rFonts w:cstheme="minorHAnsi"/>
                <w:sz w:val="22"/>
                <w:szCs w:val="22"/>
              </w:rPr>
            </w:pPr>
            <w:r w:rsidRPr="009B06D9">
              <w:rPr>
                <w:rFonts w:cstheme="minorHAnsi"/>
                <w:sz w:val="22"/>
                <w:szCs w:val="22"/>
              </w:rPr>
              <w:t xml:space="preserve">    1,080 </w:t>
            </w:r>
          </w:p>
        </w:tc>
        <w:tc>
          <w:tcPr>
            <w:tcW w:w="1800" w:type="dxa"/>
            <w:noWrap/>
            <w:hideMark/>
          </w:tcPr>
          <w:p w14:paraId="0B4A550B" w14:textId="52C27D57" w:rsidR="00AA2CD2" w:rsidRPr="009B06D9" w:rsidRDefault="00AA2CD2" w:rsidP="00AA2CD2">
            <w:pPr>
              <w:pStyle w:val="ListParagraph"/>
              <w:rPr>
                <w:rFonts w:cstheme="minorHAnsi"/>
                <w:sz w:val="22"/>
                <w:szCs w:val="22"/>
              </w:rPr>
            </w:pPr>
            <w:r w:rsidRPr="009B06D9">
              <w:rPr>
                <w:rFonts w:cstheme="minorHAnsi"/>
                <w:sz w:val="22"/>
                <w:szCs w:val="22"/>
              </w:rPr>
              <w:t xml:space="preserve">       8 </w:t>
            </w:r>
          </w:p>
        </w:tc>
        <w:tc>
          <w:tcPr>
            <w:tcW w:w="1530" w:type="dxa"/>
            <w:noWrap/>
            <w:hideMark/>
          </w:tcPr>
          <w:p w14:paraId="3DAD3B39" w14:textId="742CCCDA" w:rsidR="00AA2CD2" w:rsidRPr="009B06D9" w:rsidRDefault="00AA2CD2" w:rsidP="00AA2CD2">
            <w:pPr>
              <w:pStyle w:val="ListParagraph"/>
              <w:rPr>
                <w:rFonts w:cstheme="minorHAnsi"/>
                <w:sz w:val="22"/>
                <w:szCs w:val="22"/>
              </w:rPr>
            </w:pPr>
            <w:r w:rsidRPr="009B06D9">
              <w:rPr>
                <w:rFonts w:cstheme="minorHAnsi"/>
                <w:sz w:val="22"/>
                <w:szCs w:val="22"/>
              </w:rPr>
              <w:t xml:space="preserve">    2 </w:t>
            </w:r>
          </w:p>
        </w:tc>
      </w:tr>
      <w:tr w:rsidR="00426E53" w:rsidRPr="009B06D9" w14:paraId="70E6B20A" w14:textId="77777777" w:rsidTr="00426E53">
        <w:trPr>
          <w:trHeight w:val="290"/>
        </w:trPr>
        <w:tc>
          <w:tcPr>
            <w:tcW w:w="1615" w:type="dxa"/>
            <w:noWrap/>
            <w:hideMark/>
          </w:tcPr>
          <w:p w14:paraId="7309EDC8" w14:textId="77777777" w:rsidR="00AA2CD2" w:rsidRPr="009B06D9" w:rsidRDefault="00AA2CD2" w:rsidP="00AA2CD2">
            <w:pPr>
              <w:pStyle w:val="ListParagraph"/>
              <w:rPr>
                <w:rFonts w:cstheme="minorHAnsi"/>
                <w:sz w:val="22"/>
                <w:szCs w:val="22"/>
              </w:rPr>
            </w:pPr>
            <w:r w:rsidRPr="009B06D9">
              <w:rPr>
                <w:rFonts w:cstheme="minorHAnsi"/>
                <w:sz w:val="22"/>
                <w:szCs w:val="22"/>
              </w:rPr>
              <w:t> </w:t>
            </w:r>
          </w:p>
        </w:tc>
        <w:tc>
          <w:tcPr>
            <w:tcW w:w="1336" w:type="dxa"/>
            <w:noWrap/>
            <w:hideMark/>
          </w:tcPr>
          <w:p w14:paraId="5EF409FD" w14:textId="77777777" w:rsidR="00AA2CD2" w:rsidRPr="009B06D9" w:rsidRDefault="00AA2CD2" w:rsidP="00426E53">
            <w:pPr>
              <w:pStyle w:val="ListParagraph"/>
              <w:ind w:left="0"/>
              <w:jc w:val="both"/>
              <w:rPr>
                <w:rFonts w:cstheme="minorHAnsi"/>
                <w:sz w:val="22"/>
                <w:szCs w:val="22"/>
              </w:rPr>
            </w:pPr>
            <w:r w:rsidRPr="009B06D9">
              <w:rPr>
                <w:rFonts w:cstheme="minorHAnsi"/>
                <w:sz w:val="22"/>
                <w:szCs w:val="22"/>
              </w:rPr>
              <w:t>VOCs</w:t>
            </w:r>
          </w:p>
        </w:tc>
        <w:tc>
          <w:tcPr>
            <w:tcW w:w="1994" w:type="dxa"/>
            <w:noWrap/>
            <w:hideMark/>
          </w:tcPr>
          <w:p w14:paraId="53302452" w14:textId="55D10951" w:rsidR="00AA2CD2" w:rsidRPr="009B06D9" w:rsidRDefault="00AA2CD2" w:rsidP="00AA2CD2">
            <w:pPr>
              <w:pStyle w:val="ListParagraph"/>
              <w:rPr>
                <w:rFonts w:cstheme="minorHAnsi"/>
                <w:sz w:val="22"/>
                <w:szCs w:val="22"/>
              </w:rPr>
            </w:pPr>
            <w:r w:rsidRPr="009B06D9">
              <w:rPr>
                <w:rFonts w:cstheme="minorHAnsi"/>
                <w:sz w:val="22"/>
                <w:szCs w:val="22"/>
              </w:rPr>
              <w:t xml:space="preserve">    2,368 </w:t>
            </w:r>
          </w:p>
        </w:tc>
        <w:tc>
          <w:tcPr>
            <w:tcW w:w="1800" w:type="dxa"/>
            <w:noWrap/>
            <w:hideMark/>
          </w:tcPr>
          <w:p w14:paraId="78EE4FD4" w14:textId="07D61A57" w:rsidR="00AA2CD2" w:rsidRPr="009B06D9" w:rsidRDefault="00AA2CD2" w:rsidP="00AA2CD2">
            <w:pPr>
              <w:pStyle w:val="ListParagraph"/>
              <w:rPr>
                <w:rFonts w:cstheme="minorHAnsi"/>
                <w:sz w:val="22"/>
                <w:szCs w:val="22"/>
              </w:rPr>
            </w:pPr>
            <w:r w:rsidRPr="009B06D9">
              <w:rPr>
                <w:rFonts w:cstheme="minorHAnsi"/>
                <w:sz w:val="22"/>
                <w:szCs w:val="22"/>
              </w:rPr>
              <w:t xml:space="preserve">     20 </w:t>
            </w:r>
          </w:p>
        </w:tc>
        <w:tc>
          <w:tcPr>
            <w:tcW w:w="1530" w:type="dxa"/>
            <w:noWrap/>
            <w:hideMark/>
          </w:tcPr>
          <w:p w14:paraId="69796363" w14:textId="03B83FD8" w:rsidR="00AA2CD2" w:rsidRPr="009B06D9" w:rsidRDefault="00AA2CD2" w:rsidP="00AA2CD2">
            <w:pPr>
              <w:pStyle w:val="ListParagraph"/>
              <w:rPr>
                <w:rFonts w:cstheme="minorHAnsi"/>
                <w:sz w:val="22"/>
                <w:szCs w:val="22"/>
              </w:rPr>
            </w:pPr>
            <w:r w:rsidRPr="009B06D9">
              <w:rPr>
                <w:rFonts w:cstheme="minorHAnsi"/>
                <w:sz w:val="22"/>
                <w:szCs w:val="22"/>
              </w:rPr>
              <w:t xml:space="preserve">    4 </w:t>
            </w:r>
          </w:p>
        </w:tc>
      </w:tr>
    </w:tbl>
    <w:p w14:paraId="373EC992" w14:textId="77777777" w:rsidR="00644B2B" w:rsidRDefault="00644B2B" w:rsidP="00644B2B">
      <w:pPr>
        <w:pStyle w:val="ListParagraph"/>
        <w:rPr>
          <w:rFonts w:cstheme="minorHAnsi"/>
          <w:sz w:val="22"/>
          <w:szCs w:val="22"/>
        </w:rPr>
      </w:pPr>
    </w:p>
    <w:p w14:paraId="594F1BCD" w14:textId="77777777" w:rsidR="004251EA" w:rsidRPr="009B06D9" w:rsidRDefault="004251EA" w:rsidP="00644B2B">
      <w:pPr>
        <w:pStyle w:val="ListParagraph"/>
        <w:rPr>
          <w:rFonts w:cstheme="minorHAnsi"/>
          <w:sz w:val="22"/>
          <w:szCs w:val="22"/>
        </w:rPr>
      </w:pPr>
    </w:p>
    <w:p w14:paraId="7EC7A7E6" w14:textId="6577806C" w:rsidR="00644B2B" w:rsidRPr="009B06D9" w:rsidRDefault="004C05EA" w:rsidP="00644B2B">
      <w:pPr>
        <w:rPr>
          <w:rFonts w:cstheme="minorHAnsi"/>
          <w:b/>
          <w:bCs/>
        </w:rPr>
      </w:pPr>
      <w:r w:rsidRPr="009B06D9">
        <w:rPr>
          <w:rFonts w:cstheme="minorHAnsi"/>
          <w:b/>
          <w:bCs/>
        </w:rPr>
        <w:t>Cumulative all categories (SCC) of LGE targeted for replacement through LEEP.</w:t>
      </w:r>
    </w:p>
    <w:tbl>
      <w:tblPr>
        <w:tblStyle w:val="TableGrid"/>
        <w:tblW w:w="0" w:type="auto"/>
        <w:tblLook w:val="04A0" w:firstRow="1" w:lastRow="0" w:firstColumn="1" w:lastColumn="0" w:noHBand="0" w:noVBand="1"/>
      </w:tblPr>
      <w:tblGrid>
        <w:gridCol w:w="1780"/>
        <w:gridCol w:w="1200"/>
        <w:gridCol w:w="1965"/>
        <w:gridCol w:w="1710"/>
        <w:gridCol w:w="1530"/>
      </w:tblGrid>
      <w:tr w:rsidR="004C05EA" w:rsidRPr="009B06D9" w14:paraId="74F6E87E" w14:textId="77777777" w:rsidTr="00BF1E47">
        <w:trPr>
          <w:trHeight w:val="290"/>
        </w:trPr>
        <w:tc>
          <w:tcPr>
            <w:tcW w:w="1780" w:type="dxa"/>
            <w:noWrap/>
            <w:hideMark/>
          </w:tcPr>
          <w:p w14:paraId="713CCC11" w14:textId="77777777" w:rsidR="004C05EA" w:rsidRPr="009B06D9" w:rsidRDefault="004C05EA">
            <w:pPr>
              <w:rPr>
                <w:rFonts w:cstheme="minorHAnsi"/>
                <w:b/>
                <w:bCs/>
                <w:sz w:val="22"/>
                <w:szCs w:val="22"/>
              </w:rPr>
            </w:pPr>
            <w:r w:rsidRPr="009B06D9">
              <w:rPr>
                <w:rFonts w:cstheme="minorHAnsi"/>
                <w:b/>
                <w:bCs/>
                <w:sz w:val="22"/>
                <w:szCs w:val="22"/>
              </w:rPr>
              <w:t>Cumulative</w:t>
            </w:r>
          </w:p>
        </w:tc>
        <w:tc>
          <w:tcPr>
            <w:tcW w:w="1200" w:type="dxa"/>
            <w:noWrap/>
            <w:hideMark/>
          </w:tcPr>
          <w:p w14:paraId="446DACB9" w14:textId="77777777" w:rsidR="004C05EA" w:rsidRPr="009B06D9" w:rsidRDefault="004C05EA">
            <w:pPr>
              <w:rPr>
                <w:rFonts w:cstheme="minorHAnsi"/>
                <w:sz w:val="22"/>
                <w:szCs w:val="22"/>
              </w:rPr>
            </w:pPr>
            <w:r w:rsidRPr="009B06D9">
              <w:rPr>
                <w:rFonts w:cstheme="minorHAnsi"/>
                <w:sz w:val="22"/>
                <w:szCs w:val="22"/>
              </w:rPr>
              <w:t xml:space="preserve">Pollutant </w:t>
            </w:r>
          </w:p>
        </w:tc>
        <w:tc>
          <w:tcPr>
            <w:tcW w:w="1965" w:type="dxa"/>
            <w:noWrap/>
            <w:hideMark/>
          </w:tcPr>
          <w:p w14:paraId="3E881B7C" w14:textId="77777777" w:rsidR="004C05EA" w:rsidRPr="009B06D9" w:rsidRDefault="004C05EA">
            <w:pPr>
              <w:rPr>
                <w:rFonts w:cstheme="minorHAnsi"/>
                <w:sz w:val="22"/>
                <w:szCs w:val="22"/>
              </w:rPr>
            </w:pPr>
            <w:r w:rsidRPr="009B06D9">
              <w:rPr>
                <w:rFonts w:cstheme="minorHAnsi"/>
                <w:sz w:val="22"/>
                <w:szCs w:val="22"/>
              </w:rPr>
              <w:t>Baseline 2020 tons</w:t>
            </w:r>
          </w:p>
        </w:tc>
        <w:tc>
          <w:tcPr>
            <w:tcW w:w="1710" w:type="dxa"/>
            <w:noWrap/>
            <w:hideMark/>
          </w:tcPr>
          <w:p w14:paraId="06933B91" w14:textId="77777777" w:rsidR="004C05EA" w:rsidRPr="009B06D9" w:rsidRDefault="004C05EA">
            <w:pPr>
              <w:rPr>
                <w:rFonts w:cstheme="minorHAnsi"/>
                <w:sz w:val="22"/>
                <w:szCs w:val="22"/>
              </w:rPr>
            </w:pPr>
            <w:r w:rsidRPr="009B06D9">
              <w:rPr>
                <w:rFonts w:cstheme="minorHAnsi"/>
                <w:sz w:val="22"/>
                <w:szCs w:val="22"/>
              </w:rPr>
              <w:t>Cumulative tons</w:t>
            </w:r>
          </w:p>
        </w:tc>
        <w:tc>
          <w:tcPr>
            <w:tcW w:w="1530" w:type="dxa"/>
            <w:noWrap/>
            <w:hideMark/>
          </w:tcPr>
          <w:p w14:paraId="5960E325" w14:textId="77777777" w:rsidR="004C05EA" w:rsidRPr="009B06D9" w:rsidRDefault="004C05EA">
            <w:pPr>
              <w:rPr>
                <w:rFonts w:cstheme="minorHAnsi"/>
                <w:sz w:val="22"/>
                <w:szCs w:val="22"/>
              </w:rPr>
            </w:pPr>
            <w:r w:rsidRPr="009B06D9">
              <w:rPr>
                <w:rFonts w:cstheme="minorHAnsi"/>
                <w:sz w:val="22"/>
                <w:szCs w:val="22"/>
              </w:rPr>
              <w:t>Annual tons</w:t>
            </w:r>
          </w:p>
        </w:tc>
      </w:tr>
      <w:tr w:rsidR="004C05EA" w:rsidRPr="009B06D9" w14:paraId="61283BD2" w14:textId="77777777" w:rsidTr="00BF1E47">
        <w:trPr>
          <w:trHeight w:val="290"/>
        </w:trPr>
        <w:tc>
          <w:tcPr>
            <w:tcW w:w="1780" w:type="dxa"/>
            <w:noWrap/>
            <w:hideMark/>
          </w:tcPr>
          <w:p w14:paraId="3F4212C0" w14:textId="77777777" w:rsidR="004C05EA" w:rsidRPr="009B06D9" w:rsidRDefault="004C05EA">
            <w:pPr>
              <w:rPr>
                <w:rFonts w:cstheme="minorHAnsi"/>
                <w:sz w:val="22"/>
                <w:szCs w:val="22"/>
              </w:rPr>
            </w:pPr>
            <w:r w:rsidRPr="009B06D9">
              <w:rPr>
                <w:rFonts w:cstheme="minorHAnsi"/>
                <w:sz w:val="22"/>
                <w:szCs w:val="22"/>
              </w:rPr>
              <w:t> </w:t>
            </w:r>
          </w:p>
        </w:tc>
        <w:tc>
          <w:tcPr>
            <w:tcW w:w="1200" w:type="dxa"/>
            <w:noWrap/>
            <w:hideMark/>
          </w:tcPr>
          <w:p w14:paraId="64D615A8" w14:textId="77777777" w:rsidR="004C05EA" w:rsidRPr="009B06D9" w:rsidRDefault="004C05EA">
            <w:pPr>
              <w:rPr>
                <w:rFonts w:cstheme="minorHAnsi"/>
                <w:sz w:val="22"/>
                <w:szCs w:val="22"/>
              </w:rPr>
            </w:pPr>
            <w:r w:rsidRPr="009B06D9">
              <w:rPr>
                <w:rFonts w:cstheme="minorHAnsi"/>
                <w:sz w:val="22"/>
                <w:szCs w:val="22"/>
              </w:rPr>
              <w:t>CO2</w:t>
            </w:r>
          </w:p>
        </w:tc>
        <w:tc>
          <w:tcPr>
            <w:tcW w:w="1965" w:type="dxa"/>
            <w:noWrap/>
            <w:hideMark/>
          </w:tcPr>
          <w:p w14:paraId="0409B9EF" w14:textId="6CD35EE1" w:rsidR="004C05EA" w:rsidRPr="009B06D9" w:rsidRDefault="004C05EA" w:rsidP="004C05EA">
            <w:pPr>
              <w:jc w:val="right"/>
              <w:rPr>
                <w:rFonts w:cstheme="minorHAnsi"/>
                <w:sz w:val="22"/>
                <w:szCs w:val="22"/>
              </w:rPr>
            </w:pPr>
            <w:r w:rsidRPr="009B06D9">
              <w:rPr>
                <w:rFonts w:cstheme="minorHAnsi"/>
                <w:sz w:val="22"/>
                <w:szCs w:val="22"/>
              </w:rPr>
              <w:t xml:space="preserve">          731,540 </w:t>
            </w:r>
          </w:p>
        </w:tc>
        <w:tc>
          <w:tcPr>
            <w:tcW w:w="1710" w:type="dxa"/>
            <w:noWrap/>
            <w:hideMark/>
          </w:tcPr>
          <w:p w14:paraId="042EA885" w14:textId="768D593A" w:rsidR="004C05EA" w:rsidRPr="009B06D9" w:rsidRDefault="004C05EA" w:rsidP="004C05EA">
            <w:pPr>
              <w:jc w:val="right"/>
              <w:rPr>
                <w:rFonts w:cstheme="minorHAnsi"/>
                <w:sz w:val="22"/>
                <w:szCs w:val="22"/>
              </w:rPr>
            </w:pPr>
            <w:r w:rsidRPr="009B06D9">
              <w:rPr>
                <w:rFonts w:cstheme="minorHAnsi"/>
                <w:sz w:val="22"/>
                <w:szCs w:val="22"/>
              </w:rPr>
              <w:t xml:space="preserve">      10,730 </w:t>
            </w:r>
          </w:p>
        </w:tc>
        <w:tc>
          <w:tcPr>
            <w:tcW w:w="1530" w:type="dxa"/>
            <w:noWrap/>
            <w:hideMark/>
          </w:tcPr>
          <w:p w14:paraId="0D03AD9E" w14:textId="429E8C5D" w:rsidR="004C05EA" w:rsidRPr="009B06D9" w:rsidRDefault="004C05EA" w:rsidP="004C05EA">
            <w:pPr>
              <w:jc w:val="right"/>
              <w:rPr>
                <w:rFonts w:cstheme="minorHAnsi"/>
                <w:sz w:val="22"/>
                <w:szCs w:val="22"/>
              </w:rPr>
            </w:pPr>
            <w:r w:rsidRPr="009B06D9">
              <w:rPr>
                <w:rFonts w:cstheme="minorHAnsi"/>
                <w:sz w:val="22"/>
                <w:szCs w:val="22"/>
              </w:rPr>
              <w:t xml:space="preserve">        2,146 </w:t>
            </w:r>
          </w:p>
        </w:tc>
      </w:tr>
      <w:tr w:rsidR="004C05EA" w:rsidRPr="009B06D9" w14:paraId="69423322" w14:textId="77777777" w:rsidTr="00BF1E47">
        <w:trPr>
          <w:trHeight w:val="290"/>
        </w:trPr>
        <w:tc>
          <w:tcPr>
            <w:tcW w:w="1780" w:type="dxa"/>
            <w:noWrap/>
            <w:hideMark/>
          </w:tcPr>
          <w:p w14:paraId="5F8BD4AF" w14:textId="77777777" w:rsidR="004C05EA" w:rsidRPr="009B06D9" w:rsidRDefault="004C05EA">
            <w:pPr>
              <w:rPr>
                <w:rFonts w:cstheme="minorHAnsi"/>
                <w:sz w:val="22"/>
                <w:szCs w:val="22"/>
              </w:rPr>
            </w:pPr>
            <w:r w:rsidRPr="009B06D9">
              <w:rPr>
                <w:rFonts w:cstheme="minorHAnsi"/>
                <w:sz w:val="22"/>
                <w:szCs w:val="22"/>
              </w:rPr>
              <w:t> </w:t>
            </w:r>
          </w:p>
        </w:tc>
        <w:tc>
          <w:tcPr>
            <w:tcW w:w="1200" w:type="dxa"/>
            <w:noWrap/>
            <w:hideMark/>
          </w:tcPr>
          <w:p w14:paraId="126B1EE9" w14:textId="7421DD77" w:rsidR="004C05EA" w:rsidRPr="009B06D9" w:rsidRDefault="004C05EA">
            <w:pPr>
              <w:rPr>
                <w:rFonts w:cstheme="minorHAnsi"/>
                <w:sz w:val="22"/>
                <w:szCs w:val="22"/>
              </w:rPr>
            </w:pPr>
            <w:r w:rsidRPr="009B06D9">
              <w:rPr>
                <w:rFonts w:cstheme="minorHAnsi"/>
                <w:sz w:val="22"/>
                <w:szCs w:val="22"/>
              </w:rPr>
              <w:t>NOx</w:t>
            </w:r>
          </w:p>
        </w:tc>
        <w:tc>
          <w:tcPr>
            <w:tcW w:w="1965" w:type="dxa"/>
            <w:noWrap/>
            <w:hideMark/>
          </w:tcPr>
          <w:p w14:paraId="328D8240" w14:textId="3ADBE74D" w:rsidR="004C05EA" w:rsidRPr="009B06D9" w:rsidRDefault="004C05EA" w:rsidP="004C05EA">
            <w:pPr>
              <w:jc w:val="right"/>
              <w:rPr>
                <w:rFonts w:cstheme="minorHAnsi"/>
                <w:sz w:val="22"/>
                <w:szCs w:val="22"/>
              </w:rPr>
            </w:pPr>
            <w:r w:rsidRPr="009B06D9">
              <w:rPr>
                <w:rFonts w:cstheme="minorHAnsi"/>
                <w:sz w:val="22"/>
                <w:szCs w:val="22"/>
              </w:rPr>
              <w:t xml:space="preserve">              1,710 </w:t>
            </w:r>
          </w:p>
        </w:tc>
        <w:tc>
          <w:tcPr>
            <w:tcW w:w="1710" w:type="dxa"/>
            <w:noWrap/>
            <w:hideMark/>
          </w:tcPr>
          <w:p w14:paraId="79CA8E2A" w14:textId="11BBECCA" w:rsidR="004C05EA" w:rsidRPr="009B06D9" w:rsidRDefault="004C05EA" w:rsidP="004C05EA">
            <w:pPr>
              <w:jc w:val="right"/>
              <w:rPr>
                <w:rFonts w:cstheme="minorHAnsi"/>
                <w:sz w:val="22"/>
                <w:szCs w:val="22"/>
              </w:rPr>
            </w:pPr>
            <w:r w:rsidRPr="009B06D9">
              <w:rPr>
                <w:rFonts w:cstheme="minorHAnsi"/>
                <w:sz w:val="22"/>
                <w:szCs w:val="22"/>
              </w:rPr>
              <w:t xml:space="preserve">              24 </w:t>
            </w:r>
          </w:p>
        </w:tc>
        <w:tc>
          <w:tcPr>
            <w:tcW w:w="1530" w:type="dxa"/>
            <w:noWrap/>
            <w:hideMark/>
          </w:tcPr>
          <w:p w14:paraId="6ABCD4F2" w14:textId="4079978C" w:rsidR="004C05EA" w:rsidRPr="009B06D9" w:rsidRDefault="004C05EA" w:rsidP="004C05EA">
            <w:pPr>
              <w:jc w:val="right"/>
              <w:rPr>
                <w:rFonts w:cstheme="minorHAnsi"/>
                <w:sz w:val="22"/>
                <w:szCs w:val="22"/>
              </w:rPr>
            </w:pPr>
            <w:r w:rsidRPr="009B06D9">
              <w:rPr>
                <w:rFonts w:cstheme="minorHAnsi"/>
                <w:sz w:val="22"/>
                <w:szCs w:val="22"/>
              </w:rPr>
              <w:t xml:space="preserve">               5 </w:t>
            </w:r>
          </w:p>
        </w:tc>
      </w:tr>
      <w:tr w:rsidR="004C05EA" w:rsidRPr="009B06D9" w14:paraId="0EC847EE" w14:textId="77777777" w:rsidTr="00BF1E47">
        <w:trPr>
          <w:trHeight w:val="300"/>
        </w:trPr>
        <w:tc>
          <w:tcPr>
            <w:tcW w:w="1780" w:type="dxa"/>
            <w:noWrap/>
            <w:hideMark/>
          </w:tcPr>
          <w:p w14:paraId="2BB09CC8" w14:textId="77777777" w:rsidR="004C05EA" w:rsidRPr="009B06D9" w:rsidRDefault="004C05EA">
            <w:pPr>
              <w:rPr>
                <w:rFonts w:cstheme="minorHAnsi"/>
                <w:sz w:val="22"/>
                <w:szCs w:val="22"/>
              </w:rPr>
            </w:pPr>
            <w:r w:rsidRPr="009B06D9">
              <w:rPr>
                <w:rFonts w:cstheme="minorHAnsi"/>
                <w:sz w:val="22"/>
                <w:szCs w:val="22"/>
              </w:rPr>
              <w:t> </w:t>
            </w:r>
          </w:p>
        </w:tc>
        <w:tc>
          <w:tcPr>
            <w:tcW w:w="1200" w:type="dxa"/>
            <w:noWrap/>
            <w:hideMark/>
          </w:tcPr>
          <w:p w14:paraId="317B810B" w14:textId="77777777" w:rsidR="004C05EA" w:rsidRPr="009B06D9" w:rsidRDefault="004C05EA">
            <w:pPr>
              <w:rPr>
                <w:rFonts w:cstheme="minorHAnsi"/>
                <w:sz w:val="22"/>
                <w:szCs w:val="22"/>
              </w:rPr>
            </w:pPr>
            <w:r w:rsidRPr="009B06D9">
              <w:rPr>
                <w:rFonts w:cstheme="minorHAnsi"/>
                <w:sz w:val="22"/>
                <w:szCs w:val="22"/>
              </w:rPr>
              <w:t>VOCs</w:t>
            </w:r>
          </w:p>
        </w:tc>
        <w:tc>
          <w:tcPr>
            <w:tcW w:w="1965" w:type="dxa"/>
            <w:noWrap/>
            <w:hideMark/>
          </w:tcPr>
          <w:p w14:paraId="6A125B69" w14:textId="08637D22" w:rsidR="004C05EA" w:rsidRPr="009B06D9" w:rsidRDefault="004C05EA" w:rsidP="004C05EA">
            <w:pPr>
              <w:jc w:val="right"/>
              <w:rPr>
                <w:rFonts w:cstheme="minorHAnsi"/>
                <w:sz w:val="22"/>
                <w:szCs w:val="22"/>
              </w:rPr>
            </w:pPr>
            <w:r w:rsidRPr="009B06D9">
              <w:rPr>
                <w:rFonts w:cstheme="minorHAnsi"/>
                <w:sz w:val="22"/>
                <w:szCs w:val="22"/>
              </w:rPr>
              <w:t xml:space="preserve">              8,920 </w:t>
            </w:r>
          </w:p>
        </w:tc>
        <w:tc>
          <w:tcPr>
            <w:tcW w:w="1710" w:type="dxa"/>
            <w:noWrap/>
            <w:hideMark/>
          </w:tcPr>
          <w:p w14:paraId="5D49B1DF" w14:textId="22786F7D" w:rsidR="004C05EA" w:rsidRPr="009B06D9" w:rsidRDefault="004C05EA" w:rsidP="004C05EA">
            <w:pPr>
              <w:jc w:val="right"/>
              <w:rPr>
                <w:rFonts w:cstheme="minorHAnsi"/>
                <w:sz w:val="22"/>
                <w:szCs w:val="22"/>
              </w:rPr>
            </w:pPr>
            <w:r w:rsidRPr="009B06D9">
              <w:rPr>
                <w:rFonts w:cstheme="minorHAnsi"/>
                <w:sz w:val="22"/>
                <w:szCs w:val="22"/>
              </w:rPr>
              <w:t xml:space="preserve">           190 </w:t>
            </w:r>
          </w:p>
        </w:tc>
        <w:tc>
          <w:tcPr>
            <w:tcW w:w="1530" w:type="dxa"/>
            <w:noWrap/>
            <w:hideMark/>
          </w:tcPr>
          <w:p w14:paraId="6F3992F9" w14:textId="210E52C5" w:rsidR="004C05EA" w:rsidRPr="009B06D9" w:rsidRDefault="004C05EA" w:rsidP="004C05EA">
            <w:pPr>
              <w:jc w:val="right"/>
              <w:rPr>
                <w:rFonts w:cstheme="minorHAnsi"/>
                <w:sz w:val="22"/>
                <w:szCs w:val="22"/>
              </w:rPr>
            </w:pPr>
            <w:r w:rsidRPr="009B06D9">
              <w:rPr>
                <w:rFonts w:cstheme="minorHAnsi"/>
                <w:sz w:val="22"/>
                <w:szCs w:val="22"/>
              </w:rPr>
              <w:t xml:space="preserve">             38 </w:t>
            </w:r>
          </w:p>
        </w:tc>
      </w:tr>
    </w:tbl>
    <w:p w14:paraId="0D9E230D" w14:textId="77777777" w:rsidR="004C05EA" w:rsidRPr="009B06D9" w:rsidRDefault="004C05EA" w:rsidP="00644B2B">
      <w:pPr>
        <w:rPr>
          <w:rFonts w:cstheme="minorHAnsi"/>
        </w:rPr>
      </w:pPr>
    </w:p>
    <w:tbl>
      <w:tblPr>
        <w:tblStyle w:val="TableGrid"/>
        <w:tblW w:w="0" w:type="auto"/>
        <w:tblLook w:val="04A0" w:firstRow="1" w:lastRow="0" w:firstColumn="1" w:lastColumn="0" w:noHBand="0" w:noVBand="1"/>
      </w:tblPr>
      <w:tblGrid>
        <w:gridCol w:w="1795"/>
        <w:gridCol w:w="1170"/>
        <w:gridCol w:w="1980"/>
        <w:gridCol w:w="1710"/>
        <w:gridCol w:w="1530"/>
      </w:tblGrid>
      <w:tr w:rsidR="00426E53" w:rsidRPr="009B06D9" w14:paraId="7D0DF263" w14:textId="77777777" w:rsidTr="00426E53">
        <w:trPr>
          <w:trHeight w:val="290"/>
        </w:trPr>
        <w:tc>
          <w:tcPr>
            <w:tcW w:w="1795" w:type="dxa"/>
            <w:noWrap/>
            <w:hideMark/>
          </w:tcPr>
          <w:p w14:paraId="786FC26A" w14:textId="77777777" w:rsidR="004C05EA" w:rsidRPr="009B06D9" w:rsidRDefault="004C05EA">
            <w:pPr>
              <w:rPr>
                <w:rFonts w:cstheme="minorHAnsi"/>
                <w:b/>
                <w:bCs/>
                <w:sz w:val="22"/>
                <w:szCs w:val="22"/>
              </w:rPr>
            </w:pPr>
            <w:r w:rsidRPr="009B06D9">
              <w:rPr>
                <w:rFonts w:cstheme="minorHAnsi"/>
                <w:b/>
                <w:bCs/>
                <w:sz w:val="22"/>
                <w:szCs w:val="22"/>
              </w:rPr>
              <w:t>Cumulative</w:t>
            </w:r>
          </w:p>
        </w:tc>
        <w:tc>
          <w:tcPr>
            <w:tcW w:w="1170" w:type="dxa"/>
            <w:noWrap/>
            <w:hideMark/>
          </w:tcPr>
          <w:p w14:paraId="728249D3" w14:textId="77777777" w:rsidR="004C05EA" w:rsidRPr="009B06D9" w:rsidRDefault="004C05EA">
            <w:pPr>
              <w:rPr>
                <w:rFonts w:cstheme="minorHAnsi"/>
                <w:b/>
                <w:bCs/>
                <w:sz w:val="22"/>
                <w:szCs w:val="22"/>
              </w:rPr>
            </w:pPr>
            <w:r w:rsidRPr="009B06D9">
              <w:rPr>
                <w:rFonts w:cstheme="minorHAnsi"/>
                <w:b/>
                <w:bCs/>
                <w:sz w:val="22"/>
                <w:szCs w:val="22"/>
              </w:rPr>
              <w:t xml:space="preserve">Pollutant </w:t>
            </w:r>
          </w:p>
        </w:tc>
        <w:tc>
          <w:tcPr>
            <w:tcW w:w="1980" w:type="dxa"/>
            <w:noWrap/>
            <w:hideMark/>
          </w:tcPr>
          <w:p w14:paraId="0B572475" w14:textId="77777777" w:rsidR="004C05EA" w:rsidRPr="009B06D9" w:rsidRDefault="004C05EA">
            <w:pPr>
              <w:rPr>
                <w:rFonts w:cstheme="minorHAnsi"/>
                <w:b/>
                <w:bCs/>
                <w:sz w:val="22"/>
                <w:szCs w:val="22"/>
              </w:rPr>
            </w:pPr>
            <w:r w:rsidRPr="009B06D9">
              <w:rPr>
                <w:rFonts w:cstheme="minorHAnsi"/>
                <w:b/>
                <w:bCs/>
                <w:sz w:val="22"/>
                <w:szCs w:val="22"/>
              </w:rPr>
              <w:t>Baseline 2020 metric tons</w:t>
            </w:r>
          </w:p>
        </w:tc>
        <w:tc>
          <w:tcPr>
            <w:tcW w:w="1710" w:type="dxa"/>
            <w:noWrap/>
            <w:hideMark/>
          </w:tcPr>
          <w:p w14:paraId="291E5946" w14:textId="6549B7AF" w:rsidR="004C05EA" w:rsidRPr="009B06D9" w:rsidRDefault="004C05EA">
            <w:pPr>
              <w:rPr>
                <w:rFonts w:cstheme="minorHAnsi"/>
                <w:b/>
                <w:bCs/>
                <w:sz w:val="22"/>
                <w:szCs w:val="22"/>
              </w:rPr>
            </w:pPr>
            <w:r w:rsidRPr="009B06D9">
              <w:rPr>
                <w:rFonts w:cstheme="minorHAnsi"/>
                <w:b/>
                <w:bCs/>
                <w:sz w:val="22"/>
                <w:szCs w:val="22"/>
              </w:rPr>
              <w:t>Cumulative metric tons</w:t>
            </w:r>
          </w:p>
        </w:tc>
        <w:tc>
          <w:tcPr>
            <w:tcW w:w="1530" w:type="dxa"/>
            <w:noWrap/>
            <w:hideMark/>
          </w:tcPr>
          <w:p w14:paraId="0C5391D3" w14:textId="77777777" w:rsidR="004C05EA" w:rsidRPr="009B06D9" w:rsidRDefault="004C05EA">
            <w:pPr>
              <w:rPr>
                <w:rFonts w:cstheme="minorHAnsi"/>
                <w:b/>
                <w:bCs/>
                <w:sz w:val="22"/>
                <w:szCs w:val="22"/>
              </w:rPr>
            </w:pPr>
            <w:r w:rsidRPr="009B06D9">
              <w:rPr>
                <w:rFonts w:cstheme="minorHAnsi"/>
                <w:b/>
                <w:bCs/>
                <w:sz w:val="22"/>
                <w:szCs w:val="22"/>
              </w:rPr>
              <w:t>Annual metric tons</w:t>
            </w:r>
          </w:p>
        </w:tc>
      </w:tr>
      <w:tr w:rsidR="00426E53" w:rsidRPr="009B06D9" w14:paraId="5DD92836" w14:textId="77777777" w:rsidTr="00426E53">
        <w:trPr>
          <w:trHeight w:val="290"/>
        </w:trPr>
        <w:tc>
          <w:tcPr>
            <w:tcW w:w="1795" w:type="dxa"/>
            <w:noWrap/>
            <w:hideMark/>
          </w:tcPr>
          <w:p w14:paraId="1B18BCA6" w14:textId="77777777" w:rsidR="004C05EA" w:rsidRPr="009B06D9" w:rsidRDefault="004C05EA">
            <w:pPr>
              <w:rPr>
                <w:rFonts w:cstheme="minorHAnsi"/>
                <w:b/>
                <w:bCs/>
                <w:sz w:val="22"/>
                <w:szCs w:val="22"/>
              </w:rPr>
            </w:pPr>
            <w:r w:rsidRPr="009B06D9">
              <w:rPr>
                <w:rFonts w:cstheme="minorHAnsi"/>
                <w:b/>
                <w:bCs/>
                <w:sz w:val="22"/>
                <w:szCs w:val="22"/>
              </w:rPr>
              <w:t> </w:t>
            </w:r>
          </w:p>
        </w:tc>
        <w:tc>
          <w:tcPr>
            <w:tcW w:w="1170" w:type="dxa"/>
            <w:noWrap/>
            <w:hideMark/>
          </w:tcPr>
          <w:p w14:paraId="1F09E960" w14:textId="77777777" w:rsidR="004C05EA" w:rsidRPr="009B06D9" w:rsidRDefault="004C05EA">
            <w:pPr>
              <w:rPr>
                <w:rFonts w:cstheme="minorHAnsi"/>
                <w:b/>
                <w:bCs/>
                <w:sz w:val="22"/>
                <w:szCs w:val="22"/>
              </w:rPr>
            </w:pPr>
            <w:r w:rsidRPr="009B06D9">
              <w:rPr>
                <w:rFonts w:cstheme="minorHAnsi"/>
                <w:b/>
                <w:bCs/>
                <w:sz w:val="22"/>
                <w:szCs w:val="22"/>
              </w:rPr>
              <w:t>CO2</w:t>
            </w:r>
          </w:p>
        </w:tc>
        <w:tc>
          <w:tcPr>
            <w:tcW w:w="1980" w:type="dxa"/>
            <w:noWrap/>
            <w:hideMark/>
          </w:tcPr>
          <w:p w14:paraId="5A4ABCC6" w14:textId="44D3BF5F" w:rsidR="004C05EA" w:rsidRPr="009B06D9" w:rsidRDefault="004C05EA" w:rsidP="004C05EA">
            <w:pPr>
              <w:jc w:val="right"/>
              <w:rPr>
                <w:rFonts w:cstheme="minorHAnsi"/>
                <w:b/>
                <w:bCs/>
                <w:sz w:val="22"/>
                <w:szCs w:val="22"/>
              </w:rPr>
            </w:pPr>
            <w:r w:rsidRPr="009B06D9">
              <w:rPr>
                <w:rFonts w:cstheme="minorHAnsi"/>
                <w:b/>
                <w:bCs/>
                <w:sz w:val="22"/>
                <w:szCs w:val="22"/>
              </w:rPr>
              <w:t xml:space="preserve">         663,643 </w:t>
            </w:r>
          </w:p>
        </w:tc>
        <w:tc>
          <w:tcPr>
            <w:tcW w:w="1710" w:type="dxa"/>
            <w:noWrap/>
            <w:hideMark/>
          </w:tcPr>
          <w:p w14:paraId="0038DAEA" w14:textId="0A6189EA" w:rsidR="004C05EA" w:rsidRPr="009B06D9" w:rsidRDefault="004C05EA" w:rsidP="004C05EA">
            <w:pPr>
              <w:jc w:val="right"/>
              <w:rPr>
                <w:rFonts w:cstheme="minorHAnsi"/>
                <w:b/>
                <w:bCs/>
                <w:sz w:val="22"/>
                <w:szCs w:val="22"/>
              </w:rPr>
            </w:pPr>
            <w:r w:rsidRPr="009B06D9">
              <w:rPr>
                <w:rFonts w:cstheme="minorHAnsi"/>
                <w:b/>
                <w:bCs/>
                <w:sz w:val="22"/>
                <w:szCs w:val="22"/>
              </w:rPr>
              <w:t xml:space="preserve">          9,734 </w:t>
            </w:r>
          </w:p>
        </w:tc>
        <w:tc>
          <w:tcPr>
            <w:tcW w:w="1530" w:type="dxa"/>
            <w:noWrap/>
            <w:hideMark/>
          </w:tcPr>
          <w:p w14:paraId="2032F476" w14:textId="71E3B05F" w:rsidR="004C05EA" w:rsidRPr="009B06D9" w:rsidRDefault="004C05EA" w:rsidP="004C05EA">
            <w:pPr>
              <w:jc w:val="right"/>
              <w:rPr>
                <w:rFonts w:cstheme="minorHAnsi"/>
                <w:b/>
                <w:bCs/>
                <w:sz w:val="22"/>
                <w:szCs w:val="22"/>
              </w:rPr>
            </w:pPr>
            <w:r w:rsidRPr="009B06D9">
              <w:rPr>
                <w:rFonts w:cstheme="minorHAnsi"/>
                <w:b/>
                <w:bCs/>
                <w:sz w:val="22"/>
                <w:szCs w:val="22"/>
              </w:rPr>
              <w:t xml:space="preserve">         1,947 </w:t>
            </w:r>
          </w:p>
        </w:tc>
      </w:tr>
      <w:tr w:rsidR="00426E53" w:rsidRPr="009B06D9" w14:paraId="3785EAF8" w14:textId="77777777" w:rsidTr="00426E53">
        <w:trPr>
          <w:trHeight w:val="290"/>
        </w:trPr>
        <w:tc>
          <w:tcPr>
            <w:tcW w:w="1795" w:type="dxa"/>
            <w:noWrap/>
            <w:hideMark/>
          </w:tcPr>
          <w:p w14:paraId="6EE88392" w14:textId="77777777" w:rsidR="004C05EA" w:rsidRPr="009B06D9" w:rsidRDefault="004C05EA">
            <w:pPr>
              <w:rPr>
                <w:rFonts w:cstheme="minorHAnsi"/>
                <w:b/>
                <w:bCs/>
                <w:sz w:val="22"/>
                <w:szCs w:val="22"/>
              </w:rPr>
            </w:pPr>
            <w:r w:rsidRPr="009B06D9">
              <w:rPr>
                <w:rFonts w:cstheme="minorHAnsi"/>
                <w:b/>
                <w:bCs/>
                <w:sz w:val="22"/>
                <w:szCs w:val="22"/>
              </w:rPr>
              <w:t> </w:t>
            </w:r>
          </w:p>
        </w:tc>
        <w:tc>
          <w:tcPr>
            <w:tcW w:w="1170" w:type="dxa"/>
            <w:noWrap/>
            <w:hideMark/>
          </w:tcPr>
          <w:p w14:paraId="690C5DB7" w14:textId="43E91BCF" w:rsidR="004C05EA" w:rsidRPr="009B06D9" w:rsidRDefault="004C05EA">
            <w:pPr>
              <w:rPr>
                <w:rFonts w:cstheme="minorHAnsi"/>
                <w:b/>
                <w:bCs/>
                <w:sz w:val="22"/>
                <w:szCs w:val="22"/>
              </w:rPr>
            </w:pPr>
            <w:r w:rsidRPr="009B06D9">
              <w:rPr>
                <w:rFonts w:cstheme="minorHAnsi"/>
                <w:b/>
                <w:bCs/>
                <w:sz w:val="22"/>
                <w:szCs w:val="22"/>
              </w:rPr>
              <w:t>NOx</w:t>
            </w:r>
          </w:p>
        </w:tc>
        <w:tc>
          <w:tcPr>
            <w:tcW w:w="1980" w:type="dxa"/>
            <w:noWrap/>
            <w:hideMark/>
          </w:tcPr>
          <w:p w14:paraId="1A74220E" w14:textId="52D583CC" w:rsidR="004C05EA" w:rsidRPr="009B06D9" w:rsidRDefault="004C05EA" w:rsidP="004C05EA">
            <w:pPr>
              <w:jc w:val="right"/>
              <w:rPr>
                <w:rFonts w:cstheme="minorHAnsi"/>
                <w:b/>
                <w:bCs/>
                <w:sz w:val="22"/>
                <w:szCs w:val="22"/>
              </w:rPr>
            </w:pPr>
            <w:r w:rsidRPr="009B06D9">
              <w:rPr>
                <w:rFonts w:cstheme="minorHAnsi"/>
                <w:b/>
                <w:bCs/>
                <w:sz w:val="22"/>
                <w:szCs w:val="22"/>
              </w:rPr>
              <w:t xml:space="preserve">              1,551 </w:t>
            </w:r>
          </w:p>
        </w:tc>
        <w:tc>
          <w:tcPr>
            <w:tcW w:w="1710" w:type="dxa"/>
            <w:noWrap/>
            <w:hideMark/>
          </w:tcPr>
          <w:p w14:paraId="744B2E20" w14:textId="54E34E0F" w:rsidR="004C05EA" w:rsidRPr="009B06D9" w:rsidRDefault="004C05EA" w:rsidP="004C05EA">
            <w:pPr>
              <w:jc w:val="right"/>
              <w:rPr>
                <w:rFonts w:cstheme="minorHAnsi"/>
                <w:b/>
                <w:bCs/>
                <w:sz w:val="22"/>
                <w:szCs w:val="22"/>
              </w:rPr>
            </w:pPr>
            <w:r w:rsidRPr="009B06D9">
              <w:rPr>
                <w:rFonts w:cstheme="minorHAnsi"/>
                <w:b/>
                <w:bCs/>
                <w:sz w:val="22"/>
                <w:szCs w:val="22"/>
              </w:rPr>
              <w:t xml:space="preserve">               21 </w:t>
            </w:r>
          </w:p>
        </w:tc>
        <w:tc>
          <w:tcPr>
            <w:tcW w:w="1530" w:type="dxa"/>
            <w:noWrap/>
            <w:hideMark/>
          </w:tcPr>
          <w:p w14:paraId="033586ED" w14:textId="58D93EB7" w:rsidR="004C05EA" w:rsidRPr="009B06D9" w:rsidRDefault="004C05EA" w:rsidP="004C05EA">
            <w:pPr>
              <w:jc w:val="right"/>
              <w:rPr>
                <w:rFonts w:cstheme="minorHAnsi"/>
                <w:b/>
                <w:bCs/>
                <w:sz w:val="22"/>
                <w:szCs w:val="22"/>
              </w:rPr>
            </w:pPr>
            <w:r w:rsidRPr="009B06D9">
              <w:rPr>
                <w:rFonts w:cstheme="minorHAnsi"/>
                <w:b/>
                <w:bCs/>
                <w:sz w:val="22"/>
                <w:szCs w:val="22"/>
              </w:rPr>
              <w:t xml:space="preserve">                 4 </w:t>
            </w:r>
          </w:p>
        </w:tc>
      </w:tr>
      <w:tr w:rsidR="00426E53" w:rsidRPr="009B06D9" w14:paraId="4ACB9EE5" w14:textId="77777777" w:rsidTr="00426E53">
        <w:trPr>
          <w:trHeight w:val="300"/>
        </w:trPr>
        <w:tc>
          <w:tcPr>
            <w:tcW w:w="1795" w:type="dxa"/>
            <w:noWrap/>
            <w:hideMark/>
          </w:tcPr>
          <w:p w14:paraId="279400C4" w14:textId="77777777" w:rsidR="004C05EA" w:rsidRPr="009B06D9" w:rsidRDefault="004C05EA">
            <w:pPr>
              <w:rPr>
                <w:rFonts w:cstheme="minorHAnsi"/>
                <w:b/>
                <w:bCs/>
                <w:sz w:val="22"/>
                <w:szCs w:val="22"/>
              </w:rPr>
            </w:pPr>
            <w:r w:rsidRPr="009B06D9">
              <w:rPr>
                <w:rFonts w:cstheme="minorHAnsi"/>
                <w:b/>
                <w:bCs/>
                <w:sz w:val="22"/>
                <w:szCs w:val="22"/>
              </w:rPr>
              <w:t> </w:t>
            </w:r>
          </w:p>
        </w:tc>
        <w:tc>
          <w:tcPr>
            <w:tcW w:w="1170" w:type="dxa"/>
            <w:noWrap/>
            <w:hideMark/>
          </w:tcPr>
          <w:p w14:paraId="73EE336B" w14:textId="77777777" w:rsidR="004C05EA" w:rsidRPr="009B06D9" w:rsidRDefault="004C05EA">
            <w:pPr>
              <w:rPr>
                <w:rFonts w:cstheme="minorHAnsi"/>
                <w:b/>
                <w:bCs/>
                <w:sz w:val="22"/>
                <w:szCs w:val="22"/>
              </w:rPr>
            </w:pPr>
            <w:r w:rsidRPr="009B06D9">
              <w:rPr>
                <w:rFonts w:cstheme="minorHAnsi"/>
                <w:b/>
                <w:bCs/>
                <w:sz w:val="22"/>
                <w:szCs w:val="22"/>
              </w:rPr>
              <w:t>VOCs</w:t>
            </w:r>
          </w:p>
        </w:tc>
        <w:tc>
          <w:tcPr>
            <w:tcW w:w="1980" w:type="dxa"/>
            <w:noWrap/>
            <w:hideMark/>
          </w:tcPr>
          <w:p w14:paraId="1437965F" w14:textId="5AA71543" w:rsidR="004C05EA" w:rsidRPr="009B06D9" w:rsidRDefault="004C05EA" w:rsidP="004C05EA">
            <w:pPr>
              <w:jc w:val="right"/>
              <w:rPr>
                <w:rFonts w:cstheme="minorHAnsi"/>
                <w:b/>
                <w:bCs/>
                <w:sz w:val="22"/>
                <w:szCs w:val="22"/>
              </w:rPr>
            </w:pPr>
            <w:r w:rsidRPr="009B06D9">
              <w:rPr>
                <w:rFonts w:cstheme="minorHAnsi"/>
                <w:b/>
                <w:bCs/>
                <w:sz w:val="22"/>
                <w:szCs w:val="22"/>
              </w:rPr>
              <w:t xml:space="preserve">              8,092 </w:t>
            </w:r>
          </w:p>
        </w:tc>
        <w:tc>
          <w:tcPr>
            <w:tcW w:w="1710" w:type="dxa"/>
            <w:noWrap/>
            <w:hideMark/>
          </w:tcPr>
          <w:p w14:paraId="33906FC9" w14:textId="56E78B66" w:rsidR="004C05EA" w:rsidRPr="009B06D9" w:rsidRDefault="004C05EA" w:rsidP="004C05EA">
            <w:pPr>
              <w:jc w:val="right"/>
              <w:rPr>
                <w:rFonts w:cstheme="minorHAnsi"/>
                <w:b/>
                <w:bCs/>
                <w:sz w:val="22"/>
                <w:szCs w:val="22"/>
              </w:rPr>
            </w:pPr>
            <w:r w:rsidRPr="009B06D9">
              <w:rPr>
                <w:rFonts w:cstheme="minorHAnsi"/>
                <w:b/>
                <w:bCs/>
                <w:sz w:val="22"/>
                <w:szCs w:val="22"/>
              </w:rPr>
              <w:t xml:space="preserve">             172 </w:t>
            </w:r>
          </w:p>
        </w:tc>
        <w:tc>
          <w:tcPr>
            <w:tcW w:w="1530" w:type="dxa"/>
            <w:noWrap/>
            <w:hideMark/>
          </w:tcPr>
          <w:p w14:paraId="471D517A" w14:textId="031568EC" w:rsidR="004C05EA" w:rsidRPr="009B06D9" w:rsidRDefault="004C05EA" w:rsidP="004C05EA">
            <w:pPr>
              <w:jc w:val="right"/>
              <w:rPr>
                <w:rFonts w:cstheme="minorHAnsi"/>
                <w:b/>
                <w:bCs/>
                <w:sz w:val="22"/>
                <w:szCs w:val="22"/>
              </w:rPr>
            </w:pPr>
            <w:r w:rsidRPr="009B06D9">
              <w:rPr>
                <w:rFonts w:cstheme="minorHAnsi"/>
                <w:b/>
                <w:bCs/>
                <w:sz w:val="22"/>
                <w:szCs w:val="22"/>
              </w:rPr>
              <w:t xml:space="preserve">               38 </w:t>
            </w:r>
          </w:p>
        </w:tc>
      </w:tr>
    </w:tbl>
    <w:p w14:paraId="60E56234" w14:textId="77777777" w:rsidR="004C05EA" w:rsidRPr="004C05EA" w:rsidRDefault="004C05EA" w:rsidP="00644B2B">
      <w:pPr>
        <w:rPr>
          <w:rFonts w:cstheme="minorHAnsi"/>
        </w:rPr>
      </w:pPr>
    </w:p>
    <w:p w14:paraId="2D1FDA23" w14:textId="013861A0" w:rsidR="00644B2B" w:rsidRPr="00D94FFE" w:rsidRDefault="00BA4CC1" w:rsidP="00644B2B">
      <w:pPr>
        <w:pStyle w:val="Heading2"/>
        <w:rPr>
          <w:color w:val="F4B083" w:themeColor="accent2" w:themeTint="99"/>
        </w:rPr>
      </w:pPr>
      <w:r>
        <w:t>C</w:t>
      </w:r>
      <w:r w:rsidR="00644B2B">
        <w:t>. Magnitude of GHG Reductions from 2025-2050</w:t>
      </w:r>
      <w:r w:rsidR="00D94FFE">
        <w:t xml:space="preserve"> </w:t>
      </w:r>
    </w:p>
    <w:p w14:paraId="053B425C" w14:textId="7845762A" w:rsidR="00027E94" w:rsidRDefault="00481E72" w:rsidP="00481E72">
      <w:pPr>
        <w:rPr>
          <w:rFonts w:ascii="Calibri" w:hAnsi="Calibri" w:cs="Calibri"/>
        </w:rPr>
      </w:pPr>
      <w:r w:rsidRPr="00F41F08">
        <w:rPr>
          <w:rFonts w:ascii="Calibri" w:hAnsi="Calibri" w:cs="Calibri"/>
        </w:rPr>
        <w:t xml:space="preserve">The cumulative impacts of the LGE program for the 2025-2050 period can only be forecast qualitatively due to the uncertainty of funding and market forces that will prevail after the incentives from </w:t>
      </w:r>
      <w:r w:rsidR="008F2FCD">
        <w:rPr>
          <w:rFonts w:ascii="Calibri" w:hAnsi="Calibri" w:cs="Calibri"/>
        </w:rPr>
        <w:t>LEEP</w:t>
      </w:r>
      <w:r w:rsidRPr="00F41F08">
        <w:rPr>
          <w:rFonts w:ascii="Calibri" w:hAnsi="Calibri" w:cs="Calibri"/>
        </w:rPr>
        <w:t xml:space="preserve"> end in </w:t>
      </w:r>
      <w:r w:rsidRPr="00481E72">
        <w:rPr>
          <w:rFonts w:ascii="Calibri" w:hAnsi="Calibri" w:cs="Calibri"/>
        </w:rPr>
        <w:t>20</w:t>
      </w:r>
      <w:r>
        <w:rPr>
          <w:rFonts w:ascii="Calibri" w:hAnsi="Calibri" w:cs="Calibri"/>
        </w:rPr>
        <w:t>29</w:t>
      </w:r>
      <w:r w:rsidRPr="00F41F08">
        <w:rPr>
          <w:rFonts w:ascii="Calibri" w:hAnsi="Calibri" w:cs="Calibri"/>
        </w:rPr>
        <w:t xml:space="preserve">. The market for electric LGE is already rapidly evolving. </w:t>
      </w:r>
      <w:r w:rsidR="00B60B4E">
        <w:rPr>
          <w:rFonts w:ascii="Calibri" w:hAnsi="Calibri" w:cs="Calibri"/>
        </w:rPr>
        <w:t>Representatives</w:t>
      </w:r>
      <w:r w:rsidR="00192B8F">
        <w:rPr>
          <w:rFonts w:ascii="Calibri" w:hAnsi="Calibri" w:cs="Calibri"/>
        </w:rPr>
        <w:t xml:space="preserve"> of the outdoor power equipment industry </w:t>
      </w:r>
      <w:r w:rsidR="00027E94">
        <w:rPr>
          <w:rFonts w:ascii="Calibri" w:hAnsi="Calibri" w:cs="Calibri"/>
        </w:rPr>
        <w:t xml:space="preserve">were </w:t>
      </w:r>
      <w:r w:rsidR="00EE16C7">
        <w:rPr>
          <w:rFonts w:ascii="Calibri" w:hAnsi="Calibri" w:cs="Calibri"/>
        </w:rPr>
        <w:t>unable</w:t>
      </w:r>
      <w:r w:rsidR="00027E94">
        <w:rPr>
          <w:rFonts w:ascii="Calibri" w:hAnsi="Calibri" w:cs="Calibri"/>
        </w:rPr>
        <w:t xml:space="preserve"> to provide ZEE adoption forecasts for the period requested. But the </w:t>
      </w:r>
      <w:bookmarkStart w:id="12" w:name="_Hlk162560578"/>
      <w:r w:rsidR="00027E94">
        <w:rPr>
          <w:rFonts w:ascii="Calibri" w:hAnsi="Calibri" w:cs="Calibri"/>
        </w:rPr>
        <w:t xml:space="preserve">Outdoor Power Equipment Institute </w:t>
      </w:r>
      <w:bookmarkEnd w:id="12"/>
      <w:r w:rsidR="00027E94">
        <w:rPr>
          <w:rFonts w:ascii="Calibri" w:hAnsi="Calibri" w:cs="Calibri"/>
        </w:rPr>
        <w:t xml:space="preserve">(OPEI) reports new product shipments of hand-held equipment (leaf blowers, </w:t>
      </w:r>
      <w:r w:rsidR="00EE16C7">
        <w:rPr>
          <w:rFonts w:ascii="Calibri" w:hAnsi="Calibri" w:cs="Calibri"/>
        </w:rPr>
        <w:t>etc.</w:t>
      </w:r>
      <w:r w:rsidR="00027E94">
        <w:rPr>
          <w:rFonts w:ascii="Calibri" w:hAnsi="Calibri" w:cs="Calibri"/>
        </w:rPr>
        <w:t xml:space="preserve">) were 63% electric in 2021. According to OPEI </w:t>
      </w:r>
      <w:r w:rsidR="00EE16C7" w:rsidRPr="00027E94">
        <w:rPr>
          <w:rFonts w:ascii="Calibri" w:hAnsi="Calibri" w:cs="Calibri"/>
        </w:rPr>
        <w:t xml:space="preserve">U.S. shipments of 5-6 million units </w:t>
      </w:r>
      <w:r w:rsidR="00EE16C7">
        <w:rPr>
          <w:rFonts w:ascii="Calibri" w:hAnsi="Calibri" w:cs="Calibri"/>
        </w:rPr>
        <w:t xml:space="preserve">of </w:t>
      </w:r>
      <w:r w:rsidR="00027E94">
        <w:rPr>
          <w:rFonts w:ascii="Calibri" w:hAnsi="Calibri" w:cs="Calibri"/>
        </w:rPr>
        <w:t>r</w:t>
      </w:r>
      <w:r w:rsidR="00027E94" w:rsidRPr="00027E94">
        <w:rPr>
          <w:rFonts w:ascii="Calibri" w:hAnsi="Calibri" w:cs="Calibri"/>
        </w:rPr>
        <w:t>esidential walk-behind (push) lawn mowers, have transitioned from 11% ZEE in 2016 to 37% in 2021</w:t>
      </w:r>
      <w:r w:rsidR="00027E94">
        <w:rPr>
          <w:rFonts w:ascii="Calibri" w:hAnsi="Calibri" w:cs="Calibri"/>
        </w:rPr>
        <w:t>.</w:t>
      </w:r>
      <w:r w:rsidR="00027E94">
        <w:rPr>
          <w:rStyle w:val="FootnoteReference"/>
          <w:rFonts w:ascii="Calibri" w:hAnsi="Calibri" w:cs="Calibri"/>
        </w:rPr>
        <w:footnoteReference w:id="14"/>
      </w:r>
    </w:p>
    <w:p w14:paraId="638F1051" w14:textId="77777777" w:rsidR="00426E53" w:rsidRDefault="00426E53" w:rsidP="00481E72">
      <w:pPr>
        <w:rPr>
          <w:rFonts w:ascii="Calibri" w:hAnsi="Calibri" w:cs="Calibri"/>
        </w:rPr>
      </w:pPr>
    </w:p>
    <w:p w14:paraId="02192847" w14:textId="58DDDBB0" w:rsidR="00481E72" w:rsidRPr="00F41F08" w:rsidRDefault="00481E72" w:rsidP="00481E72">
      <w:pPr>
        <w:rPr>
          <w:rFonts w:ascii="Calibri" w:hAnsi="Calibri" w:cs="Calibri"/>
        </w:rPr>
      </w:pPr>
      <w:r w:rsidRPr="00F41F08">
        <w:rPr>
          <w:rFonts w:ascii="Calibri" w:hAnsi="Calibri" w:cs="Calibri"/>
        </w:rPr>
        <w:t xml:space="preserve">The stimulus that the </w:t>
      </w:r>
      <w:r w:rsidR="00027E94">
        <w:rPr>
          <w:rFonts w:ascii="Calibri" w:hAnsi="Calibri" w:cs="Calibri"/>
        </w:rPr>
        <w:t>LEEP</w:t>
      </w:r>
      <w:r w:rsidRPr="00F41F08">
        <w:rPr>
          <w:rFonts w:ascii="Calibri" w:hAnsi="Calibri" w:cs="Calibri"/>
        </w:rPr>
        <w:t xml:space="preserve"> buy-back program </w:t>
      </w:r>
      <w:r w:rsidR="00EE16C7">
        <w:rPr>
          <w:rFonts w:ascii="Calibri" w:hAnsi="Calibri" w:cs="Calibri"/>
        </w:rPr>
        <w:t>will bring</w:t>
      </w:r>
      <w:r w:rsidRPr="00F41F08">
        <w:rPr>
          <w:rFonts w:ascii="Calibri" w:hAnsi="Calibri" w:cs="Calibri"/>
        </w:rPr>
        <w:t xml:space="preserve"> to the Chicago area LGE market during 2025-2030 will likely have the effect of increasing the pace of adoption and demand in the region. We anticipate that the incentives from this program will motivate operators to change over their equipment </w:t>
      </w:r>
      <w:r w:rsidRPr="00F41F08">
        <w:rPr>
          <w:rFonts w:ascii="Calibri" w:hAnsi="Calibri" w:cs="Calibri"/>
        </w:rPr>
        <w:lastRenderedPageBreak/>
        <w:t xml:space="preserve">more rapidly than without the available funding. This program will thus provide demand stimulus that will signal </w:t>
      </w:r>
      <w:r w:rsidR="00C22A57">
        <w:rPr>
          <w:rFonts w:ascii="Calibri" w:hAnsi="Calibri" w:cs="Calibri"/>
        </w:rPr>
        <w:t>original equipment manufacturers (</w:t>
      </w:r>
      <w:r w:rsidRPr="00F41F08">
        <w:rPr>
          <w:rFonts w:ascii="Calibri" w:hAnsi="Calibri" w:cs="Calibri"/>
        </w:rPr>
        <w:t>OEMs</w:t>
      </w:r>
      <w:r w:rsidR="00C22A57">
        <w:rPr>
          <w:rFonts w:ascii="Calibri" w:hAnsi="Calibri" w:cs="Calibri"/>
        </w:rPr>
        <w:t>)</w:t>
      </w:r>
      <w:r w:rsidRPr="00F41F08">
        <w:rPr>
          <w:rFonts w:ascii="Calibri" w:hAnsi="Calibri" w:cs="Calibri"/>
        </w:rPr>
        <w:t xml:space="preserve"> and suppliers of both residential and commercial electric LGE to ensure that sufficient supply is available to meet the rising pace of demand. We can expect that a competitive supply market will extend into the 2030-2050 period, and that the competition for sales will drive down prices and make adoption of </w:t>
      </w:r>
      <w:r w:rsidR="00FB5B6E">
        <w:rPr>
          <w:rFonts w:ascii="Calibri" w:hAnsi="Calibri" w:cs="Calibri"/>
        </w:rPr>
        <w:t>ZEE</w:t>
      </w:r>
      <w:r w:rsidRPr="00F41F08">
        <w:rPr>
          <w:rFonts w:ascii="Calibri" w:hAnsi="Calibri" w:cs="Calibri"/>
        </w:rPr>
        <w:t xml:space="preserve"> more appealing to buyers. </w:t>
      </w:r>
    </w:p>
    <w:p w14:paraId="591435B9" w14:textId="77777777" w:rsidR="005D0F72" w:rsidRDefault="005D0F72" w:rsidP="00481E72">
      <w:pPr>
        <w:rPr>
          <w:rFonts w:ascii="Calibri" w:hAnsi="Calibri" w:cs="Calibri"/>
        </w:rPr>
      </w:pPr>
    </w:p>
    <w:p w14:paraId="7A7F0355" w14:textId="5693EFAE" w:rsidR="00481E72" w:rsidRDefault="00481E72" w:rsidP="00481E72">
      <w:pPr>
        <w:rPr>
          <w:rFonts w:ascii="Calibri" w:hAnsi="Calibri" w:cs="Calibri"/>
        </w:rPr>
      </w:pPr>
      <w:r w:rsidRPr="00F41F08">
        <w:rPr>
          <w:rFonts w:ascii="Calibri" w:hAnsi="Calibri" w:cs="Calibri"/>
        </w:rPr>
        <w:t xml:space="preserve">In addition to the demand stimulus, the gasoline equipment scrappage component of </w:t>
      </w:r>
      <w:r w:rsidR="005D0F72">
        <w:rPr>
          <w:rFonts w:ascii="Calibri" w:hAnsi="Calibri" w:cs="Calibri"/>
        </w:rPr>
        <w:t>LEEP</w:t>
      </w:r>
      <w:r w:rsidRPr="00F41F08">
        <w:rPr>
          <w:rFonts w:ascii="Calibri" w:hAnsi="Calibri" w:cs="Calibri"/>
        </w:rPr>
        <w:t xml:space="preserve"> will produce CO</w:t>
      </w:r>
      <w:r w:rsidRPr="00F41F08">
        <w:rPr>
          <w:rFonts w:ascii="Calibri" w:hAnsi="Calibri" w:cs="Calibri"/>
          <w:vertAlign w:val="subscript"/>
        </w:rPr>
        <w:t>2</w:t>
      </w:r>
      <w:r w:rsidRPr="00F41F08">
        <w:rPr>
          <w:rFonts w:ascii="Calibri" w:hAnsi="Calibri" w:cs="Calibri"/>
        </w:rPr>
        <w:t xml:space="preserve"> emissions reduction impacts that extend beyond the end of the initial grant period by ensuring that old gasoline LGE is permanently taken out of service. A buy-back program without scrappage would likely lead to a secondary market for the used gasoline equipment. Keeping the old gasoline equipment in-service would offset the CO</w:t>
      </w:r>
      <w:r w:rsidRPr="00F41F08">
        <w:rPr>
          <w:rFonts w:ascii="Calibri" w:hAnsi="Calibri" w:cs="Calibri"/>
          <w:vertAlign w:val="subscript"/>
        </w:rPr>
        <w:t>2</w:t>
      </w:r>
      <w:r w:rsidRPr="00F41F08">
        <w:rPr>
          <w:rFonts w:ascii="Calibri" w:hAnsi="Calibri" w:cs="Calibri"/>
        </w:rPr>
        <w:t xml:space="preserve"> emissions reductions from the new electric LGE. The </w:t>
      </w:r>
      <w:r w:rsidR="00FB5B6E" w:rsidRPr="00F41F08">
        <w:rPr>
          <w:rFonts w:ascii="Calibri" w:hAnsi="Calibri" w:cs="Calibri"/>
        </w:rPr>
        <w:t xml:space="preserve">scrappage </w:t>
      </w:r>
      <w:r w:rsidR="00FB5B6E">
        <w:rPr>
          <w:rFonts w:ascii="Calibri" w:hAnsi="Calibri" w:cs="Calibri"/>
        </w:rPr>
        <w:t xml:space="preserve">component of LEEP </w:t>
      </w:r>
      <w:r w:rsidRPr="00F41F08">
        <w:rPr>
          <w:rFonts w:ascii="Calibri" w:hAnsi="Calibri" w:cs="Calibri"/>
        </w:rPr>
        <w:t>will eliminate the CO</w:t>
      </w:r>
      <w:r w:rsidRPr="00F41F08">
        <w:rPr>
          <w:rFonts w:ascii="Calibri" w:hAnsi="Calibri" w:cs="Calibri"/>
          <w:vertAlign w:val="subscript"/>
        </w:rPr>
        <w:t>2</w:t>
      </w:r>
      <w:r w:rsidRPr="00F41F08">
        <w:rPr>
          <w:rFonts w:ascii="Calibri" w:hAnsi="Calibri" w:cs="Calibri"/>
        </w:rPr>
        <w:t xml:space="preserve"> emissions from the old equipment, some of which would be in-service for many years after 2030. </w:t>
      </w:r>
    </w:p>
    <w:p w14:paraId="7EF52FD9" w14:textId="77777777" w:rsidR="00027E94" w:rsidRDefault="00027E94" w:rsidP="00481E72">
      <w:pPr>
        <w:rPr>
          <w:rFonts w:ascii="Calibri" w:hAnsi="Calibri" w:cs="Calibri"/>
        </w:rPr>
      </w:pPr>
    </w:p>
    <w:p w14:paraId="7F95E27F" w14:textId="5FFEAD32" w:rsidR="00027E94" w:rsidRDefault="00027E94" w:rsidP="00481E72">
      <w:pPr>
        <w:rPr>
          <w:rFonts w:ascii="Calibri" w:hAnsi="Calibri" w:cs="Calibri"/>
        </w:rPr>
      </w:pPr>
      <w:r>
        <w:rPr>
          <w:rFonts w:ascii="Calibri" w:hAnsi="Calibri" w:cs="Calibri"/>
        </w:rPr>
        <w:t xml:space="preserve">Other factors to consider in forecasting LEEP emissions reduction impacts into 2050 </w:t>
      </w:r>
      <w:r w:rsidR="00161553">
        <w:rPr>
          <w:rFonts w:ascii="Calibri" w:hAnsi="Calibri" w:cs="Calibri"/>
        </w:rPr>
        <w:t xml:space="preserve">are the long life of the lithium-ion phosphate batteries to be supplied through LEEP.  </w:t>
      </w:r>
      <w:r w:rsidR="00161553" w:rsidRPr="004A7B2A">
        <w:rPr>
          <w:rFonts w:cstheme="minorHAnsi"/>
        </w:rPr>
        <w:t xml:space="preserve">Conservatively, these batteries </w:t>
      </w:r>
      <w:r w:rsidR="004A7B2A" w:rsidRPr="004A7B2A">
        <w:rPr>
          <w:rFonts w:eastAsia="Times New Roman" w:cstheme="minorHAnsi"/>
        </w:rPr>
        <w:t>are rated for approximately 4500 to 5000 charge cycles with an impressive 80% depth of charge.</w:t>
      </w:r>
      <w:r w:rsidR="00161553">
        <w:rPr>
          <w:rFonts w:ascii="Calibri" w:hAnsi="Calibri" w:cs="Calibri"/>
        </w:rPr>
        <w:t xml:space="preserve"> Batteries in seasonal use for landscape LGE can be expected to be charged 200 cycles year. </w:t>
      </w:r>
      <w:r w:rsidR="00E92C8D">
        <w:rPr>
          <w:rFonts w:ascii="Calibri" w:hAnsi="Calibri" w:cs="Calibri"/>
        </w:rPr>
        <w:t>Therefore,</w:t>
      </w:r>
      <w:r w:rsidR="00161553">
        <w:rPr>
          <w:rFonts w:ascii="Calibri" w:hAnsi="Calibri" w:cs="Calibri"/>
        </w:rPr>
        <w:t xml:space="preserve"> batteries purchased through LEEP can be expected to last 20 years. By comparison, gasoline powered </w:t>
      </w:r>
      <w:r w:rsidR="00E92C8D">
        <w:rPr>
          <w:rFonts w:ascii="Calibri" w:hAnsi="Calibri" w:cs="Calibri"/>
        </w:rPr>
        <w:t>commercial lawnmowers have median life expectancy of 2 years</w:t>
      </w:r>
      <w:r w:rsidR="00C32451">
        <w:rPr>
          <w:rFonts w:ascii="Calibri" w:hAnsi="Calibri" w:cs="Calibri"/>
        </w:rPr>
        <w:t xml:space="preserve"> and residential mower</w:t>
      </w:r>
      <w:r w:rsidR="00232F86">
        <w:rPr>
          <w:rFonts w:ascii="Calibri" w:hAnsi="Calibri" w:cs="Calibri"/>
        </w:rPr>
        <w:t>s</w:t>
      </w:r>
      <w:r w:rsidR="00C32451">
        <w:rPr>
          <w:rFonts w:ascii="Calibri" w:hAnsi="Calibri" w:cs="Calibri"/>
        </w:rPr>
        <w:t xml:space="preserve"> have a median life expectancy of 5.9 years.</w:t>
      </w:r>
      <w:r w:rsidR="00E92C8D">
        <w:rPr>
          <w:rFonts w:ascii="Calibri" w:hAnsi="Calibri" w:cs="Calibri"/>
        </w:rPr>
        <w:t xml:space="preserve"> </w:t>
      </w:r>
      <w:r w:rsidR="00E92C8D">
        <w:rPr>
          <w:rStyle w:val="FootnoteReference"/>
          <w:rFonts w:ascii="Calibri" w:hAnsi="Calibri" w:cs="Calibri"/>
        </w:rPr>
        <w:footnoteReference w:id="15"/>
      </w:r>
    </w:p>
    <w:p w14:paraId="53C6FC82" w14:textId="77777777" w:rsidR="00C32451" w:rsidRDefault="00C32451" w:rsidP="00481E72">
      <w:pPr>
        <w:rPr>
          <w:rFonts w:ascii="Calibri" w:hAnsi="Calibri" w:cs="Calibri"/>
        </w:rPr>
      </w:pPr>
    </w:p>
    <w:p w14:paraId="3408C52D" w14:textId="31ED3E46" w:rsidR="0078382D" w:rsidRDefault="00C32451" w:rsidP="00481E72">
      <w:pPr>
        <w:rPr>
          <w:rFonts w:ascii="Calibri" w:hAnsi="Calibri" w:cs="Calibri"/>
        </w:rPr>
      </w:pPr>
      <w:r>
        <w:rPr>
          <w:rFonts w:ascii="Calibri" w:hAnsi="Calibri" w:cs="Calibri"/>
        </w:rPr>
        <w:t xml:space="preserve">Assuming that components of ZEE LGE purchased through LEEP will last for at least 15 </w:t>
      </w:r>
      <w:r w:rsidR="00BA4CC1">
        <w:rPr>
          <w:rFonts w:ascii="Calibri" w:hAnsi="Calibri" w:cs="Calibri"/>
        </w:rPr>
        <w:t>years, cumulative</w:t>
      </w:r>
      <w:r>
        <w:rPr>
          <w:rFonts w:ascii="Calibri" w:hAnsi="Calibri" w:cs="Calibri"/>
        </w:rPr>
        <w:t xml:space="preserve"> emissions reductions expected through LEEP are </w:t>
      </w:r>
      <w:r w:rsidR="00EE16C7">
        <w:rPr>
          <w:rFonts w:ascii="Calibri" w:hAnsi="Calibri" w:cs="Calibri"/>
        </w:rPr>
        <w:t>projected</w:t>
      </w:r>
      <w:r>
        <w:rPr>
          <w:rFonts w:ascii="Calibri" w:hAnsi="Calibri" w:cs="Calibri"/>
        </w:rPr>
        <w:t xml:space="preserve"> below. </w:t>
      </w:r>
    </w:p>
    <w:p w14:paraId="43BD29C7" w14:textId="77777777" w:rsidR="00F63EE2" w:rsidRPr="00A63314" w:rsidRDefault="00F63EE2" w:rsidP="00481E72">
      <w:pPr>
        <w:rPr>
          <w:rFonts w:ascii="Calibri" w:hAnsi="Calibri" w:cs="Calibri"/>
        </w:rPr>
      </w:pPr>
    </w:p>
    <w:tbl>
      <w:tblPr>
        <w:tblStyle w:val="TableGrid"/>
        <w:tblW w:w="0" w:type="auto"/>
        <w:tblLook w:val="04A0" w:firstRow="1" w:lastRow="0" w:firstColumn="1" w:lastColumn="0" w:noHBand="0" w:noVBand="1"/>
      </w:tblPr>
      <w:tblGrid>
        <w:gridCol w:w="1200"/>
        <w:gridCol w:w="1460"/>
        <w:gridCol w:w="2015"/>
        <w:gridCol w:w="2790"/>
      </w:tblGrid>
      <w:tr w:rsidR="00BA6AAA" w:rsidRPr="00A63314" w14:paraId="27931421" w14:textId="77777777" w:rsidTr="00FB5B6E">
        <w:trPr>
          <w:trHeight w:val="290"/>
        </w:trPr>
        <w:tc>
          <w:tcPr>
            <w:tcW w:w="1200" w:type="dxa"/>
            <w:vMerge w:val="restart"/>
            <w:noWrap/>
            <w:hideMark/>
          </w:tcPr>
          <w:p w14:paraId="6835C81E" w14:textId="77777777" w:rsidR="00BA6AAA" w:rsidRPr="00A63314" w:rsidRDefault="00BA6AAA">
            <w:pPr>
              <w:rPr>
                <w:rFonts w:ascii="Calibri" w:hAnsi="Calibri" w:cs="Calibri"/>
                <w:sz w:val="22"/>
                <w:szCs w:val="22"/>
              </w:rPr>
            </w:pPr>
            <w:r w:rsidRPr="00A63314">
              <w:rPr>
                <w:rFonts w:ascii="Calibri" w:hAnsi="Calibri" w:cs="Calibri"/>
                <w:sz w:val="22"/>
                <w:szCs w:val="22"/>
              </w:rPr>
              <w:t xml:space="preserve">Pollutant </w:t>
            </w:r>
          </w:p>
        </w:tc>
        <w:tc>
          <w:tcPr>
            <w:tcW w:w="1460" w:type="dxa"/>
            <w:vMerge w:val="restart"/>
            <w:noWrap/>
            <w:hideMark/>
          </w:tcPr>
          <w:p w14:paraId="724B21C7" w14:textId="77777777" w:rsidR="00BA6AAA" w:rsidRPr="00A63314" w:rsidRDefault="00BA6AAA">
            <w:pPr>
              <w:rPr>
                <w:rFonts w:ascii="Calibri" w:hAnsi="Calibri" w:cs="Calibri"/>
                <w:sz w:val="22"/>
                <w:szCs w:val="22"/>
              </w:rPr>
            </w:pPr>
            <w:r w:rsidRPr="00A63314">
              <w:rPr>
                <w:rFonts w:ascii="Calibri" w:hAnsi="Calibri" w:cs="Calibri"/>
                <w:sz w:val="22"/>
                <w:szCs w:val="22"/>
              </w:rPr>
              <w:t>Baseline 2020</w:t>
            </w:r>
          </w:p>
        </w:tc>
        <w:tc>
          <w:tcPr>
            <w:tcW w:w="4805" w:type="dxa"/>
            <w:gridSpan w:val="2"/>
            <w:noWrap/>
            <w:hideMark/>
          </w:tcPr>
          <w:p w14:paraId="475BCB4D" w14:textId="77777777" w:rsidR="00BA6AAA" w:rsidRPr="00A63314" w:rsidRDefault="00BA6AAA">
            <w:pPr>
              <w:rPr>
                <w:rFonts w:ascii="Calibri" w:hAnsi="Calibri" w:cs="Calibri"/>
                <w:sz w:val="22"/>
                <w:szCs w:val="22"/>
              </w:rPr>
            </w:pPr>
            <w:r w:rsidRPr="00A63314">
              <w:rPr>
                <w:rFonts w:ascii="Calibri" w:hAnsi="Calibri" w:cs="Calibri"/>
                <w:sz w:val="22"/>
                <w:szCs w:val="22"/>
              </w:rPr>
              <w:t>2026-2050 Emissions Reductions (metric tons)</w:t>
            </w:r>
          </w:p>
        </w:tc>
      </w:tr>
      <w:tr w:rsidR="00BA6AAA" w:rsidRPr="00A63314" w14:paraId="1938B5FB" w14:textId="77777777" w:rsidTr="00FB5B6E">
        <w:trPr>
          <w:trHeight w:val="290"/>
        </w:trPr>
        <w:tc>
          <w:tcPr>
            <w:tcW w:w="1200" w:type="dxa"/>
            <w:vMerge/>
            <w:hideMark/>
          </w:tcPr>
          <w:p w14:paraId="5077F095" w14:textId="77777777" w:rsidR="00BA6AAA" w:rsidRPr="00A63314" w:rsidRDefault="00BA6AAA">
            <w:pPr>
              <w:rPr>
                <w:rFonts w:ascii="Calibri" w:hAnsi="Calibri" w:cs="Calibri"/>
                <w:sz w:val="22"/>
                <w:szCs w:val="22"/>
              </w:rPr>
            </w:pPr>
          </w:p>
        </w:tc>
        <w:tc>
          <w:tcPr>
            <w:tcW w:w="1460" w:type="dxa"/>
            <w:vMerge/>
            <w:hideMark/>
          </w:tcPr>
          <w:p w14:paraId="24555F9E" w14:textId="77777777" w:rsidR="00BA6AAA" w:rsidRPr="00A63314" w:rsidRDefault="00BA6AAA">
            <w:pPr>
              <w:rPr>
                <w:rFonts w:ascii="Calibri" w:hAnsi="Calibri" w:cs="Calibri"/>
                <w:sz w:val="22"/>
                <w:szCs w:val="22"/>
              </w:rPr>
            </w:pPr>
          </w:p>
        </w:tc>
        <w:tc>
          <w:tcPr>
            <w:tcW w:w="2015" w:type="dxa"/>
            <w:noWrap/>
            <w:hideMark/>
          </w:tcPr>
          <w:p w14:paraId="7A4201EB" w14:textId="77777777" w:rsidR="00BA6AAA" w:rsidRPr="00A63314" w:rsidRDefault="00BA6AAA" w:rsidP="00FB5B6E">
            <w:pPr>
              <w:jc w:val="center"/>
              <w:rPr>
                <w:rFonts w:ascii="Calibri" w:hAnsi="Calibri" w:cs="Calibri"/>
                <w:sz w:val="22"/>
                <w:szCs w:val="22"/>
              </w:rPr>
            </w:pPr>
            <w:r w:rsidRPr="00A63314">
              <w:rPr>
                <w:rFonts w:ascii="Calibri" w:hAnsi="Calibri" w:cs="Calibri"/>
                <w:sz w:val="22"/>
                <w:szCs w:val="22"/>
              </w:rPr>
              <w:t>Cumulative</w:t>
            </w:r>
          </w:p>
        </w:tc>
        <w:tc>
          <w:tcPr>
            <w:tcW w:w="2790" w:type="dxa"/>
            <w:noWrap/>
            <w:hideMark/>
          </w:tcPr>
          <w:p w14:paraId="51508630" w14:textId="77777777" w:rsidR="00BA6AAA" w:rsidRPr="00A63314" w:rsidRDefault="00BA6AAA" w:rsidP="00FB5B6E">
            <w:pPr>
              <w:jc w:val="center"/>
              <w:rPr>
                <w:rFonts w:ascii="Calibri" w:hAnsi="Calibri" w:cs="Calibri"/>
                <w:sz w:val="22"/>
                <w:szCs w:val="22"/>
              </w:rPr>
            </w:pPr>
            <w:r w:rsidRPr="00A63314">
              <w:rPr>
                <w:rFonts w:ascii="Calibri" w:hAnsi="Calibri" w:cs="Calibri"/>
                <w:sz w:val="22"/>
                <w:szCs w:val="22"/>
              </w:rPr>
              <w:t>Annual</w:t>
            </w:r>
          </w:p>
        </w:tc>
      </w:tr>
      <w:tr w:rsidR="00BA6AAA" w:rsidRPr="00A63314" w14:paraId="629E1FDA" w14:textId="77777777" w:rsidTr="00FB5B6E">
        <w:trPr>
          <w:trHeight w:val="290"/>
        </w:trPr>
        <w:tc>
          <w:tcPr>
            <w:tcW w:w="1200" w:type="dxa"/>
            <w:noWrap/>
            <w:hideMark/>
          </w:tcPr>
          <w:p w14:paraId="2FAA3028" w14:textId="570C005F" w:rsidR="00BA6AAA" w:rsidRPr="00A63314" w:rsidRDefault="001A1CF6" w:rsidP="00FB5B6E">
            <w:pPr>
              <w:jc w:val="center"/>
              <w:rPr>
                <w:rFonts w:ascii="Calibri" w:hAnsi="Calibri" w:cs="Calibri"/>
                <w:sz w:val="22"/>
                <w:szCs w:val="22"/>
              </w:rPr>
            </w:pPr>
            <w:r>
              <w:rPr>
                <w:rFonts w:ascii="Calibri" w:hAnsi="Calibri" w:cs="Calibri"/>
                <w:sz w:val="22"/>
                <w:szCs w:val="22"/>
              </w:rPr>
              <w:t>CO2</w:t>
            </w:r>
          </w:p>
        </w:tc>
        <w:tc>
          <w:tcPr>
            <w:tcW w:w="1460" w:type="dxa"/>
            <w:noWrap/>
            <w:hideMark/>
          </w:tcPr>
          <w:p w14:paraId="2F063D6F" w14:textId="77777777" w:rsidR="00BA6AAA" w:rsidRPr="00A63314" w:rsidRDefault="00BA6AAA" w:rsidP="00FB5B6E">
            <w:pPr>
              <w:jc w:val="right"/>
              <w:rPr>
                <w:rFonts w:ascii="Calibri" w:hAnsi="Calibri" w:cs="Calibri"/>
                <w:sz w:val="22"/>
                <w:szCs w:val="22"/>
              </w:rPr>
            </w:pPr>
            <w:r w:rsidRPr="00A63314">
              <w:rPr>
                <w:rFonts w:ascii="Calibri" w:hAnsi="Calibri" w:cs="Calibri"/>
                <w:sz w:val="22"/>
                <w:szCs w:val="22"/>
              </w:rPr>
              <w:t xml:space="preserve">9,954,641 </w:t>
            </w:r>
          </w:p>
        </w:tc>
        <w:tc>
          <w:tcPr>
            <w:tcW w:w="2015" w:type="dxa"/>
            <w:noWrap/>
            <w:hideMark/>
          </w:tcPr>
          <w:p w14:paraId="1D6F8911" w14:textId="77777777" w:rsidR="00BA6AAA" w:rsidRPr="00A63314" w:rsidRDefault="00BA6AAA" w:rsidP="00FB5B6E">
            <w:pPr>
              <w:jc w:val="right"/>
              <w:rPr>
                <w:rFonts w:ascii="Calibri" w:hAnsi="Calibri" w:cs="Calibri"/>
                <w:sz w:val="22"/>
                <w:szCs w:val="22"/>
              </w:rPr>
            </w:pPr>
            <w:r w:rsidRPr="00A63314">
              <w:rPr>
                <w:rFonts w:ascii="Calibri" w:hAnsi="Calibri" w:cs="Calibri"/>
                <w:sz w:val="22"/>
                <w:szCs w:val="22"/>
              </w:rPr>
              <w:t xml:space="preserve">146,012 </w:t>
            </w:r>
          </w:p>
        </w:tc>
        <w:tc>
          <w:tcPr>
            <w:tcW w:w="2790" w:type="dxa"/>
            <w:noWrap/>
            <w:hideMark/>
          </w:tcPr>
          <w:p w14:paraId="5AEA1E6D" w14:textId="77777777" w:rsidR="00BA6AAA" w:rsidRPr="00A63314" w:rsidRDefault="00BA6AAA" w:rsidP="00FB5B6E">
            <w:pPr>
              <w:jc w:val="right"/>
              <w:rPr>
                <w:rFonts w:ascii="Calibri" w:hAnsi="Calibri" w:cs="Calibri"/>
                <w:sz w:val="22"/>
                <w:szCs w:val="22"/>
              </w:rPr>
            </w:pPr>
            <w:r w:rsidRPr="00A63314">
              <w:rPr>
                <w:rFonts w:ascii="Calibri" w:hAnsi="Calibri" w:cs="Calibri"/>
                <w:sz w:val="22"/>
                <w:szCs w:val="22"/>
              </w:rPr>
              <w:t xml:space="preserve">29,202 </w:t>
            </w:r>
          </w:p>
        </w:tc>
      </w:tr>
      <w:tr w:rsidR="00BA6AAA" w:rsidRPr="00A63314" w14:paraId="131A61D7" w14:textId="77777777" w:rsidTr="00FB5B6E">
        <w:trPr>
          <w:trHeight w:val="290"/>
        </w:trPr>
        <w:tc>
          <w:tcPr>
            <w:tcW w:w="1200" w:type="dxa"/>
            <w:noWrap/>
            <w:hideMark/>
          </w:tcPr>
          <w:p w14:paraId="6738C962" w14:textId="7B1E8935" w:rsidR="00BA6AAA" w:rsidRPr="00A63314" w:rsidRDefault="00BA6AAA" w:rsidP="00FB5B6E">
            <w:pPr>
              <w:jc w:val="center"/>
              <w:rPr>
                <w:rFonts w:ascii="Calibri" w:hAnsi="Calibri" w:cs="Calibri"/>
                <w:sz w:val="22"/>
                <w:szCs w:val="22"/>
              </w:rPr>
            </w:pPr>
            <w:r w:rsidRPr="00A63314">
              <w:rPr>
                <w:rFonts w:ascii="Calibri" w:hAnsi="Calibri" w:cs="Calibri"/>
                <w:sz w:val="22"/>
                <w:szCs w:val="22"/>
              </w:rPr>
              <w:t>NOx</w:t>
            </w:r>
          </w:p>
        </w:tc>
        <w:tc>
          <w:tcPr>
            <w:tcW w:w="1460" w:type="dxa"/>
            <w:noWrap/>
            <w:hideMark/>
          </w:tcPr>
          <w:p w14:paraId="0892909E" w14:textId="77777777" w:rsidR="00BA6AAA" w:rsidRPr="00A63314" w:rsidRDefault="00BA6AAA" w:rsidP="00FB5B6E">
            <w:pPr>
              <w:jc w:val="right"/>
              <w:rPr>
                <w:rFonts w:ascii="Calibri" w:hAnsi="Calibri" w:cs="Calibri"/>
                <w:sz w:val="22"/>
                <w:szCs w:val="22"/>
              </w:rPr>
            </w:pPr>
            <w:r w:rsidRPr="00A63314">
              <w:rPr>
                <w:rFonts w:ascii="Calibri" w:hAnsi="Calibri" w:cs="Calibri"/>
                <w:sz w:val="22"/>
                <w:szCs w:val="22"/>
              </w:rPr>
              <w:t xml:space="preserve">23,269 </w:t>
            </w:r>
          </w:p>
        </w:tc>
        <w:tc>
          <w:tcPr>
            <w:tcW w:w="2015" w:type="dxa"/>
            <w:noWrap/>
            <w:hideMark/>
          </w:tcPr>
          <w:p w14:paraId="79C2B2F8" w14:textId="77777777" w:rsidR="00BA6AAA" w:rsidRPr="00A63314" w:rsidRDefault="00BA6AAA" w:rsidP="00FB5B6E">
            <w:pPr>
              <w:jc w:val="right"/>
              <w:rPr>
                <w:rFonts w:ascii="Calibri" w:hAnsi="Calibri" w:cs="Calibri"/>
                <w:sz w:val="22"/>
                <w:szCs w:val="22"/>
              </w:rPr>
            </w:pPr>
            <w:r w:rsidRPr="00A63314">
              <w:rPr>
                <w:rFonts w:ascii="Calibri" w:hAnsi="Calibri" w:cs="Calibri"/>
                <w:sz w:val="22"/>
                <w:szCs w:val="22"/>
              </w:rPr>
              <w:t xml:space="preserve">321 </w:t>
            </w:r>
          </w:p>
        </w:tc>
        <w:tc>
          <w:tcPr>
            <w:tcW w:w="2790" w:type="dxa"/>
            <w:noWrap/>
            <w:hideMark/>
          </w:tcPr>
          <w:p w14:paraId="3D58CF6D" w14:textId="77777777" w:rsidR="00BA6AAA" w:rsidRPr="00A63314" w:rsidRDefault="00BA6AAA" w:rsidP="00FB5B6E">
            <w:pPr>
              <w:jc w:val="right"/>
              <w:rPr>
                <w:rFonts w:ascii="Calibri" w:hAnsi="Calibri" w:cs="Calibri"/>
                <w:sz w:val="22"/>
                <w:szCs w:val="22"/>
              </w:rPr>
            </w:pPr>
            <w:r w:rsidRPr="00A63314">
              <w:rPr>
                <w:rFonts w:ascii="Calibri" w:hAnsi="Calibri" w:cs="Calibri"/>
                <w:sz w:val="22"/>
                <w:szCs w:val="22"/>
              </w:rPr>
              <w:t xml:space="preserve">64 </w:t>
            </w:r>
          </w:p>
        </w:tc>
      </w:tr>
      <w:tr w:rsidR="00BA6AAA" w:rsidRPr="00A63314" w14:paraId="704A8933" w14:textId="77777777" w:rsidTr="00FB5B6E">
        <w:trPr>
          <w:trHeight w:val="290"/>
        </w:trPr>
        <w:tc>
          <w:tcPr>
            <w:tcW w:w="1200" w:type="dxa"/>
            <w:noWrap/>
            <w:hideMark/>
          </w:tcPr>
          <w:p w14:paraId="76283564" w14:textId="77777777" w:rsidR="00BA6AAA" w:rsidRPr="00A63314" w:rsidRDefault="00BA6AAA" w:rsidP="00FB5B6E">
            <w:pPr>
              <w:jc w:val="center"/>
              <w:rPr>
                <w:rFonts w:ascii="Calibri" w:hAnsi="Calibri" w:cs="Calibri"/>
                <w:sz w:val="22"/>
                <w:szCs w:val="22"/>
              </w:rPr>
            </w:pPr>
            <w:r w:rsidRPr="00A63314">
              <w:rPr>
                <w:rFonts w:ascii="Calibri" w:hAnsi="Calibri" w:cs="Calibri"/>
                <w:sz w:val="22"/>
                <w:szCs w:val="22"/>
              </w:rPr>
              <w:t>VOCs</w:t>
            </w:r>
          </w:p>
        </w:tc>
        <w:tc>
          <w:tcPr>
            <w:tcW w:w="1460" w:type="dxa"/>
            <w:noWrap/>
            <w:hideMark/>
          </w:tcPr>
          <w:p w14:paraId="7F9537AF" w14:textId="77777777" w:rsidR="00BA6AAA" w:rsidRPr="00A63314" w:rsidRDefault="00BA6AAA" w:rsidP="00FB5B6E">
            <w:pPr>
              <w:jc w:val="right"/>
              <w:rPr>
                <w:rFonts w:ascii="Calibri" w:hAnsi="Calibri" w:cs="Calibri"/>
                <w:sz w:val="22"/>
                <w:szCs w:val="22"/>
              </w:rPr>
            </w:pPr>
            <w:r w:rsidRPr="00A63314">
              <w:rPr>
                <w:rFonts w:ascii="Calibri" w:hAnsi="Calibri" w:cs="Calibri"/>
                <w:sz w:val="22"/>
                <w:szCs w:val="22"/>
              </w:rPr>
              <w:t xml:space="preserve">121,381 </w:t>
            </w:r>
          </w:p>
        </w:tc>
        <w:tc>
          <w:tcPr>
            <w:tcW w:w="2015" w:type="dxa"/>
            <w:noWrap/>
            <w:hideMark/>
          </w:tcPr>
          <w:p w14:paraId="1A86263E" w14:textId="77777777" w:rsidR="00BA6AAA" w:rsidRPr="00A63314" w:rsidRDefault="00BA6AAA" w:rsidP="00FB5B6E">
            <w:pPr>
              <w:jc w:val="right"/>
              <w:rPr>
                <w:rFonts w:ascii="Calibri" w:hAnsi="Calibri" w:cs="Calibri"/>
                <w:sz w:val="22"/>
                <w:szCs w:val="22"/>
              </w:rPr>
            </w:pPr>
            <w:r w:rsidRPr="00A63314">
              <w:rPr>
                <w:rFonts w:ascii="Calibri" w:hAnsi="Calibri" w:cs="Calibri"/>
                <w:sz w:val="22"/>
                <w:szCs w:val="22"/>
              </w:rPr>
              <w:t xml:space="preserve">2,585 </w:t>
            </w:r>
          </w:p>
        </w:tc>
        <w:tc>
          <w:tcPr>
            <w:tcW w:w="2790" w:type="dxa"/>
            <w:noWrap/>
            <w:hideMark/>
          </w:tcPr>
          <w:p w14:paraId="2775E121" w14:textId="77777777" w:rsidR="00BA6AAA" w:rsidRPr="00A63314" w:rsidRDefault="00BA6AAA" w:rsidP="00FB5B6E">
            <w:pPr>
              <w:jc w:val="right"/>
              <w:rPr>
                <w:rFonts w:ascii="Calibri" w:hAnsi="Calibri" w:cs="Calibri"/>
                <w:sz w:val="22"/>
                <w:szCs w:val="22"/>
              </w:rPr>
            </w:pPr>
            <w:r w:rsidRPr="00A63314">
              <w:rPr>
                <w:rFonts w:ascii="Calibri" w:hAnsi="Calibri" w:cs="Calibri"/>
                <w:sz w:val="22"/>
                <w:szCs w:val="22"/>
              </w:rPr>
              <w:t xml:space="preserve">517 </w:t>
            </w:r>
          </w:p>
        </w:tc>
      </w:tr>
    </w:tbl>
    <w:p w14:paraId="3A0036A0" w14:textId="77777777" w:rsidR="00644B2B" w:rsidRPr="00B70A22" w:rsidRDefault="00644B2B" w:rsidP="00644B2B"/>
    <w:p w14:paraId="03A64EC5" w14:textId="498BDC8E" w:rsidR="00B70A22" w:rsidRPr="00D94FFE" w:rsidRDefault="00187B59">
      <w:pPr>
        <w:pStyle w:val="Heading2"/>
        <w:rPr>
          <w:color w:val="F4B083" w:themeColor="accent2" w:themeTint="99"/>
        </w:rPr>
      </w:pPr>
      <w:r>
        <w:t>D</w:t>
      </w:r>
      <w:r w:rsidR="00B70A22">
        <w:t>. Cost Effectiveness of GHG Reductions</w:t>
      </w:r>
      <w:r w:rsidR="00D94FFE">
        <w:t xml:space="preserve"> </w:t>
      </w:r>
    </w:p>
    <w:p w14:paraId="66B742A9" w14:textId="30F42617" w:rsidR="00A6114C" w:rsidRDefault="00A6114C" w:rsidP="00B70A22">
      <w:r>
        <w:t xml:space="preserve">LEEP will realize </w:t>
      </w:r>
      <w:r w:rsidR="001A1CF6">
        <w:t>CO</w:t>
      </w:r>
      <w:r w:rsidR="001A1CF6" w:rsidRPr="001A1CF6">
        <w:rPr>
          <w:vertAlign w:val="subscript"/>
        </w:rPr>
        <w:t>2</w:t>
      </w:r>
      <w:r>
        <w:t xml:space="preserve"> reduction cost effectiveness over the period of performance</w:t>
      </w:r>
      <w:r w:rsidR="00793F9F">
        <w:t xml:space="preserve"> as follows</w:t>
      </w:r>
      <w:r>
        <w:t>:</w:t>
      </w:r>
    </w:p>
    <w:p w14:paraId="3C702AF6" w14:textId="77777777" w:rsidR="00A6114C" w:rsidRDefault="00A6114C" w:rsidP="00B70A22"/>
    <w:p w14:paraId="01F14182" w14:textId="77777777" w:rsidR="00A120D0" w:rsidRPr="00793F9F" w:rsidRDefault="00A120D0" w:rsidP="00A120D0">
      <w:pPr>
        <w:rPr>
          <w:b/>
          <w:bCs/>
        </w:rPr>
      </w:pPr>
      <w:r w:rsidRPr="00793F9F">
        <w:rPr>
          <w:b/>
          <w:bCs/>
        </w:rPr>
        <w:tab/>
        <w:t xml:space="preserve"> </w:t>
      </w:r>
      <w:r w:rsidR="00A6114C" w:rsidRPr="00793F9F">
        <w:rPr>
          <w:b/>
          <w:bCs/>
        </w:rPr>
        <w:t>9,739.76 metric tons/$37,407</w:t>
      </w:r>
      <w:r w:rsidRPr="00793F9F">
        <w:rPr>
          <w:b/>
          <w:bCs/>
        </w:rPr>
        <w:t xml:space="preserve">,000 = $3,841.04/metric ton </w:t>
      </w:r>
      <w:bookmarkStart w:id="13" w:name="_Hlk162596900"/>
      <w:r w:rsidRPr="00793F9F">
        <w:rPr>
          <w:b/>
          <w:bCs/>
        </w:rPr>
        <w:t>CO</w:t>
      </w:r>
      <w:r w:rsidRPr="001A1CF6">
        <w:rPr>
          <w:b/>
          <w:bCs/>
          <w:vertAlign w:val="subscript"/>
        </w:rPr>
        <w:t>2</w:t>
      </w:r>
      <w:r w:rsidRPr="00793F9F">
        <w:rPr>
          <w:b/>
          <w:bCs/>
        </w:rPr>
        <w:t xml:space="preserve"> reduced</w:t>
      </w:r>
      <w:bookmarkEnd w:id="13"/>
    </w:p>
    <w:p w14:paraId="1E3725FF" w14:textId="5F3248C5" w:rsidR="00A120D0" w:rsidRPr="00793F9F" w:rsidRDefault="00A120D0" w:rsidP="00A120D0">
      <w:pPr>
        <w:rPr>
          <w:b/>
          <w:bCs/>
        </w:rPr>
      </w:pPr>
      <w:r>
        <w:tab/>
      </w:r>
      <w:r>
        <w:tab/>
      </w:r>
      <w:r w:rsidRPr="00793F9F">
        <w:rPr>
          <w:b/>
          <w:bCs/>
        </w:rPr>
        <w:t>(10,735 tons/ $37,407,000 = $3,484.54/ton CO</w:t>
      </w:r>
      <w:r w:rsidRPr="001A1CF6">
        <w:rPr>
          <w:b/>
          <w:bCs/>
          <w:vertAlign w:val="subscript"/>
        </w:rPr>
        <w:t>2</w:t>
      </w:r>
      <w:r w:rsidRPr="00793F9F">
        <w:rPr>
          <w:b/>
          <w:bCs/>
        </w:rPr>
        <w:t xml:space="preserve"> reduced)</w:t>
      </w:r>
    </w:p>
    <w:p w14:paraId="4EF80835" w14:textId="72B053AD" w:rsidR="00A120D0" w:rsidRDefault="00A120D0" w:rsidP="00B70A22"/>
    <w:p w14:paraId="45668748" w14:textId="66F5D649" w:rsidR="00C80FC3" w:rsidRDefault="00F34389" w:rsidP="00B70A22">
      <w:r>
        <w:t>LEEP is designed for optimal ZEE adoption and maximum verifiable emissions reductions.  Equipment rebates for contractors must include battery and charging equipment. These costs are the key barrier to adoption and battery costs can be up to 4</w:t>
      </w:r>
      <w:r w:rsidR="00232F86">
        <w:t xml:space="preserve">x </w:t>
      </w:r>
      <w:r>
        <w:t xml:space="preserve">the cost of the equipment. The battery budget item is expensive and necessary. </w:t>
      </w:r>
      <w:r w:rsidR="00C80FC3">
        <w:t>Costs for residential LEEP are much lower and this portion of the program is highly cost-effective. The Caucus is proposing a strategic mix of ZEE and market sector targets to optimize cost-effectiveness.</w:t>
      </w:r>
    </w:p>
    <w:p w14:paraId="2DA0F768" w14:textId="77777777" w:rsidR="00793F9F" w:rsidRDefault="00F34389" w:rsidP="00B70A22">
      <w:r>
        <w:t xml:space="preserve"> </w:t>
      </w:r>
    </w:p>
    <w:p w14:paraId="4B31868E" w14:textId="408441DA" w:rsidR="00B70A22" w:rsidRDefault="00E15A9F" w:rsidP="00B70A22">
      <w:r>
        <w:lastRenderedPageBreak/>
        <w:t xml:space="preserve">The Caucus will leverage considerable expertise of partners and contractors, as well as our own organizational resources to optimize </w:t>
      </w:r>
      <w:r w:rsidR="00C80FC3">
        <w:t xml:space="preserve">LEEP </w:t>
      </w:r>
      <w:r>
        <w:t xml:space="preserve">cost-effectiveness.  </w:t>
      </w:r>
      <w:r w:rsidR="0076502E">
        <w:t>Us</w:t>
      </w:r>
      <w:r w:rsidR="00F34389">
        <w:t>ing</w:t>
      </w:r>
      <w:r w:rsidR="0076502E">
        <w:t xml:space="preserve"> existing networks, </w:t>
      </w:r>
      <w:r w:rsidR="00793F9F">
        <w:t>expertise,</w:t>
      </w:r>
      <w:r w:rsidR="0076502E">
        <w:t xml:space="preserve"> and resources of </w:t>
      </w:r>
      <w:r w:rsidR="008525BA">
        <w:t>HHW</w:t>
      </w:r>
      <w:r w:rsidR="0076502E">
        <w:t xml:space="preserve"> and drop-off recycling events</w:t>
      </w:r>
      <w:r w:rsidR="00C80FC3">
        <w:t xml:space="preserve">, residential LEEP </w:t>
      </w:r>
      <w:r w:rsidR="00232F86">
        <w:t xml:space="preserve">costs </w:t>
      </w:r>
      <w:r w:rsidR="00C80FC3">
        <w:t xml:space="preserve">are relatively low.  Partnerships with both ILCA and FLAP will keep outreach and operational costs for the commercial LEEP relatively low. </w:t>
      </w:r>
      <w:r w:rsidR="007F54BD">
        <w:t xml:space="preserve">The budget reflects a highly efficient overall administrative cost rate of </w:t>
      </w:r>
      <w:r w:rsidR="00B83B34">
        <w:t>18</w:t>
      </w:r>
      <w:r w:rsidR="007F54BD">
        <w:t>%.  Notably, an expected 65% of the LEEP budget is expected to directly benefit low-income persons and communities of color</w:t>
      </w:r>
      <w:r w:rsidR="00DB13C6">
        <w:t>.</w:t>
      </w:r>
    </w:p>
    <w:p w14:paraId="5FE90449" w14:textId="77777777" w:rsidR="00BA4CC1" w:rsidRDefault="00BA4CC1" w:rsidP="00B70A22"/>
    <w:p w14:paraId="2D9CD0F3" w14:textId="7F984276" w:rsidR="00C80FC3" w:rsidRDefault="00C80FC3" w:rsidP="00B70A22">
      <w:r>
        <w:t>For comparison, the statewide $27 million California CORE program</w:t>
      </w:r>
      <w:r>
        <w:rPr>
          <w:rStyle w:val="FootnoteReference"/>
        </w:rPr>
        <w:footnoteReference w:id="16"/>
      </w:r>
      <w:r>
        <w:t xml:space="preserve"> invested and replace</w:t>
      </w:r>
      <w:r w:rsidR="00550557">
        <w:t>d</w:t>
      </w:r>
      <w:r>
        <w:t xml:space="preserve"> 27,000 tools and provided 30,000 batteries</w:t>
      </w:r>
      <w:r w:rsidR="00EB1B1E">
        <w:t>, but did not require verified, safe destruction of old gasoline equipment</w:t>
      </w:r>
      <w:r>
        <w:t xml:space="preserve">.  LEEP aims to replace </w:t>
      </w:r>
      <w:r w:rsidR="0008789E">
        <w:t xml:space="preserve">81,515 gas-powered tools and provide 3,686 batteries for commercial </w:t>
      </w:r>
      <w:r w:rsidR="00C07BC4">
        <w:t>hand</w:t>
      </w:r>
      <w:r w:rsidR="00CF4EF1">
        <w:t>-</w:t>
      </w:r>
      <w:r w:rsidR="00C07BC4">
        <w:t>held ZEE</w:t>
      </w:r>
      <w:r w:rsidR="00EB1B1E">
        <w:t xml:space="preserve"> for the total budget of $37,40</w:t>
      </w:r>
      <w:r w:rsidR="0056589C">
        <w:t>7</w:t>
      </w:r>
      <w:r w:rsidR="00EB1B1E">
        <w:t xml:space="preserve">,000. We are also proposing more modest rebates/incentives for LEEP than CORE did to improve cost effectives. We believe we can achieve results in the commercial sector </w:t>
      </w:r>
      <w:r w:rsidR="00114A8A">
        <w:t xml:space="preserve">with </w:t>
      </w:r>
      <w:r w:rsidR="00EB1B1E">
        <w:t xml:space="preserve">rebates at approximately 50% of the cost of equipment and 80-100% of the cost of batteries and charging.  However, we will adjust LEEP rebate amounts to achieve targets.  </w:t>
      </w:r>
    </w:p>
    <w:p w14:paraId="6CF086DF" w14:textId="77777777" w:rsidR="007E5E12" w:rsidRPr="007E5E12" w:rsidRDefault="007E5E12" w:rsidP="007E5E12"/>
    <w:p w14:paraId="0264DFE6" w14:textId="159909C2" w:rsidR="004C35F4" w:rsidRPr="00DB7AC8" w:rsidRDefault="00AF00F5" w:rsidP="00AF00F5">
      <w:pPr>
        <w:pStyle w:val="Heading1"/>
        <w:numPr>
          <w:ilvl w:val="0"/>
          <w:numId w:val="7"/>
        </w:numPr>
        <w:ind w:left="360"/>
      </w:pPr>
      <w:r w:rsidRPr="00DB7AC8">
        <w:t>Environmental Results – Outputs, Outcomes, and Performance Measures</w:t>
      </w:r>
      <w:r w:rsidR="00B811E7" w:rsidRPr="00DB7AC8">
        <w:t xml:space="preserve"> </w:t>
      </w:r>
    </w:p>
    <w:p w14:paraId="2C50AB53" w14:textId="6BBF1738" w:rsidR="00B811E7" w:rsidRDefault="00B811E7" w:rsidP="00B811E7">
      <w:pPr>
        <w:pStyle w:val="ListParagraph"/>
        <w:ind w:left="0"/>
        <w:rPr>
          <w:sz w:val="22"/>
          <w:szCs w:val="22"/>
        </w:rPr>
      </w:pPr>
      <w:r w:rsidRPr="00B811E7">
        <w:rPr>
          <w:sz w:val="22"/>
          <w:szCs w:val="22"/>
        </w:rPr>
        <w:t>Outputs will be achieved by the conclusion of the 5-year CPRG grant period through LEEP</w:t>
      </w:r>
      <w:r w:rsidR="00426E53">
        <w:rPr>
          <w:sz w:val="22"/>
          <w:szCs w:val="22"/>
        </w:rPr>
        <w:t xml:space="preserve">. </w:t>
      </w:r>
      <w:r w:rsidRPr="00B811E7">
        <w:rPr>
          <w:sz w:val="22"/>
          <w:szCs w:val="22"/>
        </w:rPr>
        <w:t>Outcomes will occur both within the CPRG grant period and beyond.</w:t>
      </w:r>
    </w:p>
    <w:p w14:paraId="611A686F" w14:textId="77777777" w:rsidR="00F87154" w:rsidRPr="00B811E7" w:rsidRDefault="00F87154" w:rsidP="00B811E7">
      <w:pPr>
        <w:pStyle w:val="ListParagraph"/>
        <w:ind w:left="0"/>
        <w:rPr>
          <w:sz w:val="22"/>
          <w:szCs w:val="22"/>
        </w:rPr>
      </w:pPr>
    </w:p>
    <w:p w14:paraId="48DAA819" w14:textId="67233A8E" w:rsidR="005073E3" w:rsidRDefault="005073E3" w:rsidP="005073E3">
      <w:pPr>
        <w:pStyle w:val="Heading2"/>
      </w:pPr>
      <w:r>
        <w:t xml:space="preserve">A. Expected Outputs and </w:t>
      </w:r>
      <w:r w:rsidR="007A616E">
        <w:t>O</w:t>
      </w:r>
      <w:r>
        <w:t>utcomes</w:t>
      </w:r>
      <w:bookmarkStart w:id="14" w:name="_Hlk162602353"/>
      <w:r>
        <w:t xml:space="preserve"> </w:t>
      </w:r>
      <w:bookmarkEnd w:id="14"/>
    </w:p>
    <w:p w14:paraId="0E9B46E2" w14:textId="77777777" w:rsidR="00F065C6" w:rsidRDefault="00F065C6" w:rsidP="005073E3">
      <w:pPr>
        <w:rPr>
          <w:b/>
          <w:bCs/>
        </w:rPr>
      </w:pPr>
      <w:bookmarkStart w:id="15" w:name="_Hlk162625326"/>
    </w:p>
    <w:p w14:paraId="085D0ED7" w14:textId="3B56DE4F" w:rsidR="00DC1404" w:rsidRPr="00475FE5" w:rsidRDefault="00B811E7" w:rsidP="005073E3">
      <w:pPr>
        <w:rPr>
          <w:b/>
          <w:bCs/>
        </w:rPr>
      </w:pPr>
      <w:r w:rsidRPr="00204AAC">
        <w:rPr>
          <w:b/>
          <w:bCs/>
        </w:rPr>
        <w:t>Outcome 1:</w:t>
      </w:r>
      <w:r>
        <w:tab/>
      </w:r>
      <w:bookmarkStart w:id="16" w:name="_Hlk162868727"/>
      <w:r w:rsidRPr="00475FE5">
        <w:rPr>
          <w:b/>
          <w:bCs/>
        </w:rPr>
        <w:t xml:space="preserve">Reduction of GHG, air and noise pollution in the Chicago region </w:t>
      </w:r>
    </w:p>
    <w:bookmarkEnd w:id="16"/>
    <w:p w14:paraId="627E83D4" w14:textId="0719169E" w:rsidR="00B811E7" w:rsidRDefault="00B811E7" w:rsidP="005073E3">
      <w:r>
        <w:t>Output</w:t>
      </w:r>
      <w:r w:rsidR="00204AAC">
        <w:t xml:space="preserve"> 1a</w:t>
      </w:r>
      <w:r>
        <w:t xml:space="preserve">: </w:t>
      </w:r>
      <w:r>
        <w:tab/>
      </w:r>
      <w:r w:rsidR="00204AAC">
        <w:t>Cumulative r</w:t>
      </w:r>
      <w:r>
        <w:t>eduction of CO</w:t>
      </w:r>
      <w:r w:rsidRPr="00F87154">
        <w:rPr>
          <w:vertAlign w:val="subscript"/>
        </w:rPr>
        <w:t>2</w:t>
      </w:r>
      <w:r>
        <w:t xml:space="preserve"> emissions by 9,739.76 metric tons (10,735 tons)</w:t>
      </w:r>
    </w:p>
    <w:p w14:paraId="48AFA49F" w14:textId="1D376579" w:rsidR="00204AAC" w:rsidRDefault="00B811E7" w:rsidP="005073E3">
      <w:r>
        <w:t>Output</w:t>
      </w:r>
      <w:r w:rsidR="00204AAC">
        <w:t xml:space="preserve"> 1b</w:t>
      </w:r>
      <w:r>
        <w:t>:</w:t>
      </w:r>
      <w:r>
        <w:tab/>
      </w:r>
      <w:r w:rsidR="00204AAC">
        <w:t>Cumulative r</w:t>
      </w:r>
      <w:r>
        <w:t xml:space="preserve">eduction of </w:t>
      </w:r>
      <w:r w:rsidR="00204AAC">
        <w:t xml:space="preserve">NOx </w:t>
      </w:r>
      <w:r w:rsidR="00DB13C6">
        <w:t xml:space="preserve">emissions by 21 metric tons </w:t>
      </w:r>
      <w:r w:rsidR="00D31045">
        <w:t xml:space="preserve">(24 tons) and </w:t>
      </w:r>
      <w:r w:rsidR="00DB13C6">
        <w:t xml:space="preserve">VOCs by </w:t>
      </w:r>
      <w:r w:rsidR="00D31045">
        <w:t xml:space="preserve">172 </w:t>
      </w:r>
      <w:r w:rsidR="00DB13C6">
        <w:tab/>
      </w:r>
      <w:r w:rsidR="00DB13C6">
        <w:tab/>
      </w:r>
      <w:r w:rsidR="00DB13C6">
        <w:tab/>
      </w:r>
      <w:r w:rsidR="00D31045">
        <w:t>metric tons (</w:t>
      </w:r>
      <w:r w:rsidR="00204AAC">
        <w:t xml:space="preserve">190 </w:t>
      </w:r>
      <w:r w:rsidR="00D31045">
        <w:t xml:space="preserve">tons) </w:t>
      </w:r>
      <w:r w:rsidR="00D31045">
        <w:tab/>
      </w:r>
      <w:r w:rsidR="00D31045">
        <w:tab/>
      </w:r>
      <w:r w:rsidR="00D31045">
        <w:tab/>
      </w:r>
    </w:p>
    <w:p w14:paraId="675C2567" w14:textId="54ACB9EC" w:rsidR="00722CCC" w:rsidRDefault="00722CCC" w:rsidP="005073E3">
      <w:r>
        <w:t>Output 1c:</w:t>
      </w:r>
      <w:r>
        <w:tab/>
        <w:t xml:space="preserve">Reduction of noise pollution </w:t>
      </w:r>
      <w:r w:rsidR="00D31045">
        <w:t xml:space="preserve">to </w:t>
      </w:r>
      <w:r w:rsidR="00DB13C6">
        <w:t xml:space="preserve">participating </w:t>
      </w:r>
      <w:r w:rsidR="00D31045">
        <w:t>landscape workers by at least 40%</w:t>
      </w:r>
    </w:p>
    <w:p w14:paraId="1F9AC03F" w14:textId="6ABFF236" w:rsidR="0065485B" w:rsidRDefault="0065485B" w:rsidP="005073E3">
      <w:r>
        <w:t>Output 1d:</w:t>
      </w:r>
      <w:r>
        <w:tab/>
        <w:t>Reduction of exposure to pollutants to members of LIDAC communities</w:t>
      </w:r>
    </w:p>
    <w:bookmarkEnd w:id="15"/>
    <w:p w14:paraId="2D533A6F" w14:textId="75FAF8D5" w:rsidR="00DB13C6" w:rsidRDefault="00204AAC" w:rsidP="005073E3">
      <w:r>
        <w:t>Output 1</w:t>
      </w:r>
      <w:r w:rsidR="0065485B">
        <w:t>e</w:t>
      </w:r>
      <w:r>
        <w:t xml:space="preserve">: </w:t>
      </w:r>
      <w:r>
        <w:tab/>
        <w:t>Cumulative reduction of HAP as in chart below</w:t>
      </w:r>
    </w:p>
    <w:p w14:paraId="325973EA" w14:textId="77777777" w:rsidR="00C5246E" w:rsidRDefault="00C5246E" w:rsidP="005073E3"/>
    <w:tbl>
      <w:tblPr>
        <w:tblStyle w:val="TableGrid"/>
        <w:tblW w:w="0" w:type="auto"/>
        <w:tblLook w:val="04A0" w:firstRow="1" w:lastRow="0" w:firstColumn="1" w:lastColumn="0" w:noHBand="0" w:noVBand="1"/>
      </w:tblPr>
      <w:tblGrid>
        <w:gridCol w:w="1536"/>
        <w:gridCol w:w="2329"/>
        <w:gridCol w:w="1530"/>
        <w:gridCol w:w="1440"/>
      </w:tblGrid>
      <w:tr w:rsidR="00C5246E" w:rsidRPr="003E2CF9" w14:paraId="6870AF46" w14:textId="77777777" w:rsidTr="00DE2D29">
        <w:trPr>
          <w:trHeight w:val="290"/>
        </w:trPr>
        <w:tc>
          <w:tcPr>
            <w:tcW w:w="1536" w:type="dxa"/>
            <w:noWrap/>
            <w:hideMark/>
          </w:tcPr>
          <w:p w14:paraId="2A274E78" w14:textId="60DC4E32" w:rsidR="00C5246E" w:rsidRPr="00114A8A" w:rsidRDefault="00C5246E" w:rsidP="005073E3">
            <w:pPr>
              <w:rPr>
                <w:rFonts w:cstheme="minorHAnsi"/>
                <w:sz w:val="22"/>
                <w:szCs w:val="22"/>
              </w:rPr>
            </w:pPr>
          </w:p>
        </w:tc>
        <w:tc>
          <w:tcPr>
            <w:tcW w:w="2329" w:type="dxa"/>
            <w:noWrap/>
            <w:hideMark/>
          </w:tcPr>
          <w:p w14:paraId="556BA513" w14:textId="77777777" w:rsidR="00C5246E" w:rsidRPr="00114A8A" w:rsidRDefault="00C5246E" w:rsidP="005073E3">
            <w:pPr>
              <w:rPr>
                <w:rFonts w:cstheme="minorHAnsi"/>
                <w:sz w:val="22"/>
                <w:szCs w:val="22"/>
              </w:rPr>
            </w:pPr>
          </w:p>
        </w:tc>
        <w:tc>
          <w:tcPr>
            <w:tcW w:w="2970" w:type="dxa"/>
            <w:gridSpan w:val="2"/>
            <w:noWrap/>
            <w:hideMark/>
          </w:tcPr>
          <w:p w14:paraId="1DA89BE0" w14:textId="227CDA85" w:rsidR="00C5246E" w:rsidRPr="00114A8A" w:rsidRDefault="00C5246E" w:rsidP="005073E3">
            <w:pPr>
              <w:rPr>
                <w:rFonts w:cstheme="minorHAnsi"/>
                <w:sz w:val="22"/>
                <w:szCs w:val="22"/>
              </w:rPr>
            </w:pPr>
            <w:r w:rsidRPr="00114A8A">
              <w:rPr>
                <w:rFonts w:cstheme="minorHAnsi"/>
                <w:sz w:val="22"/>
                <w:szCs w:val="22"/>
              </w:rPr>
              <w:t>2026-2050 Emissions Reductions (tons)</w:t>
            </w:r>
          </w:p>
        </w:tc>
      </w:tr>
      <w:tr w:rsidR="00C5246E" w:rsidRPr="003E2CF9" w14:paraId="6BA408AD" w14:textId="77777777" w:rsidTr="00DE2D29">
        <w:trPr>
          <w:trHeight w:val="290"/>
        </w:trPr>
        <w:tc>
          <w:tcPr>
            <w:tcW w:w="1536" w:type="dxa"/>
            <w:noWrap/>
            <w:hideMark/>
          </w:tcPr>
          <w:p w14:paraId="4AB7C843" w14:textId="77777777" w:rsidR="00C5246E" w:rsidRPr="00DE2D29" w:rsidRDefault="00C5246E" w:rsidP="005073E3">
            <w:pPr>
              <w:rPr>
                <w:rFonts w:cstheme="minorHAnsi"/>
                <w:b/>
                <w:bCs/>
                <w:sz w:val="22"/>
                <w:szCs w:val="22"/>
              </w:rPr>
            </w:pPr>
            <w:r w:rsidRPr="00DE2D29">
              <w:rPr>
                <w:rFonts w:cstheme="minorHAnsi"/>
                <w:b/>
                <w:bCs/>
              </w:rPr>
              <w:t>Species</w:t>
            </w:r>
          </w:p>
        </w:tc>
        <w:tc>
          <w:tcPr>
            <w:tcW w:w="2329" w:type="dxa"/>
            <w:noWrap/>
            <w:hideMark/>
          </w:tcPr>
          <w:p w14:paraId="67398903" w14:textId="7EB0B51E" w:rsidR="00C5246E" w:rsidRPr="00DE2D29" w:rsidRDefault="00C5246E" w:rsidP="005073E3">
            <w:pPr>
              <w:rPr>
                <w:rFonts w:cstheme="minorHAnsi"/>
                <w:b/>
                <w:bCs/>
                <w:sz w:val="22"/>
                <w:szCs w:val="22"/>
              </w:rPr>
            </w:pPr>
            <w:r>
              <w:rPr>
                <w:rFonts w:cstheme="minorHAnsi"/>
                <w:b/>
                <w:bCs/>
                <w:sz w:val="22"/>
                <w:szCs w:val="22"/>
              </w:rPr>
              <w:t>2020 Emissions (tons)</w:t>
            </w:r>
          </w:p>
        </w:tc>
        <w:tc>
          <w:tcPr>
            <w:tcW w:w="1530" w:type="dxa"/>
            <w:noWrap/>
            <w:hideMark/>
          </w:tcPr>
          <w:p w14:paraId="254A3020" w14:textId="77777777" w:rsidR="00C5246E" w:rsidRPr="00DE2D29" w:rsidRDefault="00C5246E" w:rsidP="005073E3">
            <w:pPr>
              <w:rPr>
                <w:rFonts w:cstheme="minorHAnsi"/>
                <w:b/>
                <w:bCs/>
                <w:sz w:val="22"/>
                <w:szCs w:val="22"/>
              </w:rPr>
            </w:pPr>
            <w:r w:rsidRPr="00DE2D29">
              <w:rPr>
                <w:rFonts w:cstheme="minorHAnsi"/>
                <w:b/>
                <w:bCs/>
              </w:rPr>
              <w:t>Cumulative</w:t>
            </w:r>
          </w:p>
        </w:tc>
        <w:tc>
          <w:tcPr>
            <w:tcW w:w="1440" w:type="dxa"/>
            <w:noWrap/>
            <w:hideMark/>
          </w:tcPr>
          <w:p w14:paraId="2A251504" w14:textId="77777777" w:rsidR="00C5246E" w:rsidRPr="00DE2D29" w:rsidRDefault="00C5246E" w:rsidP="005073E3">
            <w:pPr>
              <w:rPr>
                <w:rFonts w:cstheme="minorHAnsi"/>
                <w:b/>
                <w:bCs/>
                <w:sz w:val="22"/>
                <w:szCs w:val="22"/>
              </w:rPr>
            </w:pPr>
            <w:r w:rsidRPr="00DE2D29">
              <w:rPr>
                <w:rFonts w:cstheme="minorHAnsi"/>
                <w:b/>
                <w:bCs/>
              </w:rPr>
              <w:t>Annual</w:t>
            </w:r>
          </w:p>
        </w:tc>
      </w:tr>
      <w:tr w:rsidR="00C5246E" w:rsidRPr="003E2CF9" w14:paraId="6F436D15" w14:textId="77777777" w:rsidTr="00DE2D29">
        <w:trPr>
          <w:trHeight w:val="290"/>
        </w:trPr>
        <w:tc>
          <w:tcPr>
            <w:tcW w:w="1536" w:type="dxa"/>
            <w:noWrap/>
            <w:hideMark/>
          </w:tcPr>
          <w:p w14:paraId="5EDB8981" w14:textId="5C2141BF" w:rsidR="00C5246E" w:rsidRPr="00114A8A" w:rsidRDefault="00C5246E" w:rsidP="005073E3">
            <w:pPr>
              <w:rPr>
                <w:rFonts w:cstheme="minorHAnsi"/>
                <w:sz w:val="22"/>
                <w:szCs w:val="22"/>
              </w:rPr>
            </w:pPr>
            <w:r>
              <w:rPr>
                <w:rFonts w:cstheme="minorHAnsi"/>
                <w:sz w:val="22"/>
                <w:szCs w:val="22"/>
              </w:rPr>
              <w:t>Acetaldehyde</w:t>
            </w:r>
          </w:p>
        </w:tc>
        <w:tc>
          <w:tcPr>
            <w:tcW w:w="2329" w:type="dxa"/>
            <w:hideMark/>
          </w:tcPr>
          <w:p w14:paraId="0685A026" w14:textId="77777777" w:rsidR="00C5246E" w:rsidRPr="00114A8A" w:rsidRDefault="00C5246E" w:rsidP="00DB13C6">
            <w:pPr>
              <w:jc w:val="right"/>
              <w:rPr>
                <w:rFonts w:cstheme="minorHAnsi"/>
                <w:sz w:val="22"/>
                <w:szCs w:val="22"/>
              </w:rPr>
            </w:pPr>
            <w:r w:rsidRPr="00114A8A">
              <w:rPr>
                <w:rFonts w:cstheme="minorHAnsi"/>
                <w:sz w:val="22"/>
                <w:szCs w:val="22"/>
              </w:rPr>
              <w:t>135</w:t>
            </w:r>
          </w:p>
        </w:tc>
        <w:tc>
          <w:tcPr>
            <w:tcW w:w="1530" w:type="dxa"/>
            <w:hideMark/>
          </w:tcPr>
          <w:p w14:paraId="4F5D72FF" w14:textId="77777777" w:rsidR="00C5246E" w:rsidRPr="00114A8A" w:rsidRDefault="00C5246E" w:rsidP="00DB13C6">
            <w:pPr>
              <w:jc w:val="right"/>
              <w:rPr>
                <w:rFonts w:cstheme="minorHAnsi"/>
                <w:sz w:val="22"/>
                <w:szCs w:val="22"/>
              </w:rPr>
            </w:pPr>
            <w:r w:rsidRPr="00114A8A">
              <w:rPr>
                <w:rFonts w:cstheme="minorHAnsi"/>
                <w:sz w:val="22"/>
                <w:szCs w:val="22"/>
              </w:rPr>
              <w:t>3</w:t>
            </w:r>
          </w:p>
        </w:tc>
        <w:tc>
          <w:tcPr>
            <w:tcW w:w="1440" w:type="dxa"/>
            <w:hideMark/>
          </w:tcPr>
          <w:p w14:paraId="4F118C62" w14:textId="77777777" w:rsidR="00C5246E" w:rsidRPr="00114A8A" w:rsidRDefault="00C5246E" w:rsidP="00DB13C6">
            <w:pPr>
              <w:jc w:val="right"/>
              <w:rPr>
                <w:rFonts w:cstheme="minorHAnsi"/>
                <w:sz w:val="22"/>
                <w:szCs w:val="22"/>
              </w:rPr>
            </w:pPr>
            <w:r w:rsidRPr="00114A8A">
              <w:rPr>
                <w:rFonts w:cstheme="minorHAnsi"/>
                <w:sz w:val="22"/>
                <w:szCs w:val="22"/>
              </w:rPr>
              <w:t>1</w:t>
            </w:r>
          </w:p>
        </w:tc>
      </w:tr>
      <w:tr w:rsidR="00C5246E" w:rsidRPr="003E2CF9" w14:paraId="6D5177DE" w14:textId="77777777" w:rsidTr="00DE2D29">
        <w:trPr>
          <w:trHeight w:val="290"/>
        </w:trPr>
        <w:tc>
          <w:tcPr>
            <w:tcW w:w="1536" w:type="dxa"/>
            <w:noWrap/>
            <w:hideMark/>
          </w:tcPr>
          <w:p w14:paraId="6249737D" w14:textId="3FAE7EC6" w:rsidR="00C5246E" w:rsidRPr="00114A8A" w:rsidRDefault="00815B97" w:rsidP="005073E3">
            <w:pPr>
              <w:rPr>
                <w:rFonts w:cstheme="minorHAnsi"/>
                <w:sz w:val="22"/>
                <w:szCs w:val="22"/>
              </w:rPr>
            </w:pPr>
            <w:r>
              <w:rPr>
                <w:rFonts w:cstheme="minorHAnsi"/>
                <w:sz w:val="22"/>
                <w:szCs w:val="22"/>
              </w:rPr>
              <w:t>Toluene</w:t>
            </w:r>
          </w:p>
        </w:tc>
        <w:tc>
          <w:tcPr>
            <w:tcW w:w="2329" w:type="dxa"/>
            <w:hideMark/>
          </w:tcPr>
          <w:p w14:paraId="59CC8313" w14:textId="77777777" w:rsidR="00C5246E" w:rsidRPr="00114A8A" w:rsidRDefault="00C5246E" w:rsidP="00DB13C6">
            <w:pPr>
              <w:jc w:val="right"/>
              <w:rPr>
                <w:rFonts w:cstheme="minorHAnsi"/>
                <w:sz w:val="22"/>
                <w:szCs w:val="22"/>
              </w:rPr>
            </w:pPr>
            <w:r w:rsidRPr="00114A8A">
              <w:rPr>
                <w:rFonts w:cstheme="minorHAnsi"/>
                <w:sz w:val="22"/>
                <w:szCs w:val="22"/>
              </w:rPr>
              <w:t>15,933</w:t>
            </w:r>
          </w:p>
        </w:tc>
        <w:tc>
          <w:tcPr>
            <w:tcW w:w="1530" w:type="dxa"/>
            <w:hideMark/>
          </w:tcPr>
          <w:p w14:paraId="15CD500A" w14:textId="77777777" w:rsidR="00C5246E" w:rsidRPr="00114A8A" w:rsidRDefault="00C5246E" w:rsidP="00DB13C6">
            <w:pPr>
              <w:jc w:val="right"/>
              <w:rPr>
                <w:rFonts w:cstheme="minorHAnsi"/>
                <w:sz w:val="22"/>
                <w:szCs w:val="22"/>
              </w:rPr>
            </w:pPr>
            <w:r w:rsidRPr="00114A8A">
              <w:rPr>
                <w:rFonts w:cstheme="minorHAnsi"/>
                <w:sz w:val="22"/>
                <w:szCs w:val="22"/>
              </w:rPr>
              <w:t>339</w:t>
            </w:r>
          </w:p>
        </w:tc>
        <w:tc>
          <w:tcPr>
            <w:tcW w:w="1440" w:type="dxa"/>
            <w:hideMark/>
          </w:tcPr>
          <w:p w14:paraId="008444D6" w14:textId="77777777" w:rsidR="00C5246E" w:rsidRPr="00114A8A" w:rsidRDefault="00C5246E" w:rsidP="00DB13C6">
            <w:pPr>
              <w:jc w:val="right"/>
              <w:rPr>
                <w:rFonts w:cstheme="minorHAnsi"/>
                <w:sz w:val="22"/>
                <w:szCs w:val="22"/>
              </w:rPr>
            </w:pPr>
            <w:r w:rsidRPr="00114A8A">
              <w:rPr>
                <w:rFonts w:cstheme="minorHAnsi"/>
                <w:sz w:val="22"/>
                <w:szCs w:val="22"/>
              </w:rPr>
              <w:t>68</w:t>
            </w:r>
          </w:p>
        </w:tc>
      </w:tr>
      <w:tr w:rsidR="00C5246E" w:rsidRPr="003E2CF9" w14:paraId="30470059" w14:textId="77777777" w:rsidTr="00DE2D29">
        <w:trPr>
          <w:trHeight w:val="290"/>
        </w:trPr>
        <w:tc>
          <w:tcPr>
            <w:tcW w:w="1536" w:type="dxa"/>
            <w:noWrap/>
            <w:hideMark/>
          </w:tcPr>
          <w:p w14:paraId="6EFD6220" w14:textId="07B90CC2" w:rsidR="00C5246E" w:rsidRPr="00114A8A" w:rsidRDefault="00C5246E" w:rsidP="005073E3">
            <w:pPr>
              <w:rPr>
                <w:rFonts w:cstheme="minorHAnsi"/>
                <w:sz w:val="22"/>
                <w:szCs w:val="22"/>
              </w:rPr>
            </w:pPr>
            <w:r>
              <w:rPr>
                <w:rFonts w:cstheme="minorHAnsi"/>
                <w:sz w:val="22"/>
                <w:szCs w:val="22"/>
              </w:rPr>
              <w:t>Xylene</w:t>
            </w:r>
          </w:p>
        </w:tc>
        <w:tc>
          <w:tcPr>
            <w:tcW w:w="2329" w:type="dxa"/>
            <w:hideMark/>
          </w:tcPr>
          <w:p w14:paraId="6795D8D5" w14:textId="77777777" w:rsidR="00C5246E" w:rsidRPr="00114A8A" w:rsidRDefault="00C5246E" w:rsidP="00DB13C6">
            <w:pPr>
              <w:jc w:val="right"/>
              <w:rPr>
                <w:rFonts w:cstheme="minorHAnsi"/>
                <w:sz w:val="22"/>
                <w:szCs w:val="22"/>
              </w:rPr>
            </w:pPr>
            <w:r w:rsidRPr="00114A8A">
              <w:rPr>
                <w:rFonts w:cstheme="minorHAnsi"/>
                <w:sz w:val="22"/>
                <w:szCs w:val="22"/>
              </w:rPr>
              <w:t>16,088</w:t>
            </w:r>
          </w:p>
        </w:tc>
        <w:tc>
          <w:tcPr>
            <w:tcW w:w="1530" w:type="dxa"/>
            <w:hideMark/>
          </w:tcPr>
          <w:p w14:paraId="7AAC4AA0" w14:textId="77777777" w:rsidR="00C5246E" w:rsidRPr="00114A8A" w:rsidRDefault="00C5246E" w:rsidP="00DB13C6">
            <w:pPr>
              <w:jc w:val="right"/>
              <w:rPr>
                <w:rFonts w:cstheme="minorHAnsi"/>
                <w:sz w:val="22"/>
                <w:szCs w:val="22"/>
              </w:rPr>
            </w:pPr>
            <w:r w:rsidRPr="00114A8A">
              <w:rPr>
                <w:rFonts w:cstheme="minorHAnsi"/>
                <w:sz w:val="22"/>
                <w:szCs w:val="22"/>
              </w:rPr>
              <w:t>343</w:t>
            </w:r>
          </w:p>
        </w:tc>
        <w:tc>
          <w:tcPr>
            <w:tcW w:w="1440" w:type="dxa"/>
            <w:hideMark/>
          </w:tcPr>
          <w:p w14:paraId="3EB7E7DE" w14:textId="77777777" w:rsidR="00C5246E" w:rsidRPr="00114A8A" w:rsidRDefault="00C5246E" w:rsidP="00DB13C6">
            <w:pPr>
              <w:jc w:val="right"/>
              <w:rPr>
                <w:rFonts w:cstheme="minorHAnsi"/>
                <w:sz w:val="22"/>
                <w:szCs w:val="22"/>
              </w:rPr>
            </w:pPr>
            <w:r w:rsidRPr="00114A8A">
              <w:rPr>
                <w:rFonts w:cstheme="minorHAnsi"/>
                <w:sz w:val="22"/>
                <w:szCs w:val="22"/>
              </w:rPr>
              <w:t>69</w:t>
            </w:r>
          </w:p>
        </w:tc>
      </w:tr>
      <w:tr w:rsidR="00C5246E" w:rsidRPr="003E2CF9" w14:paraId="0DE8B0DB" w14:textId="77777777" w:rsidTr="00DE2D29">
        <w:trPr>
          <w:trHeight w:val="290"/>
        </w:trPr>
        <w:tc>
          <w:tcPr>
            <w:tcW w:w="1536" w:type="dxa"/>
            <w:hideMark/>
          </w:tcPr>
          <w:p w14:paraId="62A2DA4D" w14:textId="77777777" w:rsidR="00C5246E" w:rsidRPr="00114A8A" w:rsidRDefault="00C5246E" w:rsidP="005073E3">
            <w:pPr>
              <w:rPr>
                <w:rFonts w:cstheme="minorHAnsi"/>
                <w:sz w:val="22"/>
                <w:szCs w:val="22"/>
              </w:rPr>
            </w:pPr>
            <w:r w:rsidRPr="00114A8A">
              <w:rPr>
                <w:rFonts w:cstheme="minorHAnsi"/>
                <w:sz w:val="22"/>
                <w:szCs w:val="22"/>
              </w:rPr>
              <w:t>Benzene</w:t>
            </w:r>
          </w:p>
        </w:tc>
        <w:tc>
          <w:tcPr>
            <w:tcW w:w="2329" w:type="dxa"/>
            <w:hideMark/>
          </w:tcPr>
          <w:p w14:paraId="6951A724" w14:textId="77777777" w:rsidR="00C5246E" w:rsidRPr="00114A8A" w:rsidRDefault="00C5246E" w:rsidP="00DB13C6">
            <w:pPr>
              <w:jc w:val="right"/>
              <w:rPr>
                <w:rFonts w:cstheme="minorHAnsi"/>
                <w:sz w:val="22"/>
                <w:szCs w:val="22"/>
              </w:rPr>
            </w:pPr>
            <w:r w:rsidRPr="00114A8A">
              <w:rPr>
                <w:rFonts w:cstheme="minorHAnsi"/>
                <w:sz w:val="22"/>
                <w:szCs w:val="22"/>
              </w:rPr>
              <w:t>16,942</w:t>
            </w:r>
          </w:p>
        </w:tc>
        <w:tc>
          <w:tcPr>
            <w:tcW w:w="1530" w:type="dxa"/>
            <w:hideMark/>
          </w:tcPr>
          <w:p w14:paraId="7C85F29B" w14:textId="77777777" w:rsidR="00C5246E" w:rsidRPr="00114A8A" w:rsidRDefault="00C5246E" w:rsidP="00DB13C6">
            <w:pPr>
              <w:jc w:val="right"/>
              <w:rPr>
                <w:rFonts w:cstheme="minorHAnsi"/>
                <w:sz w:val="22"/>
                <w:szCs w:val="22"/>
              </w:rPr>
            </w:pPr>
            <w:r w:rsidRPr="00114A8A">
              <w:rPr>
                <w:rFonts w:cstheme="minorHAnsi"/>
                <w:sz w:val="22"/>
                <w:szCs w:val="22"/>
              </w:rPr>
              <w:t>361</w:t>
            </w:r>
          </w:p>
        </w:tc>
        <w:tc>
          <w:tcPr>
            <w:tcW w:w="1440" w:type="dxa"/>
            <w:hideMark/>
          </w:tcPr>
          <w:p w14:paraId="39B91F0B" w14:textId="77777777" w:rsidR="00C5246E" w:rsidRPr="00114A8A" w:rsidRDefault="00C5246E" w:rsidP="00DB13C6">
            <w:pPr>
              <w:jc w:val="right"/>
              <w:rPr>
                <w:rFonts w:cstheme="minorHAnsi"/>
                <w:sz w:val="22"/>
                <w:szCs w:val="22"/>
              </w:rPr>
            </w:pPr>
            <w:r w:rsidRPr="00114A8A">
              <w:rPr>
                <w:rFonts w:cstheme="minorHAnsi"/>
                <w:sz w:val="22"/>
                <w:szCs w:val="22"/>
              </w:rPr>
              <w:t>72</w:t>
            </w:r>
          </w:p>
        </w:tc>
      </w:tr>
    </w:tbl>
    <w:p w14:paraId="4B0681EE" w14:textId="77777777" w:rsidR="00F87154" w:rsidRDefault="00F87154" w:rsidP="005073E3">
      <w:pPr>
        <w:rPr>
          <w:b/>
          <w:bCs/>
        </w:rPr>
      </w:pPr>
      <w:bookmarkStart w:id="17" w:name="_Hlk162625304"/>
    </w:p>
    <w:p w14:paraId="25D07FD1" w14:textId="77777777" w:rsidR="00F87154" w:rsidRDefault="00F87154" w:rsidP="005073E3">
      <w:pPr>
        <w:rPr>
          <w:b/>
          <w:bCs/>
        </w:rPr>
      </w:pPr>
    </w:p>
    <w:p w14:paraId="58C1F470" w14:textId="53B36FAF" w:rsidR="00204AAC" w:rsidRDefault="00204AAC" w:rsidP="005073E3">
      <w:r w:rsidRPr="00204AAC">
        <w:rPr>
          <w:b/>
          <w:bCs/>
        </w:rPr>
        <w:t xml:space="preserve">Outcome </w:t>
      </w:r>
      <w:r>
        <w:rPr>
          <w:b/>
          <w:bCs/>
        </w:rPr>
        <w:t>2</w:t>
      </w:r>
      <w:r w:rsidRPr="00204AAC">
        <w:rPr>
          <w:b/>
          <w:bCs/>
        </w:rPr>
        <w:t>:</w:t>
      </w:r>
      <w:r>
        <w:tab/>
      </w:r>
      <w:bookmarkStart w:id="18" w:name="_Hlk162868761"/>
      <w:r w:rsidRPr="009B767D">
        <w:rPr>
          <w:b/>
          <w:bCs/>
        </w:rPr>
        <w:t xml:space="preserve">Removal of gasoline and diesel-powered </w:t>
      </w:r>
      <w:r w:rsidR="00722CCC" w:rsidRPr="009B767D">
        <w:rPr>
          <w:b/>
          <w:bCs/>
        </w:rPr>
        <w:t>LGE</w:t>
      </w:r>
      <w:r w:rsidRPr="009B767D">
        <w:rPr>
          <w:b/>
          <w:bCs/>
        </w:rPr>
        <w:t xml:space="preserve"> from service</w:t>
      </w:r>
    </w:p>
    <w:bookmarkEnd w:id="18"/>
    <w:p w14:paraId="23CB40AF" w14:textId="36267B00" w:rsidR="00204AAC" w:rsidRDefault="00204AAC" w:rsidP="005073E3">
      <w:r>
        <w:t xml:space="preserve">Output 2a: </w:t>
      </w:r>
      <w:r>
        <w:tab/>
      </w:r>
      <w:r w:rsidR="00722CCC">
        <w:t xml:space="preserve">Methodology for safe and compliant collection, destruction, and disposal of old LGE </w:t>
      </w:r>
      <w:r w:rsidR="00722CCC">
        <w:tab/>
      </w:r>
      <w:r w:rsidR="00722CCC">
        <w:tab/>
      </w:r>
      <w:r w:rsidR="00722CCC">
        <w:tab/>
        <w:t>components established</w:t>
      </w:r>
    </w:p>
    <w:p w14:paraId="06AF2D54" w14:textId="1585E558" w:rsidR="00722CCC" w:rsidRDefault="00A80A0B" w:rsidP="005073E3">
      <w:r>
        <w:t>Output 2b:</w:t>
      </w:r>
      <w:r>
        <w:tab/>
      </w:r>
      <w:r w:rsidR="00722CCC">
        <w:t>Removal of 76,826 residential gasoline</w:t>
      </w:r>
      <w:r w:rsidR="001C14F5">
        <w:t>-powered</w:t>
      </w:r>
      <w:r w:rsidR="00722CCC">
        <w:t xml:space="preserve"> lawn mowers from service</w:t>
      </w:r>
    </w:p>
    <w:p w14:paraId="3C9DDD7B" w14:textId="1396AFCD" w:rsidR="00722CCC" w:rsidRDefault="00722CCC" w:rsidP="005073E3">
      <w:r>
        <w:t>Output 2c:</w:t>
      </w:r>
      <w:r>
        <w:tab/>
        <w:t xml:space="preserve">Removal of </w:t>
      </w:r>
      <w:r w:rsidR="00F065C6">
        <w:t xml:space="preserve"> </w:t>
      </w:r>
      <w:r>
        <w:t>1,003 commercial gasoline or diesel</w:t>
      </w:r>
      <w:r w:rsidR="001C14F5">
        <w:t xml:space="preserve">-powered </w:t>
      </w:r>
      <w:r>
        <w:t>lawn mowers from service</w:t>
      </w:r>
    </w:p>
    <w:p w14:paraId="5B012EA0" w14:textId="5A9430C4" w:rsidR="00722CCC" w:rsidRDefault="00722CCC" w:rsidP="005073E3">
      <w:r>
        <w:t>Output 2d:</w:t>
      </w:r>
      <w:r>
        <w:tab/>
        <w:t xml:space="preserve">Removal </w:t>
      </w:r>
      <w:proofErr w:type="gramStart"/>
      <w:r>
        <w:t>of</w:t>
      </w:r>
      <w:r w:rsidR="001C14F5">
        <w:t xml:space="preserve"> </w:t>
      </w:r>
      <w:r w:rsidR="00F065C6">
        <w:t xml:space="preserve"> </w:t>
      </w:r>
      <w:r w:rsidR="001C14F5">
        <w:t>3,686</w:t>
      </w:r>
      <w:proofErr w:type="gramEnd"/>
      <w:r w:rsidR="001C14F5">
        <w:t xml:space="preserve"> commercial gasoline-powered </w:t>
      </w:r>
      <w:r w:rsidR="00C07BC4">
        <w:t>hand</w:t>
      </w:r>
      <w:r w:rsidR="00CF4EF1">
        <w:t>-</w:t>
      </w:r>
      <w:r w:rsidR="00C07BC4">
        <w:t>held LGE</w:t>
      </w:r>
      <w:r w:rsidR="00F065C6">
        <w:t xml:space="preserve"> </w:t>
      </w:r>
      <w:r w:rsidR="001C14F5">
        <w:t>from service</w:t>
      </w:r>
    </w:p>
    <w:p w14:paraId="0F0044FC" w14:textId="77E1F759" w:rsidR="00B811E7" w:rsidRDefault="001C14F5" w:rsidP="005073E3">
      <w:r>
        <w:t>Output 2e:</w:t>
      </w:r>
      <w:r>
        <w:tab/>
        <w:t>Safe, compliant, document</w:t>
      </w:r>
      <w:r w:rsidR="0076372E">
        <w:t>ed</w:t>
      </w:r>
      <w:r>
        <w:t xml:space="preserve"> disposal of </w:t>
      </w:r>
      <w:r w:rsidR="00475FE5">
        <w:t xml:space="preserve">81,515 units of </w:t>
      </w:r>
      <w:r w:rsidR="00E40AAB">
        <w:t>petroleum fueled</w:t>
      </w:r>
      <w:r w:rsidR="006C14A6">
        <w:t xml:space="preserve"> </w:t>
      </w:r>
      <w:r w:rsidR="00475FE5">
        <w:t>LGE</w:t>
      </w:r>
      <w:r w:rsidR="00B811E7">
        <w:tab/>
      </w:r>
    </w:p>
    <w:p w14:paraId="458261E7" w14:textId="6BA38B3E" w:rsidR="00475FE5" w:rsidRPr="00475FE5" w:rsidRDefault="00475FE5" w:rsidP="005073E3">
      <w:r w:rsidRPr="00475FE5">
        <w:rPr>
          <w:b/>
          <w:bCs/>
        </w:rPr>
        <w:lastRenderedPageBreak/>
        <w:t>Outcome 3:</w:t>
      </w:r>
      <w:r w:rsidRPr="00475FE5">
        <w:rPr>
          <w:b/>
          <w:bCs/>
        </w:rPr>
        <w:tab/>
      </w:r>
      <w:r>
        <w:rPr>
          <w:b/>
          <w:bCs/>
        </w:rPr>
        <w:t>Engagement of diverse community members in Landscape Equipment Electrification</w:t>
      </w:r>
    </w:p>
    <w:p w14:paraId="13EBFE32" w14:textId="450D7DD2" w:rsidR="00475FE5" w:rsidRDefault="00475FE5" w:rsidP="005073E3">
      <w:r>
        <w:t xml:space="preserve">Output </w:t>
      </w:r>
      <w:r w:rsidR="00A80A0B">
        <w:t>3</w:t>
      </w:r>
      <w:r>
        <w:t xml:space="preserve">a: </w:t>
      </w:r>
      <w:r>
        <w:tab/>
      </w:r>
      <w:r w:rsidR="000C0E45">
        <w:t xml:space="preserve">Education of </w:t>
      </w:r>
      <w:r>
        <w:t>to 400,000 Latino landscape</w:t>
      </w:r>
      <w:r w:rsidR="000C0E45">
        <w:t xml:space="preserve"> company</w:t>
      </w:r>
      <w:r>
        <w:t xml:space="preserve"> </w:t>
      </w:r>
      <w:r w:rsidR="000C0E45">
        <w:t xml:space="preserve">owners and </w:t>
      </w:r>
      <w:r>
        <w:t xml:space="preserve">workers </w:t>
      </w:r>
      <w:r w:rsidR="000C0E45">
        <w:t xml:space="preserve">and </w:t>
      </w:r>
      <w:r>
        <w:t xml:space="preserve">about </w:t>
      </w:r>
      <w:r w:rsidR="000C0E45">
        <w:tab/>
      </w:r>
      <w:r w:rsidR="000C0E45">
        <w:tab/>
      </w:r>
      <w:r w:rsidR="000C0E45">
        <w:tab/>
      </w:r>
      <w:r>
        <w:t xml:space="preserve">health and safety benefits of ZEE </w:t>
      </w:r>
    </w:p>
    <w:p w14:paraId="778C021C" w14:textId="7176FA60" w:rsidR="00475FE5" w:rsidRDefault="00237159" w:rsidP="005073E3">
      <w:r>
        <w:t xml:space="preserve">Output </w:t>
      </w:r>
      <w:r w:rsidR="00A80A0B">
        <w:t>3</w:t>
      </w:r>
      <w:r>
        <w:t>b:</w:t>
      </w:r>
      <w:r>
        <w:tab/>
        <w:t xml:space="preserve">Education of up to </w:t>
      </w:r>
      <w:r w:rsidR="000C0E45">
        <w:t>20,0</w:t>
      </w:r>
      <w:r>
        <w:t xml:space="preserve">00 </w:t>
      </w:r>
      <w:r w:rsidR="00F87154">
        <w:t xml:space="preserve">landscape </w:t>
      </w:r>
      <w:r>
        <w:t>professional</w:t>
      </w:r>
      <w:r w:rsidR="00F87154">
        <w:t>s</w:t>
      </w:r>
      <w:r>
        <w:t xml:space="preserve"> about LEEP and ZEE </w:t>
      </w:r>
      <w:r w:rsidR="00A80A0B">
        <w:t xml:space="preserve">through print, </w:t>
      </w:r>
      <w:r w:rsidR="000C0E45">
        <w:tab/>
      </w:r>
      <w:r w:rsidR="000C0E45">
        <w:tab/>
      </w:r>
      <w:r w:rsidR="000C0E45">
        <w:tab/>
      </w:r>
      <w:r w:rsidR="00A80A0B">
        <w:t>digital and in-person educational events</w:t>
      </w:r>
    </w:p>
    <w:p w14:paraId="04177219" w14:textId="690F25BB" w:rsidR="00A80A0B" w:rsidRDefault="00A80A0B" w:rsidP="005073E3">
      <w:r>
        <w:t>Output 3c:</w:t>
      </w:r>
      <w:r>
        <w:tab/>
        <w:t xml:space="preserve">Training of up to </w:t>
      </w:r>
      <w:r w:rsidR="00AB628B">
        <w:t>1</w:t>
      </w:r>
      <w:r>
        <w:t>,</w:t>
      </w:r>
      <w:r w:rsidR="00F065C6">
        <w:t>0</w:t>
      </w:r>
      <w:r>
        <w:t xml:space="preserve">00 landscape workers in the safe and effective operation of ZEE </w:t>
      </w:r>
      <w:r>
        <w:tab/>
      </w:r>
      <w:r>
        <w:tab/>
      </w:r>
      <w:r>
        <w:tab/>
        <w:t xml:space="preserve">in classroom </w:t>
      </w:r>
      <w:r w:rsidR="00F065C6">
        <w:t>or</w:t>
      </w:r>
      <w:r>
        <w:t xml:space="preserve"> in the field</w:t>
      </w:r>
    </w:p>
    <w:p w14:paraId="5CABFA37" w14:textId="5DC200E2" w:rsidR="00A80A0B" w:rsidRDefault="00A80A0B" w:rsidP="005073E3">
      <w:r>
        <w:t>Output 3d:</w:t>
      </w:r>
      <w:r>
        <w:tab/>
        <w:t xml:space="preserve">Engagement of at least </w:t>
      </w:r>
      <w:r w:rsidR="00714023">
        <w:t>8</w:t>
      </w:r>
      <w:r w:rsidR="009C5FCF">
        <w:t>5</w:t>
      </w:r>
      <w:r>
        <w:t xml:space="preserve">,000 residents in lawnmower buy back events region wide </w:t>
      </w:r>
    </w:p>
    <w:p w14:paraId="56632E25" w14:textId="77777777" w:rsidR="001347E1" w:rsidRDefault="001347E1" w:rsidP="005073E3"/>
    <w:p w14:paraId="0BCA1D20" w14:textId="43C8065A" w:rsidR="001347E1" w:rsidRPr="006F6A99" w:rsidRDefault="001347E1" w:rsidP="005073E3">
      <w:pPr>
        <w:rPr>
          <w:b/>
          <w:bCs/>
        </w:rPr>
      </w:pPr>
      <w:r w:rsidRPr="006F6A99">
        <w:rPr>
          <w:b/>
          <w:bCs/>
        </w:rPr>
        <w:t>Outcome 4:</w:t>
      </w:r>
      <w:r w:rsidRPr="006F6A99">
        <w:rPr>
          <w:b/>
          <w:bCs/>
        </w:rPr>
        <w:tab/>
        <w:t xml:space="preserve">Establishment of </w:t>
      </w:r>
      <w:r w:rsidR="006F6A99" w:rsidRPr="006F6A99">
        <w:rPr>
          <w:b/>
          <w:bCs/>
        </w:rPr>
        <w:t>equitable</w:t>
      </w:r>
      <w:r w:rsidRPr="006F6A99">
        <w:rPr>
          <w:b/>
          <w:bCs/>
        </w:rPr>
        <w:t xml:space="preserve"> and enforceable local policies </w:t>
      </w:r>
      <w:r w:rsidR="006F6A99" w:rsidRPr="006F6A99">
        <w:rPr>
          <w:b/>
          <w:bCs/>
        </w:rPr>
        <w:t xml:space="preserve">to reduce air and noise </w:t>
      </w:r>
      <w:r w:rsidR="006F6A99" w:rsidRPr="006F6A99">
        <w:rPr>
          <w:b/>
          <w:bCs/>
        </w:rPr>
        <w:tab/>
      </w:r>
      <w:r w:rsidR="006F6A99" w:rsidRPr="006F6A99">
        <w:rPr>
          <w:b/>
          <w:bCs/>
        </w:rPr>
        <w:tab/>
      </w:r>
      <w:r w:rsidR="006F6A99" w:rsidRPr="006F6A99">
        <w:rPr>
          <w:b/>
          <w:bCs/>
        </w:rPr>
        <w:tab/>
        <w:t>pollution from gasoline powered leaf blowers</w:t>
      </w:r>
      <w:r w:rsidR="006F6A99">
        <w:rPr>
          <w:b/>
          <w:bCs/>
        </w:rPr>
        <w:t xml:space="preserve"> and encourage adoption of ZEE</w:t>
      </w:r>
    </w:p>
    <w:p w14:paraId="6E263A9D" w14:textId="10D7C3AB" w:rsidR="006F6A99" w:rsidRDefault="006F6A99" w:rsidP="005073E3">
      <w:r>
        <w:t>Output 4a:</w:t>
      </w:r>
      <w:r>
        <w:tab/>
        <w:t xml:space="preserve">Development </w:t>
      </w:r>
      <w:r w:rsidR="00EA3786">
        <w:t xml:space="preserve">and distribution </w:t>
      </w:r>
      <w:r>
        <w:t xml:space="preserve">of template </w:t>
      </w:r>
      <w:r w:rsidR="00714023">
        <w:t xml:space="preserve">municipal </w:t>
      </w:r>
      <w:r>
        <w:t>leaf blower regulatio</w:t>
      </w:r>
      <w:r w:rsidR="00EA3786">
        <w:t xml:space="preserve">ns </w:t>
      </w:r>
    </w:p>
    <w:p w14:paraId="2C9B2068" w14:textId="2384342B" w:rsidR="00714023" w:rsidRDefault="00714023" w:rsidP="005073E3">
      <w:r>
        <w:t>Output 4b:</w:t>
      </w:r>
      <w:r>
        <w:tab/>
        <w:t xml:space="preserve">Development of template </w:t>
      </w:r>
      <w:r w:rsidR="00C46300">
        <w:t>local government</w:t>
      </w:r>
      <w:r>
        <w:t xml:space="preserve"> </w:t>
      </w:r>
      <w:r w:rsidR="00037B8A">
        <w:t>procu</w:t>
      </w:r>
      <w:r w:rsidR="00C46300">
        <w:t xml:space="preserve">rement specifications for </w:t>
      </w:r>
      <w:r w:rsidR="00F53E63">
        <w:t xml:space="preserve">ZEE </w:t>
      </w:r>
      <w:r w:rsidR="00F53E63">
        <w:tab/>
      </w:r>
      <w:r w:rsidR="00F53E63">
        <w:tab/>
      </w:r>
      <w:r w:rsidR="00F53E63">
        <w:tab/>
      </w:r>
      <w:r w:rsidR="00F53E63">
        <w:tab/>
        <w:t>for landscape maintenance services</w:t>
      </w:r>
    </w:p>
    <w:p w14:paraId="16BB9BD2" w14:textId="420E4273" w:rsidR="00F53E63" w:rsidRDefault="00F53E63" w:rsidP="005073E3">
      <w:r>
        <w:t>Output 4c:</w:t>
      </w:r>
      <w:r>
        <w:tab/>
        <w:t xml:space="preserve">Adoption of policies to accelerate </w:t>
      </w:r>
      <w:r w:rsidR="00E20C3E">
        <w:t>transition to</w:t>
      </w:r>
      <w:r>
        <w:t xml:space="preserve"> </w:t>
      </w:r>
      <w:r w:rsidR="00F065C6">
        <w:t xml:space="preserve">landscape </w:t>
      </w:r>
      <w:r>
        <w:t xml:space="preserve">ZEE </w:t>
      </w:r>
      <w:r w:rsidR="00E20C3E">
        <w:t>in at least 12 communities</w:t>
      </w:r>
    </w:p>
    <w:p w14:paraId="3EFE5612" w14:textId="77777777" w:rsidR="00AB628B" w:rsidRDefault="00AB628B" w:rsidP="005073E3"/>
    <w:p w14:paraId="744065F9" w14:textId="689C0398" w:rsidR="006C14A6" w:rsidRPr="00AB628B" w:rsidRDefault="006C14A6" w:rsidP="005073E3">
      <w:pPr>
        <w:rPr>
          <w:b/>
          <w:bCs/>
        </w:rPr>
      </w:pPr>
      <w:r w:rsidRPr="00AB628B">
        <w:rPr>
          <w:b/>
          <w:bCs/>
        </w:rPr>
        <w:t>Output 5:</w:t>
      </w:r>
      <w:r w:rsidRPr="00AB628B">
        <w:rPr>
          <w:b/>
          <w:bCs/>
        </w:rPr>
        <w:tab/>
        <w:t>Semi-annual progress reports and final reports submitted to U</w:t>
      </w:r>
      <w:r w:rsidR="00987C2F">
        <w:rPr>
          <w:b/>
          <w:bCs/>
        </w:rPr>
        <w:t>.</w:t>
      </w:r>
      <w:r w:rsidRPr="00AB628B">
        <w:rPr>
          <w:b/>
          <w:bCs/>
        </w:rPr>
        <w:t>S</w:t>
      </w:r>
      <w:r w:rsidR="00987C2F">
        <w:rPr>
          <w:b/>
          <w:bCs/>
        </w:rPr>
        <w:t xml:space="preserve">. </w:t>
      </w:r>
      <w:r w:rsidRPr="00AB628B">
        <w:rPr>
          <w:b/>
          <w:bCs/>
        </w:rPr>
        <w:t>EPA on time.</w:t>
      </w:r>
    </w:p>
    <w:p w14:paraId="46742244" w14:textId="77777777" w:rsidR="006C14A6" w:rsidRDefault="006C14A6" w:rsidP="005073E3"/>
    <w:bookmarkEnd w:id="17"/>
    <w:p w14:paraId="1D84D129" w14:textId="34B3FC47" w:rsidR="005073E3" w:rsidRPr="005073E3" w:rsidRDefault="005073E3" w:rsidP="005073E3">
      <w:pPr>
        <w:keepNext/>
        <w:keepLines/>
        <w:spacing w:before="40"/>
        <w:outlineLvl w:val="1"/>
        <w:rPr>
          <w:rFonts w:asciiTheme="majorHAnsi" w:eastAsiaTheme="majorEastAsia" w:hAnsiTheme="majorHAnsi" w:cstheme="majorBidi"/>
          <w:color w:val="2F5496" w:themeColor="accent1" w:themeShade="BF"/>
          <w:sz w:val="26"/>
          <w:szCs w:val="26"/>
        </w:rPr>
      </w:pPr>
      <w:r w:rsidRPr="005073E3">
        <w:rPr>
          <w:rFonts w:asciiTheme="majorHAnsi" w:eastAsiaTheme="majorEastAsia" w:hAnsiTheme="majorHAnsi" w:cstheme="majorBidi"/>
          <w:color w:val="2F5496" w:themeColor="accent1" w:themeShade="BF"/>
          <w:sz w:val="26"/>
          <w:szCs w:val="26"/>
        </w:rPr>
        <w:t xml:space="preserve">B. </w:t>
      </w:r>
      <w:bookmarkStart w:id="19" w:name="_Hlk162641489"/>
      <w:r w:rsidRPr="005073E3">
        <w:rPr>
          <w:rFonts w:asciiTheme="majorHAnsi" w:eastAsiaTheme="majorEastAsia" w:hAnsiTheme="majorHAnsi" w:cstheme="majorBidi"/>
          <w:color w:val="2F5496" w:themeColor="accent1" w:themeShade="BF"/>
          <w:sz w:val="26"/>
          <w:szCs w:val="26"/>
        </w:rPr>
        <w:t>Performance Measures and Plan</w:t>
      </w:r>
      <w:r>
        <w:rPr>
          <w:rFonts w:asciiTheme="majorHAnsi" w:eastAsiaTheme="majorEastAsia" w:hAnsiTheme="majorHAnsi" w:cstheme="majorBidi"/>
          <w:color w:val="2F5496" w:themeColor="accent1" w:themeShade="BF"/>
          <w:sz w:val="26"/>
          <w:szCs w:val="26"/>
        </w:rPr>
        <w:t xml:space="preserve"> </w:t>
      </w:r>
      <w:bookmarkEnd w:id="19"/>
    </w:p>
    <w:p w14:paraId="7C9D3EF2" w14:textId="538130BC" w:rsidR="00D32303" w:rsidRDefault="00004E1A" w:rsidP="005073E3">
      <w:r>
        <w:t xml:space="preserve">The Caucus will lead completing LEEP tasks to </w:t>
      </w:r>
      <w:bookmarkStart w:id="20" w:name="_Hlk162625589"/>
      <w:r>
        <w:t xml:space="preserve">achieve </w:t>
      </w:r>
      <w:bookmarkStart w:id="21" w:name="_Hlk162625536"/>
      <w:r>
        <w:t>expected outputs and outcomes</w:t>
      </w:r>
      <w:bookmarkEnd w:id="20"/>
      <w:r>
        <w:t xml:space="preserve">.  </w:t>
      </w:r>
      <w:bookmarkEnd w:id="21"/>
      <w:r>
        <w:t xml:space="preserve">We will establish subaward agreements and lead subrecipients in completing tasks to achieve LEEP expected outputs and outcomes.  We will secure contractual services through EPA compliant procurement processes to assist in achieving expected outputs and outcomes. The Caucus will </w:t>
      </w:r>
      <w:r w:rsidR="00D32303">
        <w:t>monitor progress, oversee outputs, subaward and subcontract expenditures, and report results completely</w:t>
      </w:r>
      <w:r w:rsidR="00840953">
        <w:t>,</w:t>
      </w:r>
      <w:r w:rsidR="00D32303">
        <w:t xml:space="preserve"> and in timely manner as required by U</w:t>
      </w:r>
      <w:r w:rsidR="00987C2F">
        <w:t>.</w:t>
      </w:r>
      <w:r w:rsidR="00D32303">
        <w:t>S</w:t>
      </w:r>
      <w:r w:rsidR="00987C2F">
        <w:t>.</w:t>
      </w:r>
      <w:r w:rsidR="00D32303">
        <w:t xml:space="preserve"> </w:t>
      </w:r>
      <w:r w:rsidR="00E36BDB">
        <w:t>EPA. We</w:t>
      </w:r>
      <w:r w:rsidR="00D32303">
        <w:t xml:space="preserve"> will track metrics to measure progress towards these objectives and outputs. Metrics will be both tracked by Caucus </w:t>
      </w:r>
      <w:r w:rsidR="005073E3">
        <w:t xml:space="preserve">staff </w:t>
      </w:r>
      <w:r w:rsidR="00D32303">
        <w:t>and collected from subrecipient partners and subcontractors</w:t>
      </w:r>
      <w:r w:rsidR="00295EE8">
        <w:t xml:space="preserve"> and maintained in databases and electronic files. Performance metrics will be shared with stakeholders and reported to the EPA</w:t>
      </w:r>
      <w:r w:rsidR="006C14A6">
        <w:t xml:space="preserve"> in required semi-annual progress reports and final report</w:t>
      </w:r>
      <w:r w:rsidR="00D32303">
        <w:t xml:space="preserve">.  </w:t>
      </w:r>
    </w:p>
    <w:p w14:paraId="16095985" w14:textId="77777777" w:rsidR="00D32303" w:rsidRDefault="00D32303" w:rsidP="005073E3"/>
    <w:p w14:paraId="698754F3" w14:textId="6BD2C2E7" w:rsidR="00D32303" w:rsidRPr="00361B69" w:rsidRDefault="00D32303" w:rsidP="00361B69">
      <w:pPr>
        <w:pStyle w:val="Heading3"/>
      </w:pPr>
      <w:r w:rsidRPr="00361B69">
        <w:t>Plan for tracking performance metrics:</w:t>
      </w:r>
    </w:p>
    <w:p w14:paraId="27E8A518" w14:textId="77777777" w:rsidR="00004E1A" w:rsidRPr="00475FE5" w:rsidRDefault="00004E1A" w:rsidP="005073E3">
      <w:pPr>
        <w:rPr>
          <w:b/>
          <w:bCs/>
        </w:rPr>
      </w:pPr>
      <w:r w:rsidRPr="00204AAC">
        <w:rPr>
          <w:b/>
          <w:bCs/>
        </w:rPr>
        <w:t>Outcome 1:</w:t>
      </w:r>
      <w:r>
        <w:tab/>
      </w:r>
      <w:r w:rsidRPr="00475FE5">
        <w:rPr>
          <w:b/>
          <w:bCs/>
        </w:rPr>
        <w:t xml:space="preserve">Reduction of GHG, air and noise pollution in the Chicago region </w:t>
      </w:r>
    </w:p>
    <w:p w14:paraId="2312419E" w14:textId="165471FD" w:rsidR="00004E1A" w:rsidRDefault="00004E1A" w:rsidP="005073E3">
      <w:r>
        <w:t>Output 1a</w:t>
      </w:r>
      <w:r w:rsidR="00E46A7C">
        <w:t>&amp;</w:t>
      </w:r>
      <w:r w:rsidR="00D32303">
        <w:t>b:</w:t>
      </w:r>
      <w:r w:rsidR="00D32303">
        <w:tab/>
      </w:r>
      <w:r>
        <w:t xml:space="preserve">Cumulative reduction of emissions </w:t>
      </w:r>
    </w:p>
    <w:p w14:paraId="78DE5EDC" w14:textId="1DD185F4" w:rsidR="00E46A7C" w:rsidRDefault="004558B5" w:rsidP="005073E3">
      <w:r>
        <w:t>Plan:</w:t>
      </w:r>
      <w:r>
        <w:tab/>
      </w:r>
      <w:r w:rsidR="00E36BDB">
        <w:tab/>
      </w:r>
      <w:r w:rsidR="00D32303">
        <w:t xml:space="preserve">Document removal </w:t>
      </w:r>
      <w:r w:rsidR="00216235">
        <w:t xml:space="preserve">of </w:t>
      </w:r>
      <w:r w:rsidR="00D32303">
        <w:t xml:space="preserve">gasoline LGE from service by number of units and </w:t>
      </w:r>
      <w:r w:rsidR="00216235">
        <w:t xml:space="preserve">specific </w:t>
      </w:r>
      <w:r w:rsidR="00216235">
        <w:tab/>
      </w:r>
      <w:r w:rsidR="00216235">
        <w:tab/>
      </w:r>
      <w:r w:rsidR="00216235">
        <w:tab/>
      </w:r>
      <w:r w:rsidR="00216235">
        <w:tab/>
      </w:r>
      <w:r w:rsidR="00D32303">
        <w:t xml:space="preserve">characteristics.  </w:t>
      </w:r>
      <w:r>
        <w:t xml:space="preserve">Create </w:t>
      </w:r>
      <w:r w:rsidR="00216235">
        <w:t>an emission</w:t>
      </w:r>
      <w:r w:rsidR="00D32303">
        <w:t xml:space="preserve"> profile </w:t>
      </w:r>
      <w:r w:rsidR="00216235">
        <w:t>for each</w:t>
      </w:r>
      <w:r w:rsidR="00D32303">
        <w:t xml:space="preserve"> type</w:t>
      </w:r>
      <w:r w:rsidR="00E46A7C">
        <w:t>. Calculat</w:t>
      </w:r>
      <w:r>
        <w:t>e</w:t>
      </w:r>
      <w:r w:rsidR="00E46A7C">
        <w:t xml:space="preserve"> emission </w:t>
      </w:r>
      <w:r w:rsidR="00E36BDB">
        <w:tab/>
      </w:r>
      <w:r w:rsidR="00E36BDB">
        <w:tab/>
      </w:r>
      <w:r w:rsidR="00216235">
        <w:tab/>
      </w:r>
      <w:r w:rsidR="00216235">
        <w:tab/>
      </w:r>
      <w:r w:rsidR="00E46A7C">
        <w:t>reduction</w:t>
      </w:r>
      <w:r>
        <w:t>s</w:t>
      </w:r>
      <w:r w:rsidR="00E46A7C">
        <w:t xml:space="preserve"> from emission database and </w:t>
      </w:r>
      <w:r w:rsidR="00216235">
        <w:t>collected</w:t>
      </w:r>
      <w:r w:rsidR="00D32303">
        <w:t xml:space="preserve"> equipment</w:t>
      </w:r>
      <w:r w:rsidR="00216235">
        <w:t xml:space="preserve"> inventories</w:t>
      </w:r>
      <w:r w:rsidR="00E46A7C">
        <w:t>.</w:t>
      </w:r>
    </w:p>
    <w:p w14:paraId="6497FB38" w14:textId="05EA1284" w:rsidR="00004E1A" w:rsidRDefault="00004E1A" w:rsidP="005073E3">
      <w:r>
        <w:t>Output 1c:</w:t>
      </w:r>
      <w:r>
        <w:tab/>
        <w:t xml:space="preserve">Reduction of noise pollution </w:t>
      </w:r>
    </w:p>
    <w:p w14:paraId="2821B6F3" w14:textId="10C093E4" w:rsidR="00E46A7C" w:rsidRDefault="004558B5" w:rsidP="005073E3">
      <w:r>
        <w:t>Plan:</w:t>
      </w:r>
      <w:r>
        <w:tab/>
      </w:r>
      <w:r w:rsidR="00E36BDB">
        <w:tab/>
      </w:r>
      <w:r w:rsidR="00E46A7C">
        <w:t>Calculate noise output ratings from ZEE and number of units in use.</w:t>
      </w:r>
    </w:p>
    <w:p w14:paraId="273A0B7D" w14:textId="1723F55D" w:rsidR="0065485B" w:rsidRDefault="0065485B" w:rsidP="005073E3">
      <w:r>
        <w:t>Output 1d&amp;e:</w:t>
      </w:r>
      <w:r>
        <w:tab/>
        <w:t xml:space="preserve">Reduction of pollution risk to LIDAC </w:t>
      </w:r>
    </w:p>
    <w:p w14:paraId="6D676478" w14:textId="4AF7F958" w:rsidR="00E46A7C" w:rsidRDefault="0065485B" w:rsidP="005073E3">
      <w:r>
        <w:t>Plan:</w:t>
      </w:r>
      <w:r>
        <w:tab/>
      </w:r>
      <w:r>
        <w:tab/>
        <w:t xml:space="preserve">Monitor </w:t>
      </w:r>
      <w:r w:rsidR="0039059A">
        <w:t xml:space="preserve">CAP and HAP emissions using </w:t>
      </w:r>
      <w:r w:rsidR="00CE5271">
        <w:t>the National</w:t>
      </w:r>
      <w:r w:rsidR="0039059A">
        <w:t xml:space="preserve"> Emissions Inventory.  Include </w:t>
      </w:r>
      <w:r w:rsidR="0039059A">
        <w:tab/>
      </w:r>
      <w:r w:rsidR="0039059A">
        <w:tab/>
      </w:r>
      <w:r w:rsidR="0039059A">
        <w:tab/>
        <w:t xml:space="preserve">changes in emissions in second semi-annual progress report. </w:t>
      </w:r>
    </w:p>
    <w:p w14:paraId="2F233671" w14:textId="77777777" w:rsidR="009B6846" w:rsidRDefault="009B6846" w:rsidP="005073E3">
      <w:pPr>
        <w:rPr>
          <w:b/>
          <w:bCs/>
        </w:rPr>
      </w:pPr>
    </w:p>
    <w:p w14:paraId="77B9B1B2" w14:textId="77777777" w:rsidR="00413927" w:rsidRDefault="00413927" w:rsidP="005073E3">
      <w:pPr>
        <w:rPr>
          <w:b/>
          <w:bCs/>
        </w:rPr>
      </w:pPr>
    </w:p>
    <w:p w14:paraId="03C68954" w14:textId="77777777" w:rsidR="00413927" w:rsidRDefault="00413927" w:rsidP="005073E3">
      <w:pPr>
        <w:rPr>
          <w:b/>
          <w:bCs/>
        </w:rPr>
      </w:pPr>
    </w:p>
    <w:p w14:paraId="77D6FA11" w14:textId="77777777" w:rsidR="00413927" w:rsidRDefault="00413927" w:rsidP="005073E3">
      <w:pPr>
        <w:rPr>
          <w:b/>
          <w:bCs/>
        </w:rPr>
      </w:pPr>
    </w:p>
    <w:p w14:paraId="13E83559" w14:textId="77777777" w:rsidR="00413927" w:rsidRDefault="00413927" w:rsidP="005073E3">
      <w:pPr>
        <w:rPr>
          <w:b/>
          <w:bCs/>
        </w:rPr>
      </w:pPr>
    </w:p>
    <w:p w14:paraId="6F4C77A2" w14:textId="77777777" w:rsidR="00413927" w:rsidRDefault="00413927" w:rsidP="005073E3">
      <w:pPr>
        <w:rPr>
          <w:b/>
          <w:bCs/>
        </w:rPr>
      </w:pPr>
    </w:p>
    <w:p w14:paraId="1C78EDE8" w14:textId="77777777" w:rsidR="00413927" w:rsidRDefault="00413927" w:rsidP="005073E3">
      <w:pPr>
        <w:rPr>
          <w:b/>
          <w:bCs/>
        </w:rPr>
      </w:pPr>
    </w:p>
    <w:p w14:paraId="73B6FCD1" w14:textId="6CF38E7C" w:rsidR="00004E1A" w:rsidRDefault="00004E1A" w:rsidP="005073E3">
      <w:r w:rsidRPr="00204AAC">
        <w:rPr>
          <w:b/>
          <w:bCs/>
        </w:rPr>
        <w:lastRenderedPageBreak/>
        <w:t xml:space="preserve">Outcome </w:t>
      </w:r>
      <w:r>
        <w:rPr>
          <w:b/>
          <w:bCs/>
        </w:rPr>
        <w:t>2</w:t>
      </w:r>
      <w:r w:rsidRPr="00204AAC">
        <w:rPr>
          <w:b/>
          <w:bCs/>
        </w:rPr>
        <w:t>:</w:t>
      </w:r>
      <w:r>
        <w:tab/>
      </w:r>
      <w:r w:rsidRPr="009B767D">
        <w:rPr>
          <w:b/>
          <w:bCs/>
        </w:rPr>
        <w:t>Removal of gasoline and diesel</w:t>
      </w:r>
      <w:r w:rsidR="00E46A7C">
        <w:rPr>
          <w:b/>
          <w:bCs/>
        </w:rPr>
        <w:t xml:space="preserve"> </w:t>
      </w:r>
      <w:r w:rsidRPr="009B767D">
        <w:rPr>
          <w:b/>
          <w:bCs/>
        </w:rPr>
        <w:t>LGE from service</w:t>
      </w:r>
    </w:p>
    <w:p w14:paraId="4E0DDFA0" w14:textId="57B86F71" w:rsidR="00004E1A" w:rsidRDefault="00004E1A" w:rsidP="005073E3">
      <w:r>
        <w:t xml:space="preserve">Output 2a: </w:t>
      </w:r>
      <w:r>
        <w:tab/>
      </w:r>
      <w:r w:rsidR="004558B5">
        <w:t>Establish m</w:t>
      </w:r>
      <w:r>
        <w:t xml:space="preserve">ethodology for collection, destruction, and disposal of old LGE </w:t>
      </w:r>
    </w:p>
    <w:p w14:paraId="0548E727" w14:textId="49E4EB5E" w:rsidR="00004E1A" w:rsidRDefault="00004E1A" w:rsidP="005073E3">
      <w:r>
        <w:t>Output 2b</w:t>
      </w:r>
      <w:r w:rsidR="00E46A7C">
        <w:t>,c,d</w:t>
      </w:r>
      <w:r>
        <w:t>:</w:t>
      </w:r>
      <w:r>
        <w:tab/>
        <w:t xml:space="preserve">Removal of </w:t>
      </w:r>
      <w:r w:rsidR="00F90CAA">
        <w:t>gasoline or diesel-powered LGE from</w:t>
      </w:r>
      <w:r>
        <w:t xml:space="preserve"> service</w:t>
      </w:r>
    </w:p>
    <w:p w14:paraId="036C0832" w14:textId="7643C51C" w:rsidR="00004E1A" w:rsidRDefault="004558B5" w:rsidP="005073E3">
      <w:r>
        <w:t>Plan:</w:t>
      </w:r>
      <w:r>
        <w:tab/>
      </w:r>
      <w:r w:rsidR="003132C4">
        <w:tab/>
      </w:r>
      <w:r>
        <w:t xml:space="preserve">Inventory, evaluate, verify each unit of LGE received at buy back events.  </w:t>
      </w:r>
    </w:p>
    <w:p w14:paraId="62831238" w14:textId="493B2AF7" w:rsidR="00004E1A" w:rsidRDefault="00004E1A" w:rsidP="005073E3">
      <w:r>
        <w:t>Output 2e:</w:t>
      </w:r>
      <w:r>
        <w:tab/>
        <w:t xml:space="preserve">Safe, compliant, documented disposal of </w:t>
      </w:r>
      <w:r w:rsidR="004558B5">
        <w:t>old LGE</w:t>
      </w:r>
    </w:p>
    <w:p w14:paraId="1DD6B1DA" w14:textId="729FBED3" w:rsidR="004558B5" w:rsidRDefault="004558B5" w:rsidP="005073E3">
      <w:r>
        <w:t>Plan:</w:t>
      </w:r>
      <w:r>
        <w:tab/>
      </w:r>
      <w:r w:rsidR="003132C4">
        <w:tab/>
      </w:r>
      <w:r>
        <w:t xml:space="preserve">Reports from partners and contractors conducting collection events. Certificate of </w:t>
      </w:r>
      <w:r w:rsidR="003132C4">
        <w:tab/>
      </w:r>
      <w:r w:rsidR="003132C4">
        <w:tab/>
      </w:r>
      <w:r w:rsidR="003132C4">
        <w:tab/>
      </w:r>
      <w:r>
        <w:t xml:space="preserve">destruction and compliant disposal from contractors.  </w:t>
      </w:r>
    </w:p>
    <w:p w14:paraId="595EE70D" w14:textId="77777777" w:rsidR="00004E1A" w:rsidRDefault="00004E1A" w:rsidP="005073E3">
      <w:r>
        <w:tab/>
      </w:r>
    </w:p>
    <w:p w14:paraId="28D2CF77" w14:textId="27781F37" w:rsidR="00004E1A" w:rsidRPr="00475FE5" w:rsidRDefault="00004E1A" w:rsidP="005073E3">
      <w:r w:rsidRPr="00475FE5">
        <w:rPr>
          <w:b/>
          <w:bCs/>
        </w:rPr>
        <w:t>Outcome 3:</w:t>
      </w:r>
      <w:r w:rsidRPr="00475FE5">
        <w:rPr>
          <w:b/>
          <w:bCs/>
        </w:rPr>
        <w:tab/>
      </w:r>
      <w:r>
        <w:rPr>
          <w:b/>
          <w:bCs/>
        </w:rPr>
        <w:t xml:space="preserve">Engagement of diverse community members </w:t>
      </w:r>
      <w:r w:rsidR="003132C4">
        <w:rPr>
          <w:b/>
          <w:bCs/>
        </w:rPr>
        <w:t>in LEEP</w:t>
      </w:r>
    </w:p>
    <w:p w14:paraId="687DFDA2" w14:textId="7C58F22F" w:rsidR="003132C4" w:rsidRDefault="00004E1A" w:rsidP="005073E3">
      <w:r>
        <w:t>Output 3a</w:t>
      </w:r>
      <w:r w:rsidR="003132C4">
        <w:t>, b, c</w:t>
      </w:r>
      <w:r>
        <w:t xml:space="preserve">: </w:t>
      </w:r>
      <w:r>
        <w:tab/>
        <w:t xml:space="preserve">Education </w:t>
      </w:r>
      <w:r w:rsidR="003132C4">
        <w:t xml:space="preserve">and training of landscape business owners and landscape workers </w:t>
      </w:r>
    </w:p>
    <w:p w14:paraId="3A6DD7BB" w14:textId="48147D0C" w:rsidR="00004E1A" w:rsidRDefault="003132C4" w:rsidP="005073E3">
      <w:r>
        <w:t>Plan:</w:t>
      </w:r>
      <w:r>
        <w:tab/>
      </w:r>
      <w:r>
        <w:tab/>
        <w:t xml:space="preserve">Track and report </w:t>
      </w:r>
      <w:r w:rsidR="000E61AF">
        <w:t xml:space="preserve">registration and </w:t>
      </w:r>
      <w:r>
        <w:t xml:space="preserve">attendance at educational and training events. </w:t>
      </w:r>
      <w:r w:rsidR="000E61AF">
        <w:tab/>
      </w:r>
      <w:r w:rsidR="000E61AF">
        <w:tab/>
      </w:r>
      <w:r w:rsidR="000E61AF">
        <w:tab/>
      </w:r>
      <w:r w:rsidR="00171BF4">
        <w:t>Track and report distribution of print materials, number of impressions of print</w:t>
      </w:r>
      <w:r w:rsidR="000E61AF">
        <w:t xml:space="preserve">, </w:t>
      </w:r>
      <w:r w:rsidR="00171BF4">
        <w:t xml:space="preserve">digital </w:t>
      </w:r>
      <w:r w:rsidR="000E61AF">
        <w:tab/>
      </w:r>
      <w:r w:rsidR="000E61AF">
        <w:tab/>
      </w:r>
      <w:r w:rsidR="000E61AF">
        <w:tab/>
      </w:r>
      <w:r w:rsidR="00361B69">
        <w:t>media</w:t>
      </w:r>
      <w:r w:rsidR="00171BF4">
        <w:t xml:space="preserve">, </w:t>
      </w:r>
      <w:r w:rsidR="000E61AF">
        <w:t>and</w:t>
      </w:r>
      <w:r w:rsidR="00171BF4">
        <w:t xml:space="preserve"> Spanish radio advertisements.</w:t>
      </w:r>
    </w:p>
    <w:p w14:paraId="38A379F9" w14:textId="723BB606" w:rsidR="00004E1A" w:rsidRDefault="00004E1A" w:rsidP="005073E3">
      <w:r>
        <w:t>Output 3d:</w:t>
      </w:r>
      <w:r>
        <w:tab/>
        <w:t xml:space="preserve">Engagement of residents in lawnmower “buy back” events </w:t>
      </w:r>
    </w:p>
    <w:p w14:paraId="0B3C2703" w14:textId="271DC650" w:rsidR="00171BF4" w:rsidRDefault="00171BF4" w:rsidP="005073E3">
      <w:r>
        <w:t>Plan:</w:t>
      </w:r>
      <w:r>
        <w:tab/>
      </w:r>
      <w:r>
        <w:tab/>
        <w:t xml:space="preserve">Track and report online appointments for collection events. Track and report </w:t>
      </w:r>
      <w:r w:rsidR="00E36BDB">
        <w:tab/>
      </w:r>
      <w:r w:rsidR="00E36BDB">
        <w:tab/>
      </w:r>
      <w:r w:rsidR="00E36BDB">
        <w:tab/>
      </w:r>
      <w:r w:rsidR="00E36BDB">
        <w:tab/>
      </w:r>
      <w:r w:rsidR="00802178">
        <w:t xml:space="preserve">buy back </w:t>
      </w:r>
      <w:r w:rsidR="00E36BDB">
        <w:t>participation numbers and metrics.</w:t>
      </w:r>
    </w:p>
    <w:p w14:paraId="728B0478" w14:textId="77777777" w:rsidR="00004E1A" w:rsidRDefault="00004E1A" w:rsidP="005073E3"/>
    <w:p w14:paraId="5A376694" w14:textId="426C54E6" w:rsidR="00004E1A" w:rsidRPr="006F6A99" w:rsidRDefault="00004E1A" w:rsidP="005073E3">
      <w:pPr>
        <w:rPr>
          <w:b/>
          <w:bCs/>
        </w:rPr>
      </w:pPr>
      <w:r w:rsidRPr="006F6A99">
        <w:rPr>
          <w:b/>
          <w:bCs/>
        </w:rPr>
        <w:t>Outcome 4:</w:t>
      </w:r>
      <w:r w:rsidRPr="006F6A99">
        <w:rPr>
          <w:b/>
          <w:bCs/>
        </w:rPr>
        <w:tab/>
        <w:t xml:space="preserve">Establishment of local policies </w:t>
      </w:r>
    </w:p>
    <w:p w14:paraId="1A6726B1" w14:textId="09D41651" w:rsidR="00004E1A" w:rsidRDefault="00004E1A" w:rsidP="005073E3">
      <w:r>
        <w:t>Output 4a</w:t>
      </w:r>
      <w:r w:rsidR="00E36BDB">
        <w:t xml:space="preserve"> &amp;b</w:t>
      </w:r>
      <w:r>
        <w:t>:</w:t>
      </w:r>
      <w:r>
        <w:tab/>
        <w:t xml:space="preserve">Development and distribution of template regulations </w:t>
      </w:r>
      <w:r w:rsidR="00E36BDB">
        <w:t>and policies</w:t>
      </w:r>
    </w:p>
    <w:p w14:paraId="02440F80" w14:textId="64514042" w:rsidR="00004E1A" w:rsidRDefault="00E36BDB" w:rsidP="005073E3">
      <w:r>
        <w:t>Plan</w:t>
      </w:r>
      <w:r w:rsidR="00004E1A">
        <w:t>:</w:t>
      </w:r>
      <w:r w:rsidR="00004E1A">
        <w:tab/>
      </w:r>
      <w:r>
        <w:tab/>
      </w:r>
      <w:r w:rsidR="00004E1A">
        <w:t xml:space="preserve">Develop </w:t>
      </w:r>
      <w:r>
        <w:t xml:space="preserve">and distribute </w:t>
      </w:r>
      <w:r w:rsidR="00004E1A">
        <w:t xml:space="preserve">template </w:t>
      </w:r>
      <w:r>
        <w:t>ordinances and</w:t>
      </w:r>
      <w:r w:rsidR="00004E1A">
        <w:t xml:space="preserve"> procurement specifications </w:t>
      </w:r>
    </w:p>
    <w:p w14:paraId="081341A6" w14:textId="42DC7424" w:rsidR="00004E1A" w:rsidRDefault="00004E1A" w:rsidP="005073E3">
      <w:r>
        <w:t>Output 4c:</w:t>
      </w:r>
      <w:r>
        <w:tab/>
        <w:t>Adoption of policies to accelerate ZEE in at least 12 communities</w:t>
      </w:r>
    </w:p>
    <w:p w14:paraId="5C99D8D7" w14:textId="76576678" w:rsidR="00DC1404" w:rsidRDefault="00E36BDB" w:rsidP="005073E3">
      <w:r>
        <w:t>Plan:</w:t>
      </w:r>
      <w:r>
        <w:tab/>
      </w:r>
      <w:r>
        <w:tab/>
        <w:t xml:space="preserve">Ask municipalities to report adoption of policies to the Caucus. Monitor local news for </w:t>
      </w:r>
      <w:r>
        <w:tab/>
      </w:r>
      <w:r>
        <w:tab/>
      </w:r>
      <w:r>
        <w:tab/>
        <w:t>policy deliberations and adoption.</w:t>
      </w:r>
    </w:p>
    <w:p w14:paraId="30273D59" w14:textId="77777777" w:rsidR="00AB628B" w:rsidRDefault="00AB628B" w:rsidP="005073E3"/>
    <w:p w14:paraId="16686DCB" w14:textId="37F53F7D" w:rsidR="00E36BDB" w:rsidRDefault="006C14A6" w:rsidP="005073E3">
      <w:pPr>
        <w:rPr>
          <w:b/>
          <w:bCs/>
        </w:rPr>
      </w:pPr>
      <w:r>
        <w:t>Output 5:</w:t>
      </w:r>
      <w:r>
        <w:tab/>
      </w:r>
      <w:r w:rsidR="00AB628B" w:rsidRPr="00AB628B">
        <w:rPr>
          <w:b/>
          <w:bCs/>
        </w:rPr>
        <w:t>Semi-annual progress reports and final reports submitted to EPA on time.</w:t>
      </w:r>
    </w:p>
    <w:p w14:paraId="63C82036" w14:textId="77777777" w:rsidR="00276F31" w:rsidRDefault="00276F31" w:rsidP="005073E3"/>
    <w:p w14:paraId="639F5693" w14:textId="66AE02F6" w:rsidR="00E36BDB" w:rsidRPr="00DF4FD2" w:rsidRDefault="00276F31" w:rsidP="00DF4FD2">
      <w:pPr>
        <w:outlineLvl w:val="1"/>
        <w:rPr>
          <w:rFonts w:asciiTheme="majorHAnsi" w:hAnsiTheme="majorHAnsi" w:cstheme="majorHAnsi"/>
          <w:color w:val="2F5496" w:themeColor="accent1" w:themeShade="BF"/>
          <w:sz w:val="26"/>
          <w:szCs w:val="26"/>
        </w:rPr>
      </w:pPr>
      <w:r w:rsidRPr="00276F31">
        <w:rPr>
          <w:rFonts w:asciiTheme="majorHAnsi" w:hAnsiTheme="majorHAnsi" w:cstheme="majorHAnsi"/>
          <w:color w:val="2F5496" w:themeColor="accent1" w:themeShade="BF"/>
          <w:sz w:val="26"/>
          <w:szCs w:val="26"/>
        </w:rPr>
        <w:t xml:space="preserve">C. Authorities, Implementation </w:t>
      </w:r>
      <w:r w:rsidRPr="00D979A7">
        <w:rPr>
          <w:rFonts w:asciiTheme="majorHAnsi" w:hAnsiTheme="majorHAnsi" w:cstheme="majorHAnsi"/>
          <w:color w:val="2F5496" w:themeColor="accent1" w:themeShade="BF"/>
          <w:sz w:val="26"/>
          <w:szCs w:val="26"/>
        </w:rPr>
        <w:t>Timeline,</w:t>
      </w:r>
      <w:r w:rsidRPr="00276F31">
        <w:rPr>
          <w:rFonts w:asciiTheme="majorHAnsi" w:hAnsiTheme="majorHAnsi" w:cstheme="majorHAnsi"/>
          <w:color w:val="2F5496" w:themeColor="accent1" w:themeShade="BF"/>
          <w:sz w:val="26"/>
          <w:szCs w:val="26"/>
        </w:rPr>
        <w:t xml:space="preserve"> and Milestones</w:t>
      </w:r>
      <w:r>
        <w:rPr>
          <w:rFonts w:asciiTheme="majorHAnsi" w:hAnsiTheme="majorHAnsi" w:cstheme="majorHAnsi"/>
          <w:color w:val="2F5496" w:themeColor="accent1" w:themeShade="BF"/>
          <w:sz w:val="26"/>
          <w:szCs w:val="26"/>
        </w:rPr>
        <w:t xml:space="preserve"> </w:t>
      </w:r>
    </w:p>
    <w:p w14:paraId="2EB3E98A" w14:textId="51996650" w:rsidR="00FE6334" w:rsidRPr="00FE6334" w:rsidRDefault="00FE6334" w:rsidP="00FE6334">
      <w:pPr>
        <w:keepNext/>
        <w:keepLines/>
        <w:spacing w:before="40"/>
        <w:outlineLvl w:val="2"/>
        <w:rPr>
          <w:rFonts w:asciiTheme="majorHAnsi" w:eastAsiaTheme="majorEastAsia" w:hAnsiTheme="majorHAnsi" w:cstheme="majorBidi"/>
          <w:color w:val="1F3763" w:themeColor="accent1" w:themeShade="7F"/>
          <w:sz w:val="24"/>
          <w:szCs w:val="24"/>
        </w:rPr>
      </w:pPr>
      <w:r w:rsidRPr="00FE6334">
        <w:rPr>
          <w:rFonts w:asciiTheme="majorHAnsi" w:eastAsiaTheme="majorEastAsia" w:hAnsiTheme="majorHAnsi" w:cstheme="majorBidi"/>
          <w:color w:val="1F3763" w:themeColor="accent1" w:themeShade="7F"/>
          <w:sz w:val="24"/>
          <w:szCs w:val="24"/>
        </w:rPr>
        <w:t>Authorities</w:t>
      </w:r>
    </w:p>
    <w:p w14:paraId="268AEA1B" w14:textId="2B823747" w:rsidR="00AF00F5" w:rsidRDefault="00004E1A" w:rsidP="005073E3">
      <w:r w:rsidRPr="00004E1A">
        <w:t xml:space="preserve">Overall, </w:t>
      </w:r>
      <w:r w:rsidR="00AB628B">
        <w:t>the Caucus</w:t>
      </w:r>
      <w:r w:rsidRPr="00004E1A">
        <w:t xml:space="preserve"> will lead </w:t>
      </w:r>
      <w:r w:rsidR="00AB628B">
        <w:t>in developing and administering LEEP</w:t>
      </w:r>
      <w:r w:rsidRPr="00004E1A">
        <w:t xml:space="preserve"> and </w:t>
      </w:r>
      <w:r w:rsidR="00AB628B">
        <w:t xml:space="preserve">will </w:t>
      </w:r>
      <w:r w:rsidRPr="00004E1A">
        <w:t xml:space="preserve">be responsible for the grant agreement with EPA. </w:t>
      </w:r>
      <w:r w:rsidR="00E16C36">
        <w:t xml:space="preserve">We </w:t>
      </w:r>
      <w:r w:rsidRPr="00004E1A">
        <w:t>will administer subawards and subcontracts</w:t>
      </w:r>
      <w:r w:rsidR="00AB628B">
        <w:t xml:space="preserve"> under the authority of the Executive Board </w:t>
      </w:r>
      <w:r w:rsidRPr="00004E1A">
        <w:t xml:space="preserve">comprised of elected local government officials. </w:t>
      </w:r>
      <w:r w:rsidR="00E16C36">
        <w:t>We will be responsible for carrying out the LEEP program to reduce GHG and deliver outputs</w:t>
      </w:r>
      <w:r w:rsidR="008E7A33">
        <w:t xml:space="preserve"> and outcomes</w:t>
      </w:r>
      <w:r w:rsidR="00E16C36">
        <w:t xml:space="preserve"> as described above. The Caucus is the lead agency for CPRG for the Chicago MSA and the author of the PCAP. Therefore, we are overseeing subawards for the completion of Comprehensive Climate Action Plan and all deliverables for CPRG.</w:t>
      </w:r>
    </w:p>
    <w:p w14:paraId="69F711F5" w14:textId="77777777" w:rsidR="00E16C36" w:rsidRDefault="00E16C36" w:rsidP="005073E3"/>
    <w:p w14:paraId="5E972DED" w14:textId="6B705190" w:rsidR="00004E1A" w:rsidRDefault="00651476" w:rsidP="005073E3">
      <w:r>
        <w:t xml:space="preserve">Partners will </w:t>
      </w:r>
      <w:r w:rsidR="001B1A37">
        <w:t xml:space="preserve">participate as </w:t>
      </w:r>
      <w:r>
        <w:t xml:space="preserve">subrecipients to achieve LEEP project outcomes and outputs.  </w:t>
      </w:r>
      <w:r w:rsidR="00E40EFA">
        <w:t xml:space="preserve">LADCO, a multi-jurisdictional organization will assist by tracking and monitoring emission reduction as described in Outcome 1. </w:t>
      </w:r>
      <w:r>
        <w:t xml:space="preserve">Solid Waste agencies and counties will be responsible for hosting collection events at which the collection and destruction of </w:t>
      </w:r>
      <w:r w:rsidR="0036244B">
        <w:t>old</w:t>
      </w:r>
      <w:r>
        <w:t xml:space="preserve"> LGE will occur as described in Outcome 2. These agencies are named under </w:t>
      </w:r>
      <w:bookmarkStart w:id="22" w:name="_Hlk162731749"/>
      <w:r w:rsidR="008E7A33">
        <w:t>S</w:t>
      </w:r>
      <w:r>
        <w:t>ection</w:t>
      </w:r>
      <w:r w:rsidR="008E7A33">
        <w:t xml:space="preserve"> 1A</w:t>
      </w:r>
      <w:r>
        <w:t xml:space="preserve">, </w:t>
      </w:r>
      <w:r w:rsidR="008E7A33">
        <w:t>LEEP Partners</w:t>
      </w:r>
      <w:r>
        <w:t>, page 4.</w:t>
      </w:r>
      <w:bookmarkEnd w:id="22"/>
      <w:r>
        <w:t xml:space="preserve"> </w:t>
      </w:r>
      <w:r w:rsidR="0036244B">
        <w:t>Solid waste</w:t>
      </w:r>
      <w:r>
        <w:t xml:space="preserve"> agencies operate under the authority of </w:t>
      </w:r>
      <w:r w:rsidR="00D34474">
        <w:t xml:space="preserve">counties or as intergovernmental agencies and have the authority to collect old LGE.  Solid Waste Agency of Lake County (SWALCO) also has the authority to collect and manage </w:t>
      </w:r>
      <w:r w:rsidR="008525BA">
        <w:t>HHW</w:t>
      </w:r>
      <w:r w:rsidR="00D34474">
        <w:t xml:space="preserve">. </w:t>
      </w:r>
      <w:r w:rsidR="0036244B">
        <w:t>Other agencies host Illinois EPA mobile HHW events.</w:t>
      </w:r>
      <w:r w:rsidR="00D34474">
        <w:t xml:space="preserve"> These agencies will also secure contractual services for hazardous waste management and scrappage.</w:t>
      </w:r>
    </w:p>
    <w:p w14:paraId="524EC52D" w14:textId="77777777" w:rsidR="00D34474" w:rsidRDefault="00D34474" w:rsidP="005073E3"/>
    <w:p w14:paraId="1E1CD051" w14:textId="1A54B356" w:rsidR="00D34474" w:rsidRDefault="00D34474" w:rsidP="005073E3">
      <w:r>
        <w:t>Not-for-profit partner organizations including FLAP, ISTC and ILCA</w:t>
      </w:r>
      <w:r w:rsidR="002B0773">
        <w:t>,</w:t>
      </w:r>
      <w:r w:rsidR="0036244B">
        <w:t xml:space="preserve"> named in Section 1A, LEEP Partners, page 4.</w:t>
      </w:r>
      <w:r w:rsidR="009D69F7">
        <w:t xml:space="preserve"> have the authority to enter into subrecipient agreements with the Caucus under the authority of </w:t>
      </w:r>
      <w:r w:rsidR="009D69F7">
        <w:lastRenderedPageBreak/>
        <w:t xml:space="preserve">their respective Boards of Directors. These partners will be primarily responsible for Outcome </w:t>
      </w:r>
      <w:r w:rsidR="00E40EFA">
        <w:t>3</w:t>
      </w:r>
      <w:r w:rsidR="009D69F7">
        <w:t xml:space="preserve">. The Caucus will procure contractual services for program design, LGE </w:t>
      </w:r>
      <w:r w:rsidR="0036244B">
        <w:t xml:space="preserve">and ZEE </w:t>
      </w:r>
      <w:r w:rsidR="009D69F7">
        <w:t>expertise</w:t>
      </w:r>
      <w:r w:rsidR="0036244B">
        <w:t>, worker training</w:t>
      </w:r>
      <w:r w:rsidR="002B0773">
        <w:t>, rebate</w:t>
      </w:r>
      <w:r w:rsidR="00500A33">
        <w:t>/voucher processing</w:t>
      </w:r>
      <w:r w:rsidR="009D69F7">
        <w:t xml:space="preserve">.  </w:t>
      </w:r>
    </w:p>
    <w:p w14:paraId="4E4CDEC9" w14:textId="77777777" w:rsidR="00E40EFA" w:rsidRDefault="00E40EFA" w:rsidP="005073E3"/>
    <w:p w14:paraId="1F84535C" w14:textId="0F4668E6" w:rsidR="00CD1A44" w:rsidRDefault="00E40EFA" w:rsidP="005073E3">
      <w:r>
        <w:t>Municipalities have authority to adopt ordinances</w:t>
      </w:r>
      <w:r w:rsidR="008B19B3">
        <w:t xml:space="preserve"> and </w:t>
      </w:r>
      <w:r w:rsidR="002B0773">
        <w:t xml:space="preserve">both municipalities and </w:t>
      </w:r>
      <w:r w:rsidR="008B19B3">
        <w:t xml:space="preserve">park </w:t>
      </w:r>
      <w:r w:rsidR="002B0773">
        <w:t>districts</w:t>
      </w:r>
      <w:r w:rsidR="008B19B3">
        <w:t xml:space="preserve"> </w:t>
      </w:r>
      <w:r w:rsidR="002B0773">
        <w:t>have authority to</w:t>
      </w:r>
      <w:r w:rsidR="008B19B3">
        <w:t xml:space="preserve"> adopt procurement policies for zero emissions landscape services, </w:t>
      </w:r>
      <w:r>
        <w:t>described in Outcome 4.</w:t>
      </w:r>
    </w:p>
    <w:p w14:paraId="7E503960" w14:textId="77777777" w:rsidR="00413927" w:rsidRPr="00216D3E" w:rsidRDefault="00413927" w:rsidP="005073E3"/>
    <w:p w14:paraId="1FBBC70A" w14:textId="50413CCF" w:rsidR="001B1A37" w:rsidRPr="001B1A37" w:rsidRDefault="00FE6334" w:rsidP="001B1A37">
      <w:pPr>
        <w:pStyle w:val="Heading3"/>
      </w:pPr>
      <w:bookmarkStart w:id="23" w:name="_Hlk162703263"/>
      <w:r w:rsidRPr="001B1A37">
        <w:t>Milestones</w:t>
      </w:r>
    </w:p>
    <w:bookmarkEnd w:id="23"/>
    <w:p w14:paraId="26B23920" w14:textId="2FBA183A" w:rsidR="00F06271" w:rsidRPr="00CD05D2" w:rsidRDefault="00F06271" w:rsidP="001B1A37">
      <w:pPr>
        <w:spacing w:after="160" w:line="259" w:lineRule="auto"/>
        <w:rPr>
          <w:rFonts w:cstheme="minorHAnsi"/>
        </w:rPr>
      </w:pPr>
      <w:r w:rsidRPr="00CD05D2">
        <w:rPr>
          <w:rFonts w:cstheme="minorHAnsi"/>
        </w:rPr>
        <w:t xml:space="preserve">Key milestones needed for </w:t>
      </w:r>
      <w:r w:rsidR="00864786" w:rsidRPr="00CD05D2">
        <w:rPr>
          <w:rFonts w:cstheme="minorHAnsi"/>
        </w:rPr>
        <w:t xml:space="preserve">LEEP </w:t>
      </w:r>
      <w:r w:rsidRPr="00CD05D2">
        <w:rPr>
          <w:rFonts w:cstheme="minorHAnsi"/>
        </w:rPr>
        <w:t xml:space="preserve">implementation </w:t>
      </w:r>
      <w:r w:rsidR="00864786" w:rsidRPr="00CD05D2">
        <w:rPr>
          <w:rFonts w:cstheme="minorHAnsi"/>
        </w:rPr>
        <w:t xml:space="preserve">are described here in more detail. These milestones </w:t>
      </w:r>
      <w:r w:rsidRPr="00CD05D2">
        <w:rPr>
          <w:rFonts w:cstheme="minorHAnsi"/>
        </w:rPr>
        <w:t xml:space="preserve">relate to </w:t>
      </w:r>
      <w:r w:rsidR="00545775" w:rsidRPr="00CD05D2">
        <w:rPr>
          <w:rFonts w:cstheme="minorHAnsi"/>
        </w:rPr>
        <w:t xml:space="preserve">ongoing and straightforward tasks described in Outcomes and Outputs described in Section 3A and illustrated </w:t>
      </w:r>
      <w:r w:rsidR="00500A33">
        <w:rPr>
          <w:rFonts w:cstheme="minorHAnsi"/>
        </w:rPr>
        <w:t xml:space="preserve">in </w:t>
      </w:r>
      <w:r w:rsidRPr="00CD05D2">
        <w:rPr>
          <w:rFonts w:cstheme="minorHAnsi"/>
        </w:rPr>
        <w:t xml:space="preserve">the </w:t>
      </w:r>
      <w:r w:rsidR="00500A33">
        <w:rPr>
          <w:rFonts w:cstheme="minorHAnsi"/>
        </w:rPr>
        <w:t xml:space="preserve">LEEP </w:t>
      </w:r>
      <w:r w:rsidRPr="00CD05D2">
        <w:rPr>
          <w:rFonts w:cstheme="minorHAnsi"/>
        </w:rPr>
        <w:t xml:space="preserve">Implementation Timeline </w:t>
      </w:r>
      <w:r w:rsidR="00025687" w:rsidRPr="00CD05D2">
        <w:rPr>
          <w:rFonts w:cstheme="minorHAnsi"/>
        </w:rPr>
        <w:t>below</w:t>
      </w:r>
      <w:r w:rsidR="00545775" w:rsidRPr="00CD05D2">
        <w:rPr>
          <w:rFonts w:cstheme="minorHAnsi"/>
        </w:rPr>
        <w:t>.</w:t>
      </w:r>
      <w:r w:rsidR="00864786" w:rsidRPr="00CD05D2">
        <w:rPr>
          <w:rFonts w:cstheme="minorHAnsi"/>
        </w:rPr>
        <w:t xml:space="preserve"> </w:t>
      </w:r>
      <w:r w:rsidRPr="00CD05D2">
        <w:rPr>
          <w:rFonts w:cstheme="minorHAnsi"/>
        </w:rPr>
        <w:t>These are:</w:t>
      </w:r>
    </w:p>
    <w:p w14:paraId="61AD9DD5" w14:textId="211B4A03" w:rsidR="00F06271" w:rsidRPr="00413927" w:rsidRDefault="00413927" w:rsidP="00CB04CE">
      <w:pPr>
        <w:spacing w:line="259" w:lineRule="auto"/>
        <w:rPr>
          <w:rFonts w:cstheme="minorHAnsi"/>
          <w:b/>
          <w:bCs/>
        </w:rPr>
      </w:pPr>
      <w:r w:rsidRPr="00413927">
        <w:rPr>
          <w:rFonts w:cstheme="minorHAnsi"/>
          <w:b/>
          <w:bCs/>
        </w:rPr>
        <w:t>Year 1</w:t>
      </w:r>
      <w:r>
        <w:rPr>
          <w:rFonts w:cstheme="minorHAnsi"/>
          <w:b/>
          <w:bCs/>
        </w:rPr>
        <w:t xml:space="preserve"> </w:t>
      </w:r>
    </w:p>
    <w:p w14:paraId="7B710884" w14:textId="519C244C" w:rsidR="00F06271" w:rsidRPr="00CD05D2" w:rsidRDefault="00F06271" w:rsidP="00F06271">
      <w:pPr>
        <w:pStyle w:val="ListParagraph"/>
        <w:numPr>
          <w:ilvl w:val="0"/>
          <w:numId w:val="23"/>
        </w:numPr>
        <w:spacing w:after="160" w:line="259" w:lineRule="auto"/>
        <w:rPr>
          <w:rFonts w:cstheme="minorHAnsi"/>
          <w:sz w:val="22"/>
          <w:szCs w:val="22"/>
        </w:rPr>
      </w:pPr>
      <w:r w:rsidRPr="00CD05D2">
        <w:rPr>
          <w:rFonts w:cstheme="minorHAnsi"/>
          <w:sz w:val="22"/>
          <w:szCs w:val="22"/>
        </w:rPr>
        <w:t>Complete U</w:t>
      </w:r>
      <w:r w:rsidR="00987C2F">
        <w:rPr>
          <w:rFonts w:cstheme="minorHAnsi"/>
          <w:sz w:val="22"/>
          <w:szCs w:val="22"/>
        </w:rPr>
        <w:t>.</w:t>
      </w:r>
      <w:r w:rsidRPr="00CD05D2">
        <w:rPr>
          <w:rFonts w:cstheme="minorHAnsi"/>
          <w:sz w:val="22"/>
          <w:szCs w:val="22"/>
        </w:rPr>
        <w:t>S</w:t>
      </w:r>
      <w:r w:rsidR="00987C2F">
        <w:rPr>
          <w:rFonts w:cstheme="minorHAnsi"/>
          <w:sz w:val="22"/>
          <w:szCs w:val="22"/>
        </w:rPr>
        <w:t>.</w:t>
      </w:r>
      <w:r w:rsidRPr="00CD05D2">
        <w:rPr>
          <w:rFonts w:cstheme="minorHAnsi"/>
          <w:sz w:val="22"/>
          <w:szCs w:val="22"/>
        </w:rPr>
        <w:t xml:space="preserve"> EPA grant administrative tasks </w:t>
      </w:r>
      <w:r w:rsidR="00500A33">
        <w:rPr>
          <w:rFonts w:cstheme="minorHAnsi"/>
          <w:sz w:val="22"/>
          <w:szCs w:val="22"/>
        </w:rPr>
        <w:t>and</w:t>
      </w:r>
      <w:r w:rsidRPr="00CD05D2">
        <w:rPr>
          <w:rFonts w:cstheme="minorHAnsi"/>
          <w:sz w:val="22"/>
          <w:szCs w:val="22"/>
        </w:rPr>
        <w:t xml:space="preserve"> secure grant agreement.</w:t>
      </w:r>
    </w:p>
    <w:p w14:paraId="0F0E7105" w14:textId="77777777" w:rsidR="00F06271" w:rsidRPr="00CD05D2" w:rsidRDefault="00F06271" w:rsidP="00F06271">
      <w:pPr>
        <w:pStyle w:val="ListParagraph"/>
        <w:numPr>
          <w:ilvl w:val="0"/>
          <w:numId w:val="23"/>
        </w:numPr>
        <w:spacing w:after="160" w:line="259" w:lineRule="auto"/>
        <w:rPr>
          <w:rFonts w:cstheme="minorHAnsi"/>
          <w:sz w:val="22"/>
          <w:szCs w:val="22"/>
        </w:rPr>
      </w:pPr>
      <w:r w:rsidRPr="00CD05D2">
        <w:rPr>
          <w:rFonts w:cstheme="minorHAnsi"/>
          <w:sz w:val="22"/>
          <w:szCs w:val="22"/>
        </w:rPr>
        <w:t>Convene partners to establish scope of work and performance metrics for subawards</w:t>
      </w:r>
    </w:p>
    <w:p w14:paraId="5089858A" w14:textId="77777777" w:rsidR="00F06271" w:rsidRPr="00CD05D2" w:rsidRDefault="00F06271" w:rsidP="00F06271">
      <w:pPr>
        <w:pStyle w:val="ListParagraph"/>
        <w:numPr>
          <w:ilvl w:val="0"/>
          <w:numId w:val="23"/>
        </w:numPr>
        <w:spacing w:after="160" w:line="259" w:lineRule="auto"/>
        <w:rPr>
          <w:rFonts w:cstheme="minorHAnsi"/>
          <w:sz w:val="22"/>
          <w:szCs w:val="22"/>
        </w:rPr>
      </w:pPr>
      <w:r w:rsidRPr="00CD05D2">
        <w:rPr>
          <w:rFonts w:cstheme="minorHAnsi"/>
          <w:sz w:val="22"/>
          <w:szCs w:val="22"/>
        </w:rPr>
        <w:t>Announce launch of LEEP</w:t>
      </w:r>
    </w:p>
    <w:p w14:paraId="3D367A9C" w14:textId="77777777" w:rsidR="00413927" w:rsidRPr="00CD05D2" w:rsidRDefault="00413927" w:rsidP="00413927">
      <w:pPr>
        <w:pStyle w:val="ListParagraph"/>
        <w:numPr>
          <w:ilvl w:val="0"/>
          <w:numId w:val="23"/>
        </w:numPr>
        <w:spacing w:after="160" w:line="259" w:lineRule="auto"/>
        <w:rPr>
          <w:rFonts w:cstheme="minorHAnsi"/>
          <w:sz w:val="22"/>
          <w:szCs w:val="22"/>
        </w:rPr>
      </w:pPr>
      <w:r w:rsidRPr="00CD05D2">
        <w:rPr>
          <w:rFonts w:cstheme="minorHAnsi"/>
          <w:sz w:val="22"/>
          <w:szCs w:val="22"/>
        </w:rPr>
        <w:t>Procure subcontractor for LEEP design and ZEE expertise.</w:t>
      </w:r>
    </w:p>
    <w:p w14:paraId="28BD5919" w14:textId="77777777" w:rsidR="00413927" w:rsidRPr="00CD05D2" w:rsidRDefault="00413927" w:rsidP="00413927">
      <w:pPr>
        <w:pStyle w:val="ListParagraph"/>
        <w:numPr>
          <w:ilvl w:val="0"/>
          <w:numId w:val="23"/>
        </w:numPr>
        <w:spacing w:after="160" w:line="259" w:lineRule="auto"/>
        <w:rPr>
          <w:rFonts w:cstheme="minorHAnsi"/>
          <w:sz w:val="22"/>
          <w:szCs w:val="22"/>
        </w:rPr>
      </w:pPr>
      <w:r w:rsidRPr="00CD05D2">
        <w:rPr>
          <w:rFonts w:cstheme="minorHAnsi"/>
          <w:sz w:val="22"/>
          <w:szCs w:val="22"/>
        </w:rPr>
        <w:t>Design Residential LEEP buy back process</w:t>
      </w:r>
    </w:p>
    <w:p w14:paraId="030FEC0D" w14:textId="77777777" w:rsidR="00413927" w:rsidRPr="00CD05D2" w:rsidRDefault="00413927" w:rsidP="00413927">
      <w:pPr>
        <w:pStyle w:val="ListParagraph"/>
        <w:numPr>
          <w:ilvl w:val="0"/>
          <w:numId w:val="23"/>
        </w:numPr>
        <w:spacing w:after="160" w:line="259" w:lineRule="auto"/>
        <w:rPr>
          <w:rFonts w:cstheme="minorHAnsi"/>
          <w:sz w:val="22"/>
          <w:szCs w:val="22"/>
        </w:rPr>
      </w:pPr>
      <w:r w:rsidRPr="00CD05D2">
        <w:rPr>
          <w:rFonts w:cstheme="minorHAnsi"/>
          <w:sz w:val="22"/>
          <w:szCs w:val="22"/>
        </w:rPr>
        <w:t>Design Commercial LEEP buy back process</w:t>
      </w:r>
    </w:p>
    <w:p w14:paraId="35A386ED" w14:textId="77777777" w:rsidR="00050963" w:rsidRPr="00B939E3" w:rsidRDefault="00050963" w:rsidP="00050963">
      <w:pPr>
        <w:pStyle w:val="ListParagraph"/>
        <w:numPr>
          <w:ilvl w:val="0"/>
          <w:numId w:val="23"/>
        </w:numPr>
        <w:spacing w:after="160" w:line="259" w:lineRule="auto"/>
        <w:rPr>
          <w:rFonts w:cstheme="minorHAnsi"/>
          <w:sz w:val="22"/>
          <w:szCs w:val="22"/>
        </w:rPr>
      </w:pPr>
      <w:r w:rsidRPr="00B939E3">
        <w:rPr>
          <w:rFonts w:cstheme="minorHAnsi"/>
          <w:sz w:val="22"/>
          <w:szCs w:val="22"/>
        </w:rPr>
        <w:t>Secure partner or subcontractor to process rebates/incentives</w:t>
      </w:r>
      <w:bookmarkStart w:id="24" w:name="_Hlk162703698"/>
    </w:p>
    <w:bookmarkEnd w:id="24"/>
    <w:p w14:paraId="6AA38DEF" w14:textId="2B9602B4" w:rsidR="00F06271" w:rsidRDefault="00F06271" w:rsidP="00F06271">
      <w:pPr>
        <w:pStyle w:val="ListParagraph"/>
        <w:numPr>
          <w:ilvl w:val="0"/>
          <w:numId w:val="23"/>
        </w:numPr>
        <w:spacing w:after="160" w:line="259" w:lineRule="auto"/>
        <w:rPr>
          <w:rFonts w:cstheme="minorHAnsi"/>
          <w:sz w:val="22"/>
          <w:szCs w:val="22"/>
        </w:rPr>
      </w:pPr>
      <w:r w:rsidRPr="00CD05D2">
        <w:rPr>
          <w:rFonts w:cstheme="minorHAnsi"/>
          <w:sz w:val="22"/>
          <w:szCs w:val="22"/>
        </w:rPr>
        <w:t>Develop process for disposal of LGE at collection events.</w:t>
      </w:r>
    </w:p>
    <w:p w14:paraId="26A7D83C" w14:textId="16D9E3D8" w:rsidR="00050963" w:rsidRPr="00CD05D2" w:rsidRDefault="00050963" w:rsidP="00F06271">
      <w:pPr>
        <w:pStyle w:val="ListParagraph"/>
        <w:numPr>
          <w:ilvl w:val="0"/>
          <w:numId w:val="23"/>
        </w:numPr>
        <w:spacing w:after="160" w:line="259" w:lineRule="auto"/>
        <w:rPr>
          <w:rFonts w:cstheme="minorHAnsi"/>
          <w:sz w:val="22"/>
          <w:szCs w:val="22"/>
        </w:rPr>
      </w:pPr>
      <w:r>
        <w:rPr>
          <w:rFonts w:cstheme="minorHAnsi"/>
          <w:sz w:val="22"/>
          <w:szCs w:val="22"/>
        </w:rPr>
        <w:t>Develop process and procure subcontractor for commercial “make ready” electrical work</w:t>
      </w:r>
    </w:p>
    <w:p w14:paraId="58374929" w14:textId="5C471623" w:rsidR="0042394A" w:rsidRDefault="0042394A" w:rsidP="00F06271">
      <w:pPr>
        <w:pStyle w:val="ListParagraph"/>
        <w:numPr>
          <w:ilvl w:val="0"/>
          <w:numId w:val="23"/>
        </w:numPr>
        <w:spacing w:after="160" w:line="259" w:lineRule="auto"/>
        <w:rPr>
          <w:rFonts w:cstheme="minorHAnsi"/>
          <w:sz w:val="22"/>
          <w:szCs w:val="22"/>
        </w:rPr>
      </w:pPr>
      <w:r w:rsidRPr="00CD05D2">
        <w:rPr>
          <w:rFonts w:cstheme="minorHAnsi"/>
          <w:sz w:val="22"/>
          <w:szCs w:val="22"/>
        </w:rPr>
        <w:t>Seek partnership with ZEE retailers, distributors, and manufacturers</w:t>
      </w:r>
    </w:p>
    <w:p w14:paraId="5473D385" w14:textId="019F82BE" w:rsidR="00217AC6" w:rsidRPr="00B939E3" w:rsidRDefault="00217AC6" w:rsidP="00217AC6">
      <w:pPr>
        <w:pStyle w:val="ListParagraph"/>
        <w:numPr>
          <w:ilvl w:val="0"/>
          <w:numId w:val="23"/>
        </w:numPr>
        <w:spacing w:after="160" w:line="259" w:lineRule="auto"/>
        <w:rPr>
          <w:rFonts w:cstheme="minorHAnsi"/>
          <w:sz w:val="22"/>
          <w:szCs w:val="22"/>
        </w:rPr>
      </w:pPr>
      <w:r w:rsidRPr="00B939E3">
        <w:rPr>
          <w:rFonts w:cstheme="minorHAnsi"/>
          <w:sz w:val="22"/>
          <w:szCs w:val="22"/>
        </w:rPr>
        <w:t>Begin Residential LEEP buy back to collect and replace 7</w:t>
      </w:r>
      <w:r w:rsidR="004A5991">
        <w:rPr>
          <w:rFonts w:cstheme="minorHAnsi"/>
          <w:sz w:val="22"/>
          <w:szCs w:val="22"/>
        </w:rPr>
        <w:t>,</w:t>
      </w:r>
      <w:r w:rsidRPr="00B939E3">
        <w:rPr>
          <w:rFonts w:cstheme="minorHAnsi"/>
          <w:sz w:val="22"/>
          <w:szCs w:val="22"/>
        </w:rPr>
        <w:t>68</w:t>
      </w:r>
      <w:r>
        <w:rPr>
          <w:rFonts w:cstheme="minorHAnsi"/>
          <w:sz w:val="22"/>
          <w:szCs w:val="22"/>
        </w:rPr>
        <w:t>4</w:t>
      </w:r>
      <w:r w:rsidRPr="00B939E3">
        <w:rPr>
          <w:rFonts w:cstheme="minorHAnsi"/>
          <w:sz w:val="22"/>
          <w:szCs w:val="22"/>
        </w:rPr>
        <w:t xml:space="preserve"> mowers (</w:t>
      </w:r>
      <w:r w:rsidR="004A5991">
        <w:rPr>
          <w:rFonts w:cstheme="minorHAnsi"/>
          <w:sz w:val="22"/>
          <w:szCs w:val="22"/>
        </w:rPr>
        <w:t>9</w:t>
      </w:r>
      <w:r w:rsidRPr="00B939E3">
        <w:rPr>
          <w:rFonts w:cstheme="minorHAnsi"/>
          <w:sz w:val="22"/>
          <w:szCs w:val="22"/>
        </w:rPr>
        <w:t>% of target)</w:t>
      </w:r>
    </w:p>
    <w:p w14:paraId="2B0B8D59" w14:textId="207756B5" w:rsidR="00B939E3" w:rsidRPr="00050963" w:rsidRDefault="00B939E3" w:rsidP="00B939E3">
      <w:pPr>
        <w:pStyle w:val="ListParagraph"/>
        <w:numPr>
          <w:ilvl w:val="0"/>
          <w:numId w:val="23"/>
        </w:numPr>
        <w:spacing w:after="160" w:line="259" w:lineRule="auto"/>
        <w:rPr>
          <w:rFonts w:cstheme="minorHAnsi"/>
          <w:sz w:val="22"/>
          <w:szCs w:val="22"/>
        </w:rPr>
      </w:pPr>
      <w:r w:rsidRPr="00CD05D2">
        <w:rPr>
          <w:rFonts w:cstheme="minorHAnsi"/>
          <w:sz w:val="22"/>
          <w:szCs w:val="22"/>
        </w:rPr>
        <w:t>Evaluate, measure, and report LEEP outputs</w:t>
      </w:r>
    </w:p>
    <w:p w14:paraId="14A42D04" w14:textId="2725F9BB" w:rsidR="00F06271" w:rsidRPr="00413927" w:rsidRDefault="00413927" w:rsidP="00CB04CE">
      <w:pPr>
        <w:spacing w:line="259" w:lineRule="auto"/>
        <w:rPr>
          <w:rFonts w:cstheme="minorHAnsi"/>
          <w:b/>
          <w:bCs/>
        </w:rPr>
      </w:pPr>
      <w:r w:rsidRPr="00413927">
        <w:rPr>
          <w:rFonts w:cstheme="minorHAnsi"/>
          <w:b/>
          <w:bCs/>
        </w:rPr>
        <w:t>Year 2</w:t>
      </w:r>
    </w:p>
    <w:p w14:paraId="7D8FA7D4" w14:textId="6B5C7443" w:rsidR="00413927" w:rsidRPr="00B939E3" w:rsidRDefault="00413927" w:rsidP="00413927">
      <w:pPr>
        <w:pStyle w:val="ListParagraph"/>
        <w:numPr>
          <w:ilvl w:val="0"/>
          <w:numId w:val="24"/>
        </w:numPr>
        <w:spacing w:after="160" w:line="259" w:lineRule="auto"/>
        <w:rPr>
          <w:rFonts w:cstheme="minorHAnsi"/>
          <w:sz w:val="22"/>
          <w:szCs w:val="22"/>
        </w:rPr>
      </w:pPr>
      <w:r w:rsidRPr="00B939E3">
        <w:rPr>
          <w:rFonts w:cstheme="minorHAnsi"/>
          <w:sz w:val="22"/>
          <w:szCs w:val="22"/>
        </w:rPr>
        <w:t xml:space="preserve">Outreach </w:t>
      </w:r>
      <w:r w:rsidR="00050963">
        <w:rPr>
          <w:rFonts w:cstheme="minorHAnsi"/>
          <w:sz w:val="22"/>
          <w:szCs w:val="22"/>
        </w:rPr>
        <w:t>and ZEE training for</w:t>
      </w:r>
      <w:r w:rsidRPr="00B939E3">
        <w:rPr>
          <w:rFonts w:cstheme="minorHAnsi"/>
          <w:sz w:val="22"/>
          <w:szCs w:val="22"/>
        </w:rPr>
        <w:t xml:space="preserve"> landscape workers and landscape companies</w:t>
      </w:r>
    </w:p>
    <w:p w14:paraId="1C3E5AE0" w14:textId="77777777" w:rsidR="00B939E3" w:rsidRPr="00B939E3" w:rsidRDefault="00B939E3" w:rsidP="00B939E3">
      <w:pPr>
        <w:pStyle w:val="ListParagraph"/>
        <w:numPr>
          <w:ilvl w:val="0"/>
          <w:numId w:val="24"/>
        </w:numPr>
        <w:spacing w:after="160" w:line="259" w:lineRule="auto"/>
        <w:rPr>
          <w:rFonts w:cstheme="minorHAnsi"/>
          <w:sz w:val="22"/>
          <w:szCs w:val="22"/>
        </w:rPr>
      </w:pPr>
      <w:r w:rsidRPr="00B939E3">
        <w:rPr>
          <w:rFonts w:cstheme="minorHAnsi"/>
          <w:sz w:val="22"/>
          <w:szCs w:val="22"/>
        </w:rPr>
        <w:t>Public outreach for residential LEEP</w:t>
      </w:r>
    </w:p>
    <w:p w14:paraId="3E6D531A" w14:textId="0BDF3408" w:rsidR="00025687" w:rsidRPr="00B939E3" w:rsidRDefault="004A5991" w:rsidP="0042394A">
      <w:pPr>
        <w:pStyle w:val="ListParagraph"/>
        <w:numPr>
          <w:ilvl w:val="0"/>
          <w:numId w:val="24"/>
        </w:numPr>
        <w:spacing w:after="160" w:line="259" w:lineRule="auto"/>
        <w:rPr>
          <w:rFonts w:cstheme="minorHAnsi"/>
          <w:sz w:val="22"/>
          <w:szCs w:val="22"/>
        </w:rPr>
      </w:pPr>
      <w:bookmarkStart w:id="25" w:name="_Hlk162871206"/>
      <w:r>
        <w:rPr>
          <w:rFonts w:cstheme="minorHAnsi"/>
          <w:sz w:val="22"/>
          <w:szCs w:val="22"/>
        </w:rPr>
        <w:t>Operate</w:t>
      </w:r>
      <w:r w:rsidR="0042394A" w:rsidRPr="00B939E3">
        <w:rPr>
          <w:rFonts w:cstheme="minorHAnsi"/>
          <w:sz w:val="22"/>
          <w:szCs w:val="22"/>
        </w:rPr>
        <w:t xml:space="preserve"> </w:t>
      </w:r>
      <w:r w:rsidR="00D815F1">
        <w:rPr>
          <w:rFonts w:cstheme="minorHAnsi"/>
          <w:sz w:val="22"/>
          <w:szCs w:val="22"/>
        </w:rPr>
        <w:t xml:space="preserve">30 </w:t>
      </w:r>
      <w:r w:rsidR="0042394A" w:rsidRPr="00B939E3">
        <w:rPr>
          <w:rFonts w:cstheme="minorHAnsi"/>
          <w:sz w:val="22"/>
          <w:szCs w:val="22"/>
        </w:rPr>
        <w:t xml:space="preserve">Residential LEEP </w:t>
      </w:r>
      <w:r w:rsidR="00025687" w:rsidRPr="00B939E3">
        <w:rPr>
          <w:rFonts w:cstheme="minorHAnsi"/>
          <w:sz w:val="22"/>
          <w:szCs w:val="22"/>
        </w:rPr>
        <w:t>buy back</w:t>
      </w:r>
      <w:r w:rsidR="00D815F1">
        <w:rPr>
          <w:rFonts w:cstheme="minorHAnsi"/>
          <w:sz w:val="22"/>
          <w:szCs w:val="22"/>
        </w:rPr>
        <w:t xml:space="preserve"> events</w:t>
      </w:r>
      <w:r w:rsidR="00025687" w:rsidRPr="00B939E3">
        <w:rPr>
          <w:rFonts w:cstheme="minorHAnsi"/>
          <w:sz w:val="22"/>
          <w:szCs w:val="22"/>
        </w:rPr>
        <w:t xml:space="preserve"> to collect </w:t>
      </w:r>
      <w:r w:rsidR="00F5268C" w:rsidRPr="00B939E3">
        <w:rPr>
          <w:rFonts w:cstheme="minorHAnsi"/>
          <w:sz w:val="22"/>
          <w:szCs w:val="22"/>
        </w:rPr>
        <w:t xml:space="preserve">and replace </w:t>
      </w:r>
      <w:r w:rsidR="00217AC6">
        <w:rPr>
          <w:rFonts w:cstheme="minorHAnsi"/>
          <w:sz w:val="22"/>
          <w:szCs w:val="22"/>
        </w:rPr>
        <w:t>15,366</w:t>
      </w:r>
      <w:r w:rsidR="00430352" w:rsidRPr="00B939E3">
        <w:rPr>
          <w:rFonts w:cstheme="minorHAnsi"/>
          <w:sz w:val="22"/>
          <w:szCs w:val="22"/>
        </w:rPr>
        <w:t xml:space="preserve"> mowers </w:t>
      </w:r>
      <w:r w:rsidR="00025687" w:rsidRPr="00B939E3">
        <w:rPr>
          <w:rFonts w:cstheme="minorHAnsi"/>
          <w:sz w:val="22"/>
          <w:szCs w:val="22"/>
        </w:rPr>
        <w:t>(</w:t>
      </w:r>
      <w:r>
        <w:rPr>
          <w:rFonts w:cstheme="minorHAnsi"/>
          <w:sz w:val="22"/>
          <w:szCs w:val="22"/>
        </w:rPr>
        <w:t>19</w:t>
      </w:r>
      <w:r w:rsidR="00025687" w:rsidRPr="00B939E3">
        <w:rPr>
          <w:rFonts w:cstheme="minorHAnsi"/>
          <w:sz w:val="22"/>
          <w:szCs w:val="22"/>
        </w:rPr>
        <w:t>%)</w:t>
      </w:r>
    </w:p>
    <w:bookmarkEnd w:id="25"/>
    <w:p w14:paraId="74D21D5A" w14:textId="00754B5E" w:rsidR="00025687" w:rsidRPr="00B939E3" w:rsidRDefault="00025687" w:rsidP="00025687">
      <w:pPr>
        <w:pStyle w:val="ListParagraph"/>
        <w:numPr>
          <w:ilvl w:val="0"/>
          <w:numId w:val="24"/>
        </w:numPr>
        <w:spacing w:after="160" w:line="259" w:lineRule="auto"/>
        <w:rPr>
          <w:rFonts w:cstheme="minorHAnsi"/>
          <w:sz w:val="22"/>
          <w:szCs w:val="22"/>
        </w:rPr>
      </w:pPr>
      <w:r w:rsidRPr="00B939E3">
        <w:rPr>
          <w:rFonts w:cstheme="minorHAnsi"/>
          <w:sz w:val="22"/>
          <w:szCs w:val="22"/>
        </w:rPr>
        <w:t>Begin</w:t>
      </w:r>
      <w:r w:rsidR="0042394A" w:rsidRPr="00B939E3">
        <w:rPr>
          <w:rFonts w:cstheme="minorHAnsi"/>
          <w:sz w:val="22"/>
          <w:szCs w:val="22"/>
        </w:rPr>
        <w:t xml:space="preserve"> Commercial LEEP </w:t>
      </w:r>
      <w:bookmarkStart w:id="26" w:name="_Hlk162702268"/>
      <w:r w:rsidR="0042394A" w:rsidRPr="00B939E3">
        <w:rPr>
          <w:rFonts w:cstheme="minorHAnsi"/>
          <w:sz w:val="22"/>
          <w:szCs w:val="22"/>
        </w:rPr>
        <w:t xml:space="preserve">buy back </w:t>
      </w:r>
      <w:r w:rsidR="00E31848" w:rsidRPr="00B939E3">
        <w:rPr>
          <w:rFonts w:cstheme="minorHAnsi"/>
          <w:sz w:val="22"/>
          <w:szCs w:val="22"/>
        </w:rPr>
        <w:t xml:space="preserve">to collect </w:t>
      </w:r>
      <w:bookmarkEnd w:id="26"/>
      <w:r w:rsidR="00F5268C" w:rsidRPr="00B939E3">
        <w:rPr>
          <w:rFonts w:cstheme="minorHAnsi"/>
          <w:sz w:val="22"/>
          <w:szCs w:val="22"/>
        </w:rPr>
        <w:t xml:space="preserve">and replace </w:t>
      </w:r>
      <w:r w:rsidR="00217AC6">
        <w:rPr>
          <w:rFonts w:cstheme="minorHAnsi"/>
          <w:sz w:val="22"/>
          <w:szCs w:val="22"/>
        </w:rPr>
        <w:t>1,800</w:t>
      </w:r>
      <w:r w:rsidRPr="00B939E3">
        <w:rPr>
          <w:rFonts w:cstheme="minorHAnsi"/>
          <w:sz w:val="22"/>
          <w:szCs w:val="22"/>
        </w:rPr>
        <w:t xml:space="preserve"> LGE units (</w:t>
      </w:r>
      <w:r w:rsidR="004A5991">
        <w:rPr>
          <w:rFonts w:cstheme="minorHAnsi"/>
          <w:sz w:val="22"/>
          <w:szCs w:val="22"/>
        </w:rPr>
        <w:t>2</w:t>
      </w:r>
      <w:r w:rsidRPr="00B939E3">
        <w:rPr>
          <w:rFonts w:cstheme="minorHAnsi"/>
          <w:sz w:val="22"/>
          <w:szCs w:val="22"/>
        </w:rPr>
        <w:t>%)</w:t>
      </w:r>
    </w:p>
    <w:p w14:paraId="0A16834F" w14:textId="62DD0478" w:rsidR="0042394A" w:rsidRPr="00B939E3" w:rsidRDefault="0042394A" w:rsidP="0042394A">
      <w:pPr>
        <w:pStyle w:val="ListParagraph"/>
        <w:numPr>
          <w:ilvl w:val="0"/>
          <w:numId w:val="24"/>
        </w:numPr>
        <w:spacing w:after="160" w:line="259" w:lineRule="auto"/>
        <w:rPr>
          <w:rFonts w:cstheme="minorHAnsi"/>
          <w:sz w:val="22"/>
          <w:szCs w:val="22"/>
        </w:rPr>
      </w:pPr>
      <w:bookmarkStart w:id="27" w:name="_Hlk162703341"/>
      <w:r w:rsidRPr="00B939E3">
        <w:rPr>
          <w:rFonts w:cstheme="minorHAnsi"/>
          <w:sz w:val="22"/>
          <w:szCs w:val="22"/>
        </w:rPr>
        <w:t>Evaluate, measure, and report LEEP outputs</w:t>
      </w:r>
      <w:r w:rsidR="00B939E3" w:rsidRPr="00B939E3">
        <w:rPr>
          <w:rFonts w:cstheme="minorHAnsi"/>
          <w:sz w:val="22"/>
          <w:szCs w:val="22"/>
        </w:rPr>
        <w:t xml:space="preserve"> including LIDAC benefits</w:t>
      </w:r>
    </w:p>
    <w:bookmarkEnd w:id="27"/>
    <w:p w14:paraId="4443680B" w14:textId="43686E5A" w:rsidR="0042394A" w:rsidRPr="00413927" w:rsidRDefault="00413927" w:rsidP="00864786">
      <w:pPr>
        <w:spacing w:line="259" w:lineRule="auto"/>
        <w:rPr>
          <w:rFonts w:cstheme="minorHAnsi"/>
          <w:b/>
          <w:bCs/>
        </w:rPr>
      </w:pPr>
      <w:r w:rsidRPr="00413927">
        <w:rPr>
          <w:rFonts w:cstheme="minorHAnsi"/>
          <w:b/>
          <w:bCs/>
        </w:rPr>
        <w:t>Year 3</w:t>
      </w:r>
    </w:p>
    <w:p w14:paraId="55320D18" w14:textId="2609027A" w:rsidR="00050963" w:rsidRDefault="00050963" w:rsidP="00B939E3">
      <w:pPr>
        <w:pStyle w:val="ListParagraph"/>
        <w:numPr>
          <w:ilvl w:val="0"/>
          <w:numId w:val="25"/>
        </w:numPr>
        <w:spacing w:after="160" w:line="259" w:lineRule="auto"/>
        <w:rPr>
          <w:rFonts w:cstheme="minorHAnsi"/>
          <w:sz w:val="22"/>
          <w:szCs w:val="22"/>
        </w:rPr>
      </w:pPr>
      <w:bookmarkStart w:id="28" w:name="_Hlk162861547"/>
      <w:bookmarkStart w:id="29" w:name="_Hlk162702757"/>
      <w:r>
        <w:rPr>
          <w:rFonts w:cstheme="minorHAnsi"/>
          <w:sz w:val="22"/>
          <w:szCs w:val="22"/>
        </w:rPr>
        <w:t>Ongoing outreach for commercial and residential LEEP</w:t>
      </w:r>
    </w:p>
    <w:bookmarkEnd w:id="28"/>
    <w:p w14:paraId="158F5461" w14:textId="5A6EC50C" w:rsidR="00E31848" w:rsidRPr="00CD05D2" w:rsidRDefault="0042394A" w:rsidP="00025687">
      <w:pPr>
        <w:pStyle w:val="ListParagraph"/>
        <w:numPr>
          <w:ilvl w:val="0"/>
          <w:numId w:val="25"/>
        </w:numPr>
        <w:spacing w:after="160" w:line="259" w:lineRule="auto"/>
        <w:rPr>
          <w:rFonts w:cstheme="minorHAnsi"/>
          <w:sz w:val="22"/>
          <w:szCs w:val="22"/>
        </w:rPr>
      </w:pPr>
      <w:r w:rsidRPr="00CD05D2">
        <w:rPr>
          <w:rFonts w:cstheme="minorHAnsi"/>
          <w:sz w:val="22"/>
          <w:szCs w:val="22"/>
        </w:rPr>
        <w:t xml:space="preserve">Operate </w:t>
      </w:r>
      <w:r w:rsidR="00E31848" w:rsidRPr="00CD05D2">
        <w:rPr>
          <w:rFonts w:cstheme="minorHAnsi"/>
          <w:sz w:val="22"/>
          <w:szCs w:val="22"/>
        </w:rPr>
        <w:t xml:space="preserve">40 </w:t>
      </w:r>
      <w:r w:rsidRPr="00CD05D2">
        <w:rPr>
          <w:rFonts w:cstheme="minorHAnsi"/>
          <w:sz w:val="22"/>
          <w:szCs w:val="22"/>
        </w:rPr>
        <w:t xml:space="preserve">Residential </w:t>
      </w:r>
      <w:r w:rsidR="00E31848" w:rsidRPr="00CD05D2">
        <w:rPr>
          <w:rFonts w:cstheme="minorHAnsi"/>
          <w:sz w:val="22"/>
          <w:szCs w:val="22"/>
        </w:rPr>
        <w:t xml:space="preserve">LEEP buy back events to collect </w:t>
      </w:r>
      <w:r w:rsidR="00F5268C" w:rsidRPr="00CD05D2">
        <w:rPr>
          <w:rFonts w:cstheme="minorHAnsi"/>
          <w:sz w:val="22"/>
          <w:szCs w:val="22"/>
        </w:rPr>
        <w:t xml:space="preserve">and replace </w:t>
      </w:r>
      <w:r w:rsidR="00217AC6">
        <w:rPr>
          <w:rFonts w:cstheme="minorHAnsi"/>
          <w:sz w:val="22"/>
          <w:szCs w:val="22"/>
        </w:rPr>
        <w:t>23,045</w:t>
      </w:r>
      <w:r w:rsidR="00E31848" w:rsidRPr="00CD05D2">
        <w:rPr>
          <w:rFonts w:cstheme="minorHAnsi"/>
          <w:sz w:val="22"/>
          <w:szCs w:val="22"/>
        </w:rPr>
        <w:t xml:space="preserve"> mowers (</w:t>
      </w:r>
      <w:r w:rsidR="004A5991">
        <w:rPr>
          <w:rFonts w:cstheme="minorHAnsi"/>
          <w:sz w:val="22"/>
          <w:szCs w:val="22"/>
        </w:rPr>
        <w:t>28</w:t>
      </w:r>
      <w:r w:rsidR="00E31848" w:rsidRPr="00CD05D2">
        <w:rPr>
          <w:rFonts w:cstheme="minorHAnsi"/>
          <w:sz w:val="22"/>
          <w:szCs w:val="22"/>
        </w:rPr>
        <w:t xml:space="preserve">%) </w:t>
      </w:r>
    </w:p>
    <w:p w14:paraId="2B952FDC" w14:textId="63E3DE1D" w:rsidR="0042394A" w:rsidRPr="00CD05D2" w:rsidRDefault="00E31848" w:rsidP="00025687">
      <w:pPr>
        <w:pStyle w:val="ListParagraph"/>
        <w:numPr>
          <w:ilvl w:val="0"/>
          <w:numId w:val="25"/>
        </w:numPr>
        <w:spacing w:after="160" w:line="259" w:lineRule="auto"/>
        <w:rPr>
          <w:rFonts w:cstheme="minorHAnsi"/>
          <w:sz w:val="22"/>
          <w:szCs w:val="22"/>
        </w:rPr>
      </w:pPr>
      <w:bookmarkStart w:id="30" w:name="_Hlk162703060"/>
      <w:r w:rsidRPr="00CD05D2">
        <w:rPr>
          <w:rFonts w:cstheme="minorHAnsi"/>
          <w:sz w:val="22"/>
          <w:szCs w:val="22"/>
        </w:rPr>
        <w:t xml:space="preserve">Operate </w:t>
      </w:r>
      <w:r w:rsidR="0042394A" w:rsidRPr="00CD05D2">
        <w:rPr>
          <w:rFonts w:cstheme="minorHAnsi"/>
          <w:sz w:val="22"/>
          <w:szCs w:val="22"/>
        </w:rPr>
        <w:t xml:space="preserve">Commercial LEEP </w:t>
      </w:r>
      <w:r w:rsidRPr="00CD05D2">
        <w:rPr>
          <w:rFonts w:cstheme="minorHAnsi"/>
          <w:sz w:val="22"/>
          <w:szCs w:val="22"/>
        </w:rPr>
        <w:t xml:space="preserve">buy back program to collect </w:t>
      </w:r>
      <w:r w:rsidR="00F5268C" w:rsidRPr="00CD05D2">
        <w:rPr>
          <w:rFonts w:cstheme="minorHAnsi"/>
          <w:sz w:val="22"/>
          <w:szCs w:val="22"/>
        </w:rPr>
        <w:t xml:space="preserve">and replace </w:t>
      </w:r>
      <w:r w:rsidR="00217AC6">
        <w:rPr>
          <w:rFonts w:cstheme="minorHAnsi"/>
          <w:sz w:val="22"/>
          <w:szCs w:val="22"/>
        </w:rPr>
        <w:t>2,127</w:t>
      </w:r>
      <w:r w:rsidR="00025687" w:rsidRPr="00CD05D2">
        <w:rPr>
          <w:rFonts w:cstheme="minorHAnsi"/>
          <w:sz w:val="22"/>
          <w:szCs w:val="22"/>
        </w:rPr>
        <w:t xml:space="preserve"> LGE units (</w:t>
      </w:r>
      <w:r w:rsidR="004A5991">
        <w:rPr>
          <w:rFonts w:cstheme="minorHAnsi"/>
          <w:sz w:val="22"/>
          <w:szCs w:val="22"/>
        </w:rPr>
        <w:t>2</w:t>
      </w:r>
      <w:r w:rsidR="00025687" w:rsidRPr="00CD05D2">
        <w:rPr>
          <w:rFonts w:cstheme="minorHAnsi"/>
          <w:sz w:val="22"/>
          <w:szCs w:val="22"/>
        </w:rPr>
        <w:t>%)</w:t>
      </w:r>
    </w:p>
    <w:p w14:paraId="7AE7CB0F" w14:textId="1B3B3857" w:rsidR="00545775" w:rsidRPr="00CD05D2" w:rsidRDefault="00545775" w:rsidP="00025687">
      <w:pPr>
        <w:pStyle w:val="ListParagraph"/>
        <w:numPr>
          <w:ilvl w:val="0"/>
          <w:numId w:val="25"/>
        </w:numPr>
        <w:spacing w:after="160" w:line="259" w:lineRule="auto"/>
        <w:rPr>
          <w:rFonts w:cstheme="minorHAnsi"/>
          <w:sz w:val="22"/>
          <w:szCs w:val="22"/>
        </w:rPr>
      </w:pPr>
      <w:r w:rsidRPr="00CD05D2">
        <w:rPr>
          <w:rFonts w:cstheme="minorHAnsi"/>
          <w:sz w:val="22"/>
          <w:szCs w:val="22"/>
        </w:rPr>
        <w:t>Draft and distribute template local ZEE policies</w:t>
      </w:r>
    </w:p>
    <w:p w14:paraId="3D3DDE23" w14:textId="77777777" w:rsidR="00864786" w:rsidRPr="00CD05D2" w:rsidRDefault="00864786" w:rsidP="00864786">
      <w:pPr>
        <w:pStyle w:val="ListParagraph"/>
        <w:numPr>
          <w:ilvl w:val="0"/>
          <w:numId w:val="25"/>
        </w:numPr>
        <w:spacing w:after="160" w:line="259" w:lineRule="auto"/>
        <w:rPr>
          <w:rFonts w:cstheme="minorHAnsi"/>
          <w:sz w:val="22"/>
          <w:szCs w:val="22"/>
        </w:rPr>
      </w:pPr>
      <w:bookmarkStart w:id="31" w:name="_Hlk162703542"/>
      <w:r w:rsidRPr="00CD05D2">
        <w:rPr>
          <w:rFonts w:cstheme="minorHAnsi"/>
          <w:sz w:val="22"/>
          <w:szCs w:val="22"/>
        </w:rPr>
        <w:t>Evaluate, measure, and report LEEP outputs</w:t>
      </w:r>
      <w:bookmarkEnd w:id="31"/>
    </w:p>
    <w:p w14:paraId="0BCE7D15" w14:textId="2C043740" w:rsidR="000E61AF" w:rsidRPr="00413927" w:rsidRDefault="00413927" w:rsidP="000E61AF">
      <w:pPr>
        <w:spacing w:line="259" w:lineRule="auto"/>
        <w:rPr>
          <w:rFonts w:cstheme="minorHAnsi"/>
          <w:b/>
          <w:bCs/>
        </w:rPr>
      </w:pPr>
      <w:r w:rsidRPr="00413927">
        <w:rPr>
          <w:rFonts w:cstheme="minorHAnsi"/>
          <w:b/>
          <w:bCs/>
        </w:rPr>
        <w:t>Year 4</w:t>
      </w:r>
    </w:p>
    <w:p w14:paraId="15020EDC" w14:textId="77777777" w:rsidR="00050963" w:rsidRDefault="00050963" w:rsidP="00050963">
      <w:pPr>
        <w:pStyle w:val="ListParagraph"/>
        <w:numPr>
          <w:ilvl w:val="0"/>
          <w:numId w:val="25"/>
        </w:numPr>
        <w:spacing w:after="160" w:line="259" w:lineRule="auto"/>
        <w:rPr>
          <w:rFonts w:cstheme="minorHAnsi"/>
          <w:sz w:val="22"/>
          <w:szCs w:val="22"/>
        </w:rPr>
      </w:pPr>
      <w:r>
        <w:rPr>
          <w:rFonts w:cstheme="minorHAnsi"/>
          <w:sz w:val="22"/>
          <w:szCs w:val="22"/>
        </w:rPr>
        <w:t>Ongoing outreach for commercial and residential LEEP</w:t>
      </w:r>
    </w:p>
    <w:p w14:paraId="0BA142A2" w14:textId="756D3316" w:rsidR="000E61AF" w:rsidRPr="00CD05D2" w:rsidRDefault="000E61AF" w:rsidP="000E61AF">
      <w:pPr>
        <w:pStyle w:val="ListParagraph"/>
        <w:numPr>
          <w:ilvl w:val="0"/>
          <w:numId w:val="25"/>
        </w:numPr>
        <w:spacing w:after="160" w:line="259" w:lineRule="auto"/>
        <w:rPr>
          <w:rFonts w:cstheme="minorHAnsi"/>
          <w:sz w:val="22"/>
          <w:szCs w:val="22"/>
        </w:rPr>
      </w:pPr>
      <w:r w:rsidRPr="00CD05D2">
        <w:rPr>
          <w:rFonts w:cstheme="minorHAnsi"/>
          <w:sz w:val="22"/>
          <w:szCs w:val="22"/>
        </w:rPr>
        <w:t xml:space="preserve">Operate 50 Residential LEEP buy back events to collect </w:t>
      </w:r>
      <w:r w:rsidR="00F5268C" w:rsidRPr="00CD05D2">
        <w:rPr>
          <w:rFonts w:cstheme="minorHAnsi"/>
          <w:sz w:val="22"/>
          <w:szCs w:val="22"/>
        </w:rPr>
        <w:t xml:space="preserve">and replace </w:t>
      </w:r>
      <w:r w:rsidRPr="00CD05D2">
        <w:rPr>
          <w:rFonts w:cstheme="minorHAnsi"/>
          <w:sz w:val="22"/>
          <w:szCs w:val="22"/>
        </w:rPr>
        <w:t>23,045 mowers (</w:t>
      </w:r>
      <w:r w:rsidR="004A5991">
        <w:rPr>
          <w:rFonts w:cstheme="minorHAnsi"/>
          <w:sz w:val="22"/>
          <w:szCs w:val="22"/>
        </w:rPr>
        <w:t>28</w:t>
      </w:r>
      <w:r w:rsidRPr="00CD05D2">
        <w:rPr>
          <w:rFonts w:cstheme="minorHAnsi"/>
          <w:sz w:val="22"/>
          <w:szCs w:val="22"/>
        </w:rPr>
        <w:t>%)</w:t>
      </w:r>
    </w:p>
    <w:p w14:paraId="6251484E" w14:textId="36AF5950" w:rsidR="000E61AF" w:rsidRPr="00CD05D2" w:rsidRDefault="000E61AF" w:rsidP="000E61AF">
      <w:pPr>
        <w:pStyle w:val="ListParagraph"/>
        <w:numPr>
          <w:ilvl w:val="0"/>
          <w:numId w:val="25"/>
        </w:numPr>
        <w:spacing w:after="160" w:line="259" w:lineRule="auto"/>
        <w:rPr>
          <w:rFonts w:cstheme="minorHAnsi"/>
          <w:sz w:val="22"/>
          <w:szCs w:val="22"/>
        </w:rPr>
      </w:pPr>
      <w:r w:rsidRPr="00CD05D2">
        <w:rPr>
          <w:rFonts w:cstheme="minorHAnsi"/>
          <w:sz w:val="22"/>
          <w:szCs w:val="22"/>
        </w:rPr>
        <w:t xml:space="preserve">Operate Commercial LEEP buy back program to collect </w:t>
      </w:r>
      <w:r w:rsidR="00F5268C" w:rsidRPr="00CD05D2">
        <w:rPr>
          <w:rFonts w:cstheme="minorHAnsi"/>
          <w:sz w:val="22"/>
          <w:szCs w:val="22"/>
        </w:rPr>
        <w:t xml:space="preserve">and replace </w:t>
      </w:r>
      <w:r w:rsidR="00DF4FD2">
        <w:rPr>
          <w:rFonts w:cstheme="minorHAnsi"/>
          <w:sz w:val="22"/>
          <w:szCs w:val="22"/>
        </w:rPr>
        <w:t xml:space="preserve">2,224 </w:t>
      </w:r>
      <w:r w:rsidRPr="00CD05D2">
        <w:rPr>
          <w:rFonts w:cstheme="minorHAnsi"/>
          <w:sz w:val="22"/>
          <w:szCs w:val="22"/>
        </w:rPr>
        <w:t>LGE units (</w:t>
      </w:r>
      <w:r w:rsidR="004A5991">
        <w:rPr>
          <w:rFonts w:cstheme="minorHAnsi"/>
          <w:sz w:val="22"/>
          <w:szCs w:val="22"/>
        </w:rPr>
        <w:t>3</w:t>
      </w:r>
      <w:r w:rsidRPr="00CD05D2">
        <w:rPr>
          <w:rFonts w:cstheme="minorHAnsi"/>
          <w:sz w:val="22"/>
          <w:szCs w:val="22"/>
        </w:rPr>
        <w:t>%)</w:t>
      </w:r>
    </w:p>
    <w:p w14:paraId="29E79FE5" w14:textId="5B6BA500" w:rsidR="00864786" w:rsidRDefault="000E61AF" w:rsidP="00864786">
      <w:pPr>
        <w:pStyle w:val="ListParagraph"/>
        <w:numPr>
          <w:ilvl w:val="0"/>
          <w:numId w:val="25"/>
        </w:numPr>
        <w:spacing w:after="160" w:line="259" w:lineRule="auto"/>
        <w:rPr>
          <w:rFonts w:cstheme="minorHAnsi"/>
          <w:sz w:val="22"/>
          <w:szCs w:val="22"/>
        </w:rPr>
      </w:pPr>
      <w:r w:rsidRPr="00CD05D2">
        <w:rPr>
          <w:rFonts w:cstheme="minorHAnsi"/>
          <w:sz w:val="22"/>
          <w:szCs w:val="22"/>
        </w:rPr>
        <w:t>Evaluate, measure, and report LEEP outputs</w:t>
      </w:r>
    </w:p>
    <w:p w14:paraId="59CAF44B" w14:textId="7B8D66D3" w:rsidR="00710128" w:rsidRPr="00413927" w:rsidRDefault="00413927" w:rsidP="00710128">
      <w:pPr>
        <w:spacing w:line="259" w:lineRule="auto"/>
        <w:rPr>
          <w:rFonts w:cstheme="minorHAnsi"/>
          <w:b/>
          <w:bCs/>
        </w:rPr>
      </w:pPr>
      <w:r w:rsidRPr="00413927">
        <w:rPr>
          <w:rFonts w:cstheme="minorHAnsi"/>
          <w:b/>
          <w:bCs/>
        </w:rPr>
        <w:lastRenderedPageBreak/>
        <w:t>Year 5</w:t>
      </w:r>
    </w:p>
    <w:p w14:paraId="5A0AC978" w14:textId="168BB013" w:rsidR="00710128" w:rsidRDefault="00710128" w:rsidP="00710128">
      <w:pPr>
        <w:pStyle w:val="ListParagraph"/>
        <w:numPr>
          <w:ilvl w:val="0"/>
          <w:numId w:val="25"/>
        </w:numPr>
        <w:spacing w:after="160" w:line="259" w:lineRule="auto"/>
        <w:rPr>
          <w:rFonts w:cstheme="minorHAnsi"/>
          <w:sz w:val="22"/>
          <w:szCs w:val="22"/>
        </w:rPr>
      </w:pPr>
      <w:r w:rsidRPr="00025687">
        <w:rPr>
          <w:rFonts w:cstheme="minorHAnsi"/>
          <w:sz w:val="22"/>
          <w:szCs w:val="22"/>
        </w:rPr>
        <w:t xml:space="preserve">Operate </w:t>
      </w:r>
      <w:r w:rsidR="00D815F1">
        <w:rPr>
          <w:rFonts w:cstheme="minorHAnsi"/>
          <w:sz w:val="22"/>
          <w:szCs w:val="22"/>
        </w:rPr>
        <w:t>15</w:t>
      </w:r>
      <w:r w:rsidRPr="00025687">
        <w:rPr>
          <w:rFonts w:cstheme="minorHAnsi"/>
          <w:sz w:val="22"/>
          <w:szCs w:val="22"/>
        </w:rPr>
        <w:t xml:space="preserve"> Residential LEEP buy back events to collect </w:t>
      </w:r>
      <w:r>
        <w:rPr>
          <w:rFonts w:cstheme="minorHAnsi"/>
          <w:sz w:val="22"/>
          <w:szCs w:val="22"/>
        </w:rPr>
        <w:t xml:space="preserve">and replace </w:t>
      </w:r>
      <w:r w:rsidR="004A5991">
        <w:rPr>
          <w:rFonts w:cstheme="minorHAnsi"/>
          <w:sz w:val="22"/>
          <w:szCs w:val="22"/>
        </w:rPr>
        <w:t>7,686</w:t>
      </w:r>
      <w:r w:rsidRPr="00025687">
        <w:rPr>
          <w:rFonts w:cstheme="minorHAnsi"/>
          <w:sz w:val="22"/>
          <w:szCs w:val="22"/>
        </w:rPr>
        <w:t xml:space="preserve"> mowers (</w:t>
      </w:r>
      <w:r w:rsidR="004A5991">
        <w:rPr>
          <w:rFonts w:cstheme="minorHAnsi"/>
          <w:sz w:val="22"/>
          <w:szCs w:val="22"/>
        </w:rPr>
        <w:t>9</w:t>
      </w:r>
      <w:r w:rsidRPr="00025687">
        <w:rPr>
          <w:rFonts w:cstheme="minorHAnsi"/>
          <w:sz w:val="22"/>
          <w:szCs w:val="22"/>
        </w:rPr>
        <w:t>%)</w:t>
      </w:r>
    </w:p>
    <w:p w14:paraId="6ADFF3D5" w14:textId="172097F0" w:rsidR="00710128" w:rsidRPr="00025687" w:rsidRDefault="00710128" w:rsidP="00710128">
      <w:pPr>
        <w:pStyle w:val="ListParagraph"/>
        <w:numPr>
          <w:ilvl w:val="0"/>
          <w:numId w:val="25"/>
        </w:numPr>
        <w:spacing w:after="160" w:line="259" w:lineRule="auto"/>
        <w:rPr>
          <w:rFonts w:cstheme="minorHAnsi"/>
          <w:sz w:val="22"/>
          <w:szCs w:val="22"/>
        </w:rPr>
      </w:pPr>
      <w:r w:rsidRPr="00025687">
        <w:rPr>
          <w:rFonts w:cstheme="minorHAnsi"/>
          <w:sz w:val="22"/>
          <w:szCs w:val="22"/>
        </w:rPr>
        <w:t xml:space="preserve">Operate Commercial LEEP buy back program to collect </w:t>
      </w:r>
      <w:r>
        <w:rPr>
          <w:rFonts w:cstheme="minorHAnsi"/>
          <w:sz w:val="22"/>
          <w:szCs w:val="22"/>
        </w:rPr>
        <w:t xml:space="preserve">and replace </w:t>
      </w:r>
      <w:r w:rsidR="00DF4FD2">
        <w:rPr>
          <w:rFonts w:cstheme="minorHAnsi"/>
          <w:sz w:val="22"/>
          <w:szCs w:val="22"/>
        </w:rPr>
        <w:t>2,224</w:t>
      </w:r>
      <w:r w:rsidRPr="00025687">
        <w:rPr>
          <w:rFonts w:cstheme="minorHAnsi"/>
          <w:sz w:val="22"/>
          <w:szCs w:val="22"/>
        </w:rPr>
        <w:t xml:space="preserve"> LGE units (</w:t>
      </w:r>
      <w:r w:rsidR="004A5991">
        <w:rPr>
          <w:rFonts w:cstheme="minorHAnsi"/>
          <w:sz w:val="22"/>
          <w:szCs w:val="22"/>
        </w:rPr>
        <w:t>3</w:t>
      </w:r>
      <w:r w:rsidRPr="00025687">
        <w:rPr>
          <w:rFonts w:cstheme="minorHAnsi"/>
          <w:sz w:val="22"/>
          <w:szCs w:val="22"/>
        </w:rPr>
        <w:t>%)</w:t>
      </w:r>
    </w:p>
    <w:p w14:paraId="2C9A1A28" w14:textId="77777777" w:rsidR="00710128" w:rsidRPr="00545775" w:rsidRDefault="00710128" w:rsidP="00710128">
      <w:pPr>
        <w:pStyle w:val="ListParagraph"/>
        <w:numPr>
          <w:ilvl w:val="0"/>
          <w:numId w:val="25"/>
        </w:numPr>
        <w:spacing w:after="160" w:line="259" w:lineRule="auto"/>
        <w:rPr>
          <w:sz w:val="22"/>
          <w:szCs w:val="22"/>
        </w:rPr>
      </w:pPr>
      <w:r w:rsidRPr="00545775">
        <w:rPr>
          <w:sz w:val="22"/>
          <w:szCs w:val="22"/>
        </w:rPr>
        <w:t>Outreach to landscape workers and landscape companies</w:t>
      </w:r>
    </w:p>
    <w:p w14:paraId="630A1B0D" w14:textId="77777777" w:rsidR="00413927" w:rsidRPr="00413927" w:rsidRDefault="00710128" w:rsidP="00413927">
      <w:pPr>
        <w:pStyle w:val="ListParagraph"/>
        <w:numPr>
          <w:ilvl w:val="0"/>
          <w:numId w:val="25"/>
        </w:numPr>
        <w:spacing w:after="160" w:line="259" w:lineRule="auto"/>
        <w:rPr>
          <w:rFonts w:cstheme="minorHAnsi"/>
          <w:sz w:val="22"/>
          <w:szCs w:val="22"/>
        </w:rPr>
      </w:pPr>
      <w:r w:rsidRPr="007375B6">
        <w:rPr>
          <w:sz w:val="22"/>
          <w:szCs w:val="22"/>
        </w:rPr>
        <w:t>Evaluate, measure, and report LEEP outputs</w:t>
      </w:r>
      <w:r w:rsidR="00413927" w:rsidRPr="00413927">
        <w:rPr>
          <w:sz w:val="22"/>
          <w:szCs w:val="22"/>
        </w:rPr>
        <w:t xml:space="preserve"> </w:t>
      </w:r>
    </w:p>
    <w:p w14:paraId="47326C69" w14:textId="729CD144" w:rsidR="00413927" w:rsidRPr="009B6846" w:rsidRDefault="00413927" w:rsidP="00413927">
      <w:pPr>
        <w:pStyle w:val="ListParagraph"/>
        <w:numPr>
          <w:ilvl w:val="0"/>
          <w:numId w:val="25"/>
        </w:numPr>
        <w:spacing w:after="160" w:line="259" w:lineRule="auto"/>
        <w:rPr>
          <w:rFonts w:cstheme="minorHAnsi"/>
          <w:sz w:val="22"/>
          <w:szCs w:val="22"/>
        </w:rPr>
      </w:pPr>
      <w:r>
        <w:rPr>
          <w:sz w:val="22"/>
          <w:szCs w:val="22"/>
        </w:rPr>
        <w:t>Submit final report and close</w:t>
      </w:r>
      <w:r w:rsidR="00050963">
        <w:rPr>
          <w:sz w:val="22"/>
          <w:szCs w:val="22"/>
        </w:rPr>
        <w:t>-</w:t>
      </w:r>
      <w:r>
        <w:rPr>
          <w:sz w:val="22"/>
          <w:szCs w:val="22"/>
        </w:rPr>
        <w:t>out documents to EPA</w:t>
      </w:r>
    </w:p>
    <w:p w14:paraId="2EEA3A0A" w14:textId="7475CE29" w:rsidR="00710128" w:rsidRPr="007375B6" w:rsidRDefault="00710128" w:rsidP="00413927">
      <w:pPr>
        <w:pStyle w:val="ListParagraph"/>
        <w:spacing w:after="160" w:line="259" w:lineRule="auto"/>
        <w:rPr>
          <w:rFonts w:cstheme="minorHAnsi"/>
          <w:sz w:val="22"/>
          <w:szCs w:val="22"/>
        </w:rPr>
      </w:pPr>
    </w:p>
    <w:bookmarkEnd w:id="29"/>
    <w:bookmarkEnd w:id="30"/>
    <w:p w14:paraId="6B9B5FCC" w14:textId="1CDEBB13" w:rsidR="001B1A37" w:rsidRPr="001B1A37" w:rsidRDefault="00F06271" w:rsidP="001B1A37">
      <w:pPr>
        <w:keepNext/>
        <w:keepLines/>
        <w:spacing w:before="40"/>
        <w:outlineLvl w:val="2"/>
        <w:rPr>
          <w:rFonts w:asciiTheme="majorHAnsi" w:eastAsiaTheme="majorEastAsia" w:hAnsiTheme="majorHAnsi" w:cstheme="majorBidi"/>
          <w:color w:val="1F3763" w:themeColor="accent1" w:themeShade="7F"/>
          <w:sz w:val="24"/>
          <w:szCs w:val="24"/>
        </w:rPr>
      </w:pPr>
      <w:r>
        <w:rPr>
          <w:rFonts w:asciiTheme="majorHAnsi" w:eastAsiaTheme="majorEastAsia" w:hAnsiTheme="majorHAnsi" w:cstheme="majorBidi"/>
          <w:color w:val="1F3763" w:themeColor="accent1" w:themeShade="7F"/>
          <w:sz w:val="24"/>
          <w:szCs w:val="24"/>
        </w:rPr>
        <w:t xml:space="preserve">Implementation </w:t>
      </w:r>
      <w:r w:rsidR="001B1A37" w:rsidRPr="001B1A37">
        <w:rPr>
          <w:rFonts w:asciiTheme="majorHAnsi" w:eastAsiaTheme="majorEastAsia" w:hAnsiTheme="majorHAnsi" w:cstheme="majorBidi"/>
          <w:color w:val="1F3763" w:themeColor="accent1" w:themeShade="7F"/>
          <w:sz w:val="24"/>
          <w:szCs w:val="24"/>
        </w:rPr>
        <w:t>Timeline</w:t>
      </w:r>
    </w:p>
    <w:p w14:paraId="47D14E7B" w14:textId="77777777" w:rsidR="00545775" w:rsidRDefault="001B1A37" w:rsidP="001B1A37">
      <w:pPr>
        <w:spacing w:after="160" w:line="259" w:lineRule="auto"/>
        <w:rPr>
          <w:b/>
          <w:bCs/>
        </w:rPr>
      </w:pPr>
      <w:r w:rsidRPr="004939F5">
        <w:rPr>
          <w:b/>
          <w:bCs/>
        </w:rPr>
        <w:t xml:space="preserve">LEEP </w:t>
      </w:r>
      <w:r w:rsidR="00F06271">
        <w:rPr>
          <w:b/>
          <w:bCs/>
        </w:rPr>
        <w:t xml:space="preserve">Implementation </w:t>
      </w:r>
      <w:r w:rsidRPr="004939F5">
        <w:rPr>
          <w:b/>
          <w:bCs/>
        </w:rPr>
        <w:t>Timeline Related to Outputs and Outcomes</w:t>
      </w:r>
    </w:p>
    <w:p w14:paraId="12DBB813" w14:textId="6DE5CB55" w:rsidR="0042394A" w:rsidRPr="00545775" w:rsidRDefault="0042394A" w:rsidP="001B1A37">
      <w:pPr>
        <w:spacing w:after="160" w:line="259" w:lineRule="auto"/>
        <w:rPr>
          <w:b/>
          <w:bCs/>
        </w:rPr>
      </w:pPr>
      <w:r>
        <w:t>The Caucus will lead partners and contractors to achieve LEEP outcomes and outputs according to this timeline. Reference Outcomes 1-5 and related Outputs in Section 3A, p</w:t>
      </w:r>
      <w:r w:rsidR="00430352">
        <w:t xml:space="preserve">ages </w:t>
      </w:r>
      <w:r>
        <w:t xml:space="preserve">14 </w:t>
      </w:r>
      <w:r w:rsidR="00430352">
        <w:t>-15</w:t>
      </w:r>
      <w:r>
        <w:t xml:space="preserve">. </w:t>
      </w:r>
    </w:p>
    <w:p w14:paraId="37B3F4A7" w14:textId="2B44795B" w:rsidR="001B1A37" w:rsidRDefault="00640A42" w:rsidP="001B1A37">
      <w:pPr>
        <w:spacing w:after="160" w:line="259" w:lineRule="auto"/>
      </w:pPr>
      <w:r w:rsidRPr="00640A42">
        <w:rPr>
          <w:noProof/>
        </w:rPr>
        <w:drawing>
          <wp:inline distT="0" distB="0" distL="0" distR="0" wp14:anchorId="0E1CF578" wp14:editId="431629E4">
            <wp:extent cx="5943600" cy="4469765"/>
            <wp:effectExtent l="19050" t="19050" r="19050" b="26035"/>
            <wp:docPr id="14601580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4469765"/>
                    </a:xfrm>
                    <a:prstGeom prst="rect">
                      <a:avLst/>
                    </a:prstGeom>
                    <a:noFill/>
                    <a:ln>
                      <a:solidFill>
                        <a:schemeClr val="accent1"/>
                      </a:solidFill>
                    </a:ln>
                  </pic:spPr>
                </pic:pic>
              </a:graphicData>
            </a:graphic>
          </wp:inline>
        </w:drawing>
      </w:r>
    </w:p>
    <w:p w14:paraId="6C3A2972" w14:textId="77777777" w:rsidR="000E61AF" w:rsidRDefault="000E61AF" w:rsidP="00545775">
      <w:pPr>
        <w:spacing w:line="259" w:lineRule="auto"/>
        <w:rPr>
          <w:rFonts w:cstheme="minorHAnsi"/>
        </w:rPr>
      </w:pPr>
    </w:p>
    <w:p w14:paraId="141535F9" w14:textId="0A69913F" w:rsidR="004C35F4" w:rsidRPr="00DB7AC8" w:rsidRDefault="00DC1404" w:rsidP="00DC1404">
      <w:pPr>
        <w:pStyle w:val="Heading1"/>
        <w:numPr>
          <w:ilvl w:val="0"/>
          <w:numId w:val="7"/>
        </w:numPr>
        <w:ind w:left="360"/>
      </w:pPr>
      <w:r w:rsidRPr="00DB7AC8">
        <w:t>Low-Income and Disadvantaged Communities</w:t>
      </w:r>
      <w:r w:rsidR="000329BB" w:rsidRPr="00DB7AC8">
        <w:t xml:space="preserve"> (LIDAC)</w:t>
      </w:r>
    </w:p>
    <w:p w14:paraId="0E098CD2" w14:textId="523521E4" w:rsidR="00B87386" w:rsidRDefault="00B87386" w:rsidP="00B87386">
      <w:r>
        <w:t xml:space="preserve">The Metropolitan Mayors Caucus is deeply </w:t>
      </w:r>
      <w:r w:rsidR="00714155">
        <w:t>committed to</w:t>
      </w:r>
      <w:r>
        <w:t xml:space="preserve"> equity and serving low income and disadvantaged communities throughout the region. LEEP will enable the Caucus and its partners to focus resources to bring environmental, economic,</w:t>
      </w:r>
      <w:r w:rsidR="009D4A47">
        <w:t xml:space="preserve"> and</w:t>
      </w:r>
      <w:r>
        <w:t xml:space="preserve"> health</w:t>
      </w:r>
      <w:r w:rsidR="009D4A47">
        <w:t xml:space="preserve"> benefits </w:t>
      </w:r>
      <w:r w:rsidR="00C4336F">
        <w:t xml:space="preserve">to serve vulnerable LIDAC populations. </w:t>
      </w:r>
      <w:r w:rsidR="009D4A47">
        <w:lastRenderedPageBreak/>
        <w:t xml:space="preserve">LEEP will </w:t>
      </w:r>
      <w:r w:rsidR="00BE3FD6">
        <w:t>bring</w:t>
      </w:r>
      <w:r w:rsidR="009D4A47">
        <w:t xml:space="preserve"> significant benefits to residents of these communities who work in the landscape industry.  </w:t>
      </w:r>
    </w:p>
    <w:p w14:paraId="71076CFA" w14:textId="77777777" w:rsidR="009D4A47" w:rsidRPr="006E429B" w:rsidRDefault="009D4A47" w:rsidP="00B87386"/>
    <w:p w14:paraId="327EAA58" w14:textId="5E0A310A" w:rsidR="00CD1A44" w:rsidRPr="00E7533C" w:rsidRDefault="00CD1A44" w:rsidP="00CD1A44">
      <w:pPr>
        <w:pStyle w:val="Heading2"/>
        <w:rPr>
          <w:color w:val="F4B083" w:themeColor="accent2" w:themeTint="99"/>
        </w:rPr>
      </w:pPr>
      <w:r>
        <w:t>A. Community Benefits</w:t>
      </w:r>
      <w:r w:rsidR="00E7533C">
        <w:t xml:space="preserve"> </w:t>
      </w:r>
    </w:p>
    <w:p w14:paraId="42CD8FD3" w14:textId="27EAB745" w:rsidR="00B23E88" w:rsidRDefault="008E335D" w:rsidP="00B23E88">
      <w:r>
        <w:t xml:space="preserve">LEEP will offer benefits to 2820 census tracts and census block groups identified as LIDAC through the LIDAC analysis completed for the Chicago MSA PCAP. </w:t>
      </w:r>
      <w:r w:rsidR="005758F1">
        <w:t xml:space="preserve">See </w:t>
      </w:r>
      <w:r w:rsidR="00EB232A">
        <w:t xml:space="preserve">LEEP Impacted LIDAC List, attached. </w:t>
      </w:r>
      <w:r w:rsidR="00122689">
        <w:t xml:space="preserve">The EPA-directed process to identify these LIDAC is described in the Chicago MSA PCAP, attached. </w:t>
      </w:r>
      <w:r w:rsidR="00E474FD">
        <w:t>LEEP will serve</w:t>
      </w:r>
      <w:r w:rsidR="00BF0610">
        <w:t xml:space="preserve"> 7 </w:t>
      </w:r>
      <w:r w:rsidR="00E474FD">
        <w:t xml:space="preserve">Chicago metro </w:t>
      </w:r>
      <w:r w:rsidR="00BF0610">
        <w:t>counties plus communities of DeKalb and Rockford</w:t>
      </w:r>
      <w:r w:rsidR="008112CA">
        <w:t xml:space="preserve"> </w:t>
      </w:r>
      <w:r w:rsidR="00122689">
        <w:t xml:space="preserve">which is </w:t>
      </w:r>
      <w:r w:rsidR="008112CA">
        <w:t>not part of Chicago MSA</w:t>
      </w:r>
      <w:r w:rsidR="00E474FD">
        <w:t>, for a total service area of 9 counties. Th</w:t>
      </w:r>
      <w:r w:rsidR="00ED5803">
        <w:t xml:space="preserve">is area has </w:t>
      </w:r>
      <w:r w:rsidR="00BF0610">
        <w:t xml:space="preserve">substantial LIDAC </w:t>
      </w:r>
      <w:r w:rsidR="00517142">
        <w:t>populations,</w:t>
      </w:r>
      <w:r w:rsidR="00BF0610">
        <w:t xml:space="preserve"> and </w:t>
      </w:r>
      <w:r w:rsidR="00ED5803">
        <w:t xml:space="preserve">all </w:t>
      </w:r>
      <w:r w:rsidR="00BF0610">
        <w:t>will be invited to participate in LEEP.</w:t>
      </w:r>
      <w:r w:rsidR="00EB232A">
        <w:t xml:space="preserve"> No disbenefits or harm to LIDAC are anticipated.</w:t>
      </w:r>
    </w:p>
    <w:p w14:paraId="11B8161E" w14:textId="77777777" w:rsidR="008E335D" w:rsidRDefault="008E335D" w:rsidP="00B23E88"/>
    <w:p w14:paraId="46C31A32" w14:textId="06C7C6BB" w:rsidR="00D96287" w:rsidRDefault="00EF1980" w:rsidP="00B23E88">
      <w:r>
        <w:t xml:space="preserve">LEEP will </w:t>
      </w:r>
      <w:r w:rsidR="00BF0610">
        <w:t xml:space="preserve">provide community benefits directly to LIDAC in two substantial and verifiable pathways. First, reduction of GHG, CAP and HAP pollutants can be measured using the National Emissions Inventory (NEI) at </w:t>
      </w:r>
      <w:r w:rsidR="00BA2064">
        <w:t xml:space="preserve">county-level </w:t>
      </w:r>
      <w:r w:rsidR="00BF0610">
        <w:t>resolution. Section 2</w:t>
      </w:r>
      <w:r w:rsidR="00E474FD">
        <w:t xml:space="preserve">, </w:t>
      </w:r>
      <w:r w:rsidR="00BF0610">
        <w:t>Impact of GHG Reduction Measures and Section 3A and 3B Expected Output and Outcomes</w:t>
      </w:r>
      <w:r w:rsidR="00E474FD">
        <w:t>,</w:t>
      </w:r>
      <w:r w:rsidR="00BF0610">
        <w:t xml:space="preserve"> of this proposal describe baseline and projected emissions for CO2, NOx, CAP, and HAP pollutants for the </w:t>
      </w:r>
      <w:r w:rsidR="00E474FD">
        <w:t>7</w:t>
      </w:r>
      <w:r w:rsidR="00BF0610">
        <w:t>-county service area</w:t>
      </w:r>
      <w:r w:rsidR="00D96287">
        <w:t xml:space="preserve"> expected to benefit from LEEP.  LADCO will provide interim and final reports measuring reductions in these pollutants over the period of the grant, as required. These data will be shared with municipal members, stakeholders and LIDAC.</w:t>
      </w:r>
    </w:p>
    <w:p w14:paraId="75D11ACF" w14:textId="77777777" w:rsidR="00D96287" w:rsidRDefault="00D96287" w:rsidP="00B23E88"/>
    <w:p w14:paraId="1CE94A92" w14:textId="2E463285" w:rsidR="000379BA" w:rsidRDefault="00D96287" w:rsidP="00B23E88">
      <w:r>
        <w:t xml:space="preserve">Second, LEEP will directly benefit low income, disadvantaged community members, particularly the low-wage Latino landscape workforce throughout the Chicago region. There are an estimated 400,000 landscape workers of Latino heritage providing </w:t>
      </w:r>
      <w:r w:rsidR="00517142">
        <w:t xml:space="preserve">valuable </w:t>
      </w:r>
      <w:r>
        <w:t xml:space="preserve">services in the region. During the COVID pandemic, landscape workers were deemed essential. Through partnership with FLAP and ILCA, this LIDAC population will be broadly served with outreach and training.  FLAP will publicize benefits of landscape electrification and LEEP </w:t>
      </w:r>
      <w:r w:rsidR="000379BA">
        <w:t>benefits through Spanish-language radio, television, and print media. FLAP will incorporate information and health risks from gasoline powered LGE and promote ZEE into their extensive “Know Your Rights” and Community Navigator presentations in the</w:t>
      </w:r>
      <w:r w:rsidR="000379BA" w:rsidRPr="000379BA">
        <w:t xml:space="preserve"> </w:t>
      </w:r>
      <w:r w:rsidR="000379BA">
        <w:t>Latino community</w:t>
      </w:r>
      <w:r w:rsidR="004355BC">
        <w:t xml:space="preserve"> throughout the region</w:t>
      </w:r>
      <w:r w:rsidR="004355BC">
        <w:rPr>
          <w:rStyle w:val="FootnoteReference"/>
        </w:rPr>
        <w:footnoteReference w:id="17"/>
      </w:r>
      <w:r w:rsidR="000379BA">
        <w:t xml:space="preserve">. </w:t>
      </w:r>
      <w:r w:rsidR="009B4BD3">
        <w:t xml:space="preserve"> ILCA will further our reach to provide LIDAC benefits through engagement and education of their </w:t>
      </w:r>
      <w:r w:rsidR="00B4122D">
        <w:t xml:space="preserve">20,000 </w:t>
      </w:r>
      <w:r w:rsidR="009B4BD3">
        <w:t>member</w:t>
      </w:r>
      <w:r w:rsidR="00B4122D">
        <w:t>s and stakeholders</w:t>
      </w:r>
      <w:r w:rsidR="009B4BD3">
        <w:t>.</w:t>
      </w:r>
    </w:p>
    <w:p w14:paraId="5A377194" w14:textId="77777777" w:rsidR="009B4BD3" w:rsidRDefault="009B4BD3" w:rsidP="00B23E88"/>
    <w:p w14:paraId="3CC27125" w14:textId="6909107F" w:rsidR="009B4BD3" w:rsidRDefault="009B4BD3" w:rsidP="00B23E88">
      <w:r>
        <w:t>Finally, documentation of the buy-back exchange – one-for-one of gasoline powered LGE for ZEE</w:t>
      </w:r>
      <w:r w:rsidR="00517142">
        <w:t xml:space="preserve"> </w:t>
      </w:r>
      <w:r w:rsidR="008525BA">
        <w:t xml:space="preserve">provides clear </w:t>
      </w:r>
      <w:r w:rsidR="006E704D">
        <w:t>attribution</w:t>
      </w:r>
      <w:r w:rsidR="008525BA">
        <w:t xml:space="preserve"> of LEEP benefits to members of LIDAC. For Residential LEEP, solid waste agencies will set up and publicize community LGE collection events </w:t>
      </w:r>
      <w:r w:rsidR="00B651E1">
        <w:t xml:space="preserve">which </w:t>
      </w:r>
      <w:r w:rsidR="008525BA">
        <w:t>will both occur in LIDAC and equitably serve members of LIDAC. Many HHW events, especially for permanent locations like CHaRM</w:t>
      </w:r>
      <w:r w:rsidR="005026CF">
        <w:t xml:space="preserve"> (pending permit approval)</w:t>
      </w:r>
      <w:r w:rsidR="008525BA">
        <w:t xml:space="preserve"> and SWALCO (see Section </w:t>
      </w:r>
      <w:r w:rsidR="007F380C">
        <w:t>1, LEEP</w:t>
      </w:r>
      <w:r w:rsidR="00B651E1">
        <w:t xml:space="preserve"> Partners</w:t>
      </w:r>
      <w:r w:rsidR="008525BA">
        <w:t xml:space="preserve"> p.4) require participation registration for appointment times to assure adequate staffing and resources. This </w:t>
      </w:r>
      <w:r w:rsidR="006E704D">
        <w:t xml:space="preserve">process will allow LEEP to document benefits to LIDAC residents by address.  Likewise, the necessary documentation of the incentive/rebate transaction will allow this same attribution of benefits to LIDAC. </w:t>
      </w:r>
    </w:p>
    <w:p w14:paraId="7F845630" w14:textId="77777777" w:rsidR="006E704D" w:rsidRDefault="006E704D" w:rsidP="00B23E88"/>
    <w:p w14:paraId="6D8593FB" w14:textId="3C3CDDA2" w:rsidR="006E704D" w:rsidRDefault="006E704D" w:rsidP="007A616E">
      <w:r>
        <w:t xml:space="preserve">Commercial LEEP will offer similar attribution of LEEP benefits to LIDAC, however LEEP incentives and services will be </w:t>
      </w:r>
      <w:r w:rsidR="00B651E1">
        <w:t>tracked</w:t>
      </w:r>
      <w:r>
        <w:t xml:space="preserve"> to landscape businesses who will make ZEE purchasing and management decision</w:t>
      </w:r>
      <w:r w:rsidR="005026CF">
        <w:t>s</w:t>
      </w:r>
      <w:r>
        <w:t xml:space="preserve">, rather than directly to landscape workers. The Caucus and partners will track commercial LEEP program participation </w:t>
      </w:r>
      <w:r w:rsidR="00122689">
        <w:t>including</w:t>
      </w:r>
      <w:r>
        <w:t xml:space="preserve"> location of business operations and community of residence for their workforce, relative to LIDAC. As 60-80% of the landscape workforce in Illinois is </w:t>
      </w:r>
      <w:r w:rsidR="00004518">
        <w:t xml:space="preserve">Latino, substantial benefits from LEEP are expected to accrue to members of LIDAC. </w:t>
      </w:r>
      <w:r w:rsidR="00F418F8">
        <w:t xml:space="preserve">The landscape workforce will benefit from training in safe charging and operations of ZEE through partnership with IBEW, ILCA and an expert </w:t>
      </w:r>
      <w:r w:rsidR="00F418F8">
        <w:lastRenderedPageBreak/>
        <w:t xml:space="preserve">contractor. </w:t>
      </w:r>
      <w:r w:rsidR="00004518">
        <w:t xml:space="preserve">Again, the buy-back and exchange offers traceable attribution of LEEP benefits to the community of landscape workers. Benefits can then be measured as exposure to LGE tailpipe emissions are eliminated. With the help of a contractor and ISTC, the reduction of emissions by equipment type and duty cycle will be measured and documented.  LEEP will be able to measure reductions in worker exposure to </w:t>
      </w:r>
      <w:r w:rsidR="007A616E">
        <w:t>NOx, and VOCs including ALDX, TOL, XYLMN, and Benzene. Reduction in exposure to noise pollution will be measured with the assistance of a contractor</w:t>
      </w:r>
      <w:r w:rsidR="005026CF">
        <w:t>,</w:t>
      </w:r>
      <w:r w:rsidR="007A616E">
        <w:t xml:space="preserve"> based on Db rating for gas LGE compared to ZEE, duty cycle and other factors</w:t>
      </w:r>
      <w:r w:rsidR="003D479D">
        <w:rPr>
          <w:rStyle w:val="FootnoteReference"/>
        </w:rPr>
        <w:footnoteReference w:id="18"/>
      </w:r>
      <w:r w:rsidR="007A616E">
        <w:t xml:space="preserve">. </w:t>
      </w:r>
      <w:r w:rsidR="00F418F8">
        <w:t xml:space="preserve">By eliminating close range, prolonged exposure to high-emitting and noisy LGE, environmental and health benefits to landscape workers and members of LIDAC is expected to be substantial. Further, working conditions will be improved by using landscape </w:t>
      </w:r>
      <w:r w:rsidR="005026CF">
        <w:t>ZEE</w:t>
      </w:r>
      <w:r w:rsidR="00F418F8">
        <w:t xml:space="preserve">, which is lighter, quieter and produces no odor while providing comparable or superior product performance. </w:t>
      </w:r>
    </w:p>
    <w:p w14:paraId="3CB2006B" w14:textId="77777777" w:rsidR="000379BA" w:rsidRDefault="000379BA" w:rsidP="00B23E88"/>
    <w:p w14:paraId="27AC89BD" w14:textId="480836E2" w:rsidR="00CD1A44" w:rsidRPr="00E7533C" w:rsidRDefault="00CD1A44">
      <w:pPr>
        <w:pStyle w:val="Heading2"/>
        <w:rPr>
          <w:color w:val="F4B083" w:themeColor="accent2" w:themeTint="99"/>
        </w:rPr>
      </w:pPr>
      <w:r>
        <w:t>B. Community Engagement</w:t>
      </w:r>
      <w:r w:rsidR="00E7533C">
        <w:t xml:space="preserve"> </w:t>
      </w:r>
    </w:p>
    <w:p w14:paraId="4D0976D2" w14:textId="52795BF9" w:rsidR="00EE295D" w:rsidRDefault="000329BB" w:rsidP="000329BB">
      <w:r>
        <w:t xml:space="preserve">The Metropolitan Mayors Caucus serves 275 municipalities in northeastern Illinois.  </w:t>
      </w:r>
      <w:r w:rsidR="00EE295D">
        <w:t xml:space="preserve">Of these, </w:t>
      </w:r>
      <w:r w:rsidR="00385307">
        <w:t xml:space="preserve">180 </w:t>
      </w:r>
      <w:r w:rsidR="00EE295D">
        <w:t xml:space="preserve">municipalities </w:t>
      </w:r>
      <w:r>
        <w:t xml:space="preserve">have been identified as LIDAC by the presence of qualifying census tracts or census block groups within their municipal jurisdiction. </w:t>
      </w:r>
      <w:r w:rsidR="00EE295D">
        <w:t xml:space="preserve">As a representative </w:t>
      </w:r>
      <w:r w:rsidR="00B31D3D">
        <w:t xml:space="preserve">membership </w:t>
      </w:r>
      <w:r w:rsidR="00EE295D">
        <w:t xml:space="preserve">organization comprised of democratically elected public officials, we have exceptional engagement and connections to LIDAC community leaders and the constituents they serve. </w:t>
      </w:r>
    </w:p>
    <w:p w14:paraId="2C2863B3" w14:textId="77777777" w:rsidR="00EE295D" w:rsidRDefault="00EE295D" w:rsidP="000329BB"/>
    <w:p w14:paraId="342341E2" w14:textId="6C9F03CC" w:rsidR="00EE295D" w:rsidRDefault="006A2F1A" w:rsidP="000329BB">
      <w:r>
        <w:t xml:space="preserve">The Caucus has led broader engagement with LIDAC </w:t>
      </w:r>
      <w:r w:rsidR="00B31D3D">
        <w:t xml:space="preserve">in recent years, such as </w:t>
      </w:r>
      <w:r>
        <w:t>2020 Census participation, COVID 19 response, and currently aids municipalities that are providing services to asylum seekers. We</w:t>
      </w:r>
      <w:r w:rsidR="00EE295D">
        <w:t xml:space="preserve"> lead several committees that are open to elected officials, municipal </w:t>
      </w:r>
      <w:r w:rsidR="00B31D3D">
        <w:t>staff,</w:t>
      </w:r>
      <w:r w:rsidR="00EE295D">
        <w:t xml:space="preserve"> and designated civic leaders</w:t>
      </w:r>
      <w:r>
        <w:t xml:space="preserve"> for ongoing, meaningful engagement of LIDAC leaders</w:t>
      </w:r>
      <w:r w:rsidR="00EE295D">
        <w:t xml:space="preserve">. These committees </w:t>
      </w:r>
      <w:r>
        <w:t>offer</w:t>
      </w:r>
      <w:r w:rsidR="00EE295D">
        <w:t xml:space="preserve"> opportunities to work collaboratively towards consensus goals and innovative solutions to common community issues </w:t>
      </w:r>
      <w:r w:rsidR="00B651E1">
        <w:t xml:space="preserve">and </w:t>
      </w:r>
      <w:r w:rsidR="00EE295D">
        <w:t xml:space="preserve">challenges across the region. As previously described, the most relevant committees for LEEP are </w:t>
      </w:r>
      <w:r w:rsidR="00EE295D" w:rsidRPr="00EE295D">
        <w:t xml:space="preserve">the Environment Committee, </w:t>
      </w:r>
      <w:r w:rsidR="00EE295D">
        <w:t>E</w:t>
      </w:r>
      <w:r w:rsidR="00EE295D" w:rsidRPr="00EE295D">
        <w:t xml:space="preserve">nergy Sub Committee, and the Diversity, </w:t>
      </w:r>
      <w:r w:rsidRPr="00EE295D">
        <w:t>Equity,</w:t>
      </w:r>
      <w:r w:rsidR="00EE295D" w:rsidRPr="00EE295D">
        <w:t xml:space="preserve"> and Inclusion </w:t>
      </w:r>
      <w:r>
        <w:t>Task Force</w:t>
      </w:r>
      <w:r w:rsidR="00EE295D">
        <w:t xml:space="preserve">. </w:t>
      </w:r>
    </w:p>
    <w:p w14:paraId="450EDA9D" w14:textId="77777777" w:rsidR="006A2F1A" w:rsidRDefault="006A2F1A" w:rsidP="000329BB"/>
    <w:p w14:paraId="120B0952" w14:textId="3AF26469" w:rsidR="00780263" w:rsidRPr="00D55A0A" w:rsidRDefault="006A2F1A" w:rsidP="00780263">
      <w:pPr>
        <w:pStyle w:val="ListParagraph"/>
        <w:ind w:left="0"/>
        <w:rPr>
          <w:sz w:val="22"/>
          <w:szCs w:val="22"/>
        </w:rPr>
      </w:pPr>
      <w:r w:rsidRPr="00D55A0A">
        <w:rPr>
          <w:sz w:val="22"/>
          <w:szCs w:val="22"/>
        </w:rPr>
        <w:t>Fifty-three Caucus member municipalities</w:t>
      </w:r>
      <w:r w:rsidR="00B651E1">
        <w:rPr>
          <w:sz w:val="22"/>
          <w:szCs w:val="22"/>
        </w:rPr>
        <w:t xml:space="preserve">, of which 16 are LIDAC, </w:t>
      </w:r>
      <w:r w:rsidRPr="00D55A0A">
        <w:rPr>
          <w:sz w:val="22"/>
          <w:szCs w:val="22"/>
        </w:rPr>
        <w:t xml:space="preserve">and 122 other organizations were active in the development of the 2021 Climate Action Plan for the Chicago Region. That pioneering regional plan set goals for mitigation and adaptation that are rooted in equity. </w:t>
      </w:r>
      <w:r w:rsidR="00B651E1">
        <w:rPr>
          <w:sz w:val="22"/>
          <w:szCs w:val="22"/>
        </w:rPr>
        <w:t xml:space="preserve">We </w:t>
      </w:r>
      <w:r w:rsidRPr="00D55A0A">
        <w:rPr>
          <w:sz w:val="22"/>
          <w:szCs w:val="22"/>
        </w:rPr>
        <w:t>conduct</w:t>
      </w:r>
      <w:r w:rsidR="00B651E1">
        <w:rPr>
          <w:sz w:val="22"/>
          <w:szCs w:val="22"/>
        </w:rPr>
        <w:t>ed</w:t>
      </w:r>
      <w:r w:rsidRPr="00D55A0A">
        <w:rPr>
          <w:sz w:val="22"/>
          <w:szCs w:val="22"/>
        </w:rPr>
        <w:t xml:space="preserve"> stakeholder engagement in the development of the </w:t>
      </w:r>
      <w:r w:rsidR="00780263" w:rsidRPr="00D55A0A">
        <w:rPr>
          <w:sz w:val="22"/>
          <w:szCs w:val="22"/>
        </w:rPr>
        <w:t xml:space="preserve">Priority Climate Action for the Chicago MSA, </w:t>
      </w:r>
      <w:r w:rsidRPr="00D55A0A">
        <w:rPr>
          <w:sz w:val="22"/>
          <w:szCs w:val="22"/>
        </w:rPr>
        <w:t xml:space="preserve">as described the attached PCAP.  Caucus members and additional stakeholders </w:t>
      </w:r>
      <w:r w:rsidR="00780263" w:rsidRPr="00D55A0A">
        <w:rPr>
          <w:sz w:val="22"/>
          <w:szCs w:val="22"/>
        </w:rPr>
        <w:t>were engaged in setting Priority GHG Reduction Strategies, including this one that enables this proposal for LEEP, (DT15) “</w:t>
      </w:r>
      <w:r w:rsidR="00780263" w:rsidRPr="00D55A0A">
        <w:rPr>
          <w:i/>
          <w:iCs/>
          <w:sz w:val="22"/>
          <w:szCs w:val="22"/>
        </w:rPr>
        <w:t>Transition landscaping equipment to low and zero-emission models.”</w:t>
      </w:r>
      <w:r w:rsidR="00780263" w:rsidRPr="00D55A0A">
        <w:rPr>
          <w:sz w:val="22"/>
          <w:szCs w:val="22"/>
        </w:rPr>
        <w:t xml:space="preserve"> </w:t>
      </w:r>
    </w:p>
    <w:p w14:paraId="2888F42C" w14:textId="77777777" w:rsidR="00CD1A44" w:rsidRDefault="00CD1A44" w:rsidP="00CD1A44"/>
    <w:p w14:paraId="4B162A8A" w14:textId="782F91E6" w:rsidR="00D55A0A" w:rsidRDefault="00D55A0A" w:rsidP="00CD1A44">
      <w:r>
        <w:t xml:space="preserve">The Caucus developed consensus for this Priority Strategy many years before the PCAP was created. Our </w:t>
      </w:r>
      <w:hyperlink r:id="rId23" w:history="1">
        <w:r w:rsidRPr="007668C8">
          <w:rPr>
            <w:rStyle w:val="Hyperlink"/>
          </w:rPr>
          <w:t>Greenest Region Compact</w:t>
        </w:r>
      </w:hyperlink>
      <w:r>
        <w:t>, the largest regional sustainability collaborative for municipalities in the US, creates formal consensus for sustainability goals including these goals – “</w:t>
      </w:r>
      <w:r w:rsidRPr="007668C8">
        <w:rPr>
          <w:i/>
          <w:iCs/>
        </w:rPr>
        <w:t>Maintain clean and healthful air</w:t>
      </w:r>
      <w:r>
        <w:t xml:space="preserve">, and </w:t>
      </w:r>
      <w:r w:rsidRPr="007668C8">
        <w:rPr>
          <w:i/>
          <w:iCs/>
        </w:rPr>
        <w:t>Reduce greenhouse gas emissions</w:t>
      </w:r>
      <w:r>
        <w:rPr>
          <w:i/>
          <w:iCs/>
        </w:rPr>
        <w:t xml:space="preserve">”. </w:t>
      </w:r>
      <w:r>
        <w:t>The Greenest Region Compact also articulates the strategy, “</w:t>
      </w:r>
      <w:r w:rsidRPr="005316EF">
        <w:rPr>
          <w:i/>
          <w:iCs/>
        </w:rPr>
        <w:t xml:space="preserve">Discourage the use of high-emitting small engines, such as for landscaping”. </w:t>
      </w:r>
      <w:r>
        <w:t>These goals have formally been adopted through municipal resolution by 159+ municipalities and counties</w:t>
      </w:r>
      <w:r w:rsidR="008E335D">
        <w:t>, 80 of which are LIDAC.</w:t>
      </w:r>
      <w:r>
        <w:t xml:space="preserve"> </w:t>
      </w:r>
      <w:r w:rsidR="008E335D">
        <w:t xml:space="preserve"> </w:t>
      </w:r>
    </w:p>
    <w:p w14:paraId="2FBD4C24" w14:textId="77777777" w:rsidR="008E335D" w:rsidRDefault="008E335D" w:rsidP="00CD1A44"/>
    <w:p w14:paraId="7877F640" w14:textId="61890DA1" w:rsidR="00D55A0A" w:rsidRDefault="00D55A0A" w:rsidP="00CD1A44">
      <w:r>
        <w:t xml:space="preserve">In addition, we engage with civic groups including Go Green Illinois which championed the </w:t>
      </w:r>
      <w:r w:rsidR="00724F39">
        <w:t xml:space="preserve">Regional Leaf Blower Working Group referenced in this proposal. </w:t>
      </w:r>
      <w:r w:rsidR="009B0BD6">
        <w:t xml:space="preserve">Our member municipalities also benefit from </w:t>
      </w:r>
      <w:r w:rsidR="008E335D">
        <w:t xml:space="preserve">ongoing </w:t>
      </w:r>
      <w:r w:rsidR="009B0BD6">
        <w:t xml:space="preserve">local engagement of community members through citizen commissions, </w:t>
      </w:r>
      <w:r w:rsidR="009B0BD6" w:rsidRPr="009B0BD6">
        <w:t xml:space="preserve">groups of community residents who serve as formal, statutory advisors to local governments. The sustainability commissions </w:t>
      </w:r>
      <w:r w:rsidR="009B0BD6" w:rsidRPr="009B0BD6">
        <w:lastRenderedPageBreak/>
        <w:t>are actively engaged in educating their fellow community members</w:t>
      </w:r>
      <w:r w:rsidR="009B0BD6">
        <w:t xml:space="preserve"> on sustainability and climate. They will be involved in promoting LEEP encouraging participation in residential lawn mower buy-back events</w:t>
      </w:r>
      <w:r w:rsidR="00B651E1">
        <w:t xml:space="preserve"> and promoted local policies to encourage landscape ZEE adoption</w:t>
      </w:r>
      <w:r w:rsidR="009B0BD6">
        <w:t>.</w:t>
      </w:r>
      <w:r w:rsidR="009B0BD6" w:rsidRPr="009B0BD6">
        <w:t xml:space="preserve"> </w:t>
      </w:r>
    </w:p>
    <w:p w14:paraId="52B303C4" w14:textId="77777777" w:rsidR="00724F39" w:rsidRDefault="00724F39" w:rsidP="00CD1A44"/>
    <w:p w14:paraId="42ED1561" w14:textId="051F53E0" w:rsidR="00B87386" w:rsidRPr="00216D3E" w:rsidRDefault="00126FC5" w:rsidP="00B87386">
      <w:r>
        <w:t xml:space="preserve">Engagement with low-income landscape workers will be new for the Caucus. Our partner, FLAP will provide expert, culturally sensitive community engagement in Spanish and English.  </w:t>
      </w:r>
      <w:r w:rsidR="00122689" w:rsidRPr="000E759F">
        <w:t xml:space="preserve">FLAP staff and Community Navigators-Independent Contractors educate low-income workers about their rights in the workplace. </w:t>
      </w:r>
      <w:r w:rsidR="00122689">
        <w:t xml:space="preserve">They </w:t>
      </w:r>
      <w:r w:rsidR="00122689" w:rsidRPr="000E759F">
        <w:t>build upon relationships with churches, consulates, and organizations in the community to deliver “Know your Rights” presentations to groups of low-income workers.</w:t>
      </w:r>
      <w:r w:rsidR="00122689">
        <w:t xml:space="preserve"> FLAP</w:t>
      </w:r>
      <w:r w:rsidR="00A10510">
        <w:t xml:space="preserve"> will connect</w:t>
      </w:r>
      <w:r w:rsidR="00122689">
        <w:t xml:space="preserve"> directly</w:t>
      </w:r>
      <w:r w:rsidR="00A10510">
        <w:t xml:space="preserve"> with up to 400,000 Latino landscape workers to encourage engagement in LEEP</w:t>
      </w:r>
      <w:r w:rsidR="00122689">
        <w:t>. They will</w:t>
      </w:r>
      <w:r w:rsidR="00A10510">
        <w:t xml:space="preserve"> guide </w:t>
      </w:r>
      <w:r w:rsidR="00122689">
        <w:t>LEEP</w:t>
      </w:r>
      <w:r w:rsidR="00A10510">
        <w:t xml:space="preserve"> </w:t>
      </w:r>
      <w:r w:rsidR="00122689">
        <w:t xml:space="preserve">partners </w:t>
      </w:r>
      <w:r w:rsidR="00A10510">
        <w:t xml:space="preserve">to understand the needs of these workers and help meet these needs.  </w:t>
      </w:r>
    </w:p>
    <w:p w14:paraId="69B63E78" w14:textId="1C59FE3C" w:rsidR="00126FC5" w:rsidRDefault="00126FC5" w:rsidP="00CD1A44"/>
    <w:p w14:paraId="242BE6D8" w14:textId="77777777" w:rsidR="00A10510" w:rsidRPr="00CD1A44" w:rsidRDefault="00A10510" w:rsidP="00CD1A44"/>
    <w:p w14:paraId="7E6B0ED3" w14:textId="7E2E454E" w:rsidR="00DC1404" w:rsidRDefault="00D844F8" w:rsidP="00D844F8">
      <w:pPr>
        <w:pStyle w:val="Heading1"/>
        <w:numPr>
          <w:ilvl w:val="0"/>
          <w:numId w:val="7"/>
        </w:numPr>
        <w:ind w:left="360"/>
      </w:pPr>
      <w:r w:rsidRPr="00DB7AC8">
        <w:t>Job Quality</w:t>
      </w:r>
      <w:r w:rsidR="00815D32" w:rsidRPr="00DB7AC8">
        <w:t xml:space="preserve"> </w:t>
      </w:r>
    </w:p>
    <w:p w14:paraId="2C798214" w14:textId="6017C8B0" w:rsidR="00BB0D07" w:rsidRDefault="00BB0D07" w:rsidP="00BB0D07">
      <w:r>
        <w:t xml:space="preserve">LEEP will create several high-quality, family-sustaining jobs for diverse individuals from </w:t>
      </w:r>
      <w:r w:rsidR="00B651E1">
        <w:t>LIDAC</w:t>
      </w:r>
      <w:r>
        <w:t xml:space="preserve">. </w:t>
      </w:r>
      <w:r w:rsidR="00631C23">
        <w:t>LEEP will</w:t>
      </w:r>
      <w:r>
        <w:t xml:space="preserve"> support union labor </w:t>
      </w:r>
      <w:r w:rsidR="00631C23">
        <w:t xml:space="preserve">and </w:t>
      </w:r>
      <w:r w:rsidR="00EE295D">
        <w:t>workers’</w:t>
      </w:r>
      <w:r w:rsidR="00631C23">
        <w:t xml:space="preserve"> rights.</w:t>
      </w:r>
      <w:r w:rsidR="00631C23" w:rsidRPr="00631C23">
        <w:t xml:space="preserve"> </w:t>
      </w:r>
      <w:r w:rsidR="00631C23">
        <w:t xml:space="preserve">LEEP will also improve the working conditions for landscape workers across the region by reducing worker exposure to prolonged, close-range air pollution, notably HAPs occurring from the use of gasoline powered LGE.  </w:t>
      </w:r>
      <w:r>
        <w:t>The Caucus will partner with</w:t>
      </w:r>
      <w:r w:rsidR="00B651E1">
        <w:t xml:space="preserve"> FLAP,</w:t>
      </w:r>
      <w:r>
        <w:t xml:space="preserve"> a non-profit organization that for 25 years has improved the working conditions for thousands of low-income workers in Illinois</w:t>
      </w:r>
      <w:r w:rsidR="00041DD0">
        <w:t>.</w:t>
      </w:r>
      <w:r>
        <w:t xml:space="preserve"> </w:t>
      </w:r>
    </w:p>
    <w:p w14:paraId="669DD92C" w14:textId="77777777" w:rsidR="00BB0D07" w:rsidRDefault="00BB0D07" w:rsidP="00BB0D07"/>
    <w:p w14:paraId="127501FF" w14:textId="54D4EDCC" w:rsidR="00BB0D07" w:rsidRDefault="00BB0D07" w:rsidP="00BB0D07">
      <w:r>
        <w:t xml:space="preserve">CPRG funding for LEEP will create approximately five Community Navigator jobs, which will pay $50 an hour. FLAP is known for hiring from within the diverse Latino communities it serves, which helps the organization to be more effective and responsive to communities’ needs. The jobs at FLAP offer competitive pay, including generous and comprehensive benefits, and career advancement opportunities. FLAP’s primary role as partner and subrecipient will be to engage Latino landscape company owners to access LEEP program benefits to improve working conditions for themselves and their employees. Latino landscape workers will be broadly educated, in the Spanish language, to learn about the health and job quality benefit of </w:t>
      </w:r>
      <w:r w:rsidR="00041DD0">
        <w:t xml:space="preserve">landscape </w:t>
      </w:r>
      <w:r>
        <w:t>ZEE and seek LEEP benefit</w:t>
      </w:r>
      <w:r w:rsidR="00041DD0">
        <w:t>s</w:t>
      </w:r>
      <w:r>
        <w:t xml:space="preserve"> through their employers to improve their working conditions.  </w:t>
      </w:r>
    </w:p>
    <w:p w14:paraId="2DDA5F9E" w14:textId="77777777" w:rsidR="00BB0D07" w:rsidRDefault="00BB0D07" w:rsidP="00BB0D07"/>
    <w:p w14:paraId="2D92EAEB" w14:textId="4937875E" w:rsidR="00BB0D07" w:rsidRDefault="00BB0D07" w:rsidP="00BB0D07">
      <w:r>
        <w:t>The Caucus has an excellent relationship with the International Brotherhood of Electrical Workers (IBEW), who provide</w:t>
      </w:r>
      <w:r w:rsidR="00C50C99">
        <w:t>s</w:t>
      </w:r>
      <w:r>
        <w:t xml:space="preserve"> our EV Readiness Program cohort communities with specialized training and hosted our first cohort award ceremony. LEEP will </w:t>
      </w:r>
      <w:r w:rsidR="00C50C99">
        <w:t>provide incentives</w:t>
      </w:r>
      <w:r>
        <w:t xml:space="preserve"> to landscape companies needing electrical “make-ready” work for large-scale equipment electrification. These LEEP incentives will support only union labor for this work.</w:t>
      </w:r>
    </w:p>
    <w:p w14:paraId="784B0DE3" w14:textId="77777777" w:rsidR="00BB0D07" w:rsidRDefault="00BB0D07" w:rsidP="00BB0D07"/>
    <w:p w14:paraId="7260B978" w14:textId="1113438D" w:rsidR="00BB0D07" w:rsidRDefault="00BB0D07" w:rsidP="00BB0D07">
      <w:r>
        <w:t xml:space="preserve">There will be </w:t>
      </w:r>
      <w:r w:rsidR="00C50C99">
        <w:t xml:space="preserve">2 </w:t>
      </w:r>
      <w:r>
        <w:t xml:space="preserve">positions created at the Caucus to support LEEP, as well as at </w:t>
      </w:r>
      <w:r w:rsidR="00C50C99">
        <w:t xml:space="preserve">multiple positions at </w:t>
      </w:r>
      <w:r>
        <w:t xml:space="preserve">one of our partner organizations </w:t>
      </w:r>
      <w:r w:rsidR="00041DD0">
        <w:t xml:space="preserve">or </w:t>
      </w:r>
      <w:r w:rsidR="001C4BAC">
        <w:t xml:space="preserve">a </w:t>
      </w:r>
      <w:r w:rsidR="00041DD0">
        <w:t xml:space="preserve">contractor </w:t>
      </w:r>
      <w:r>
        <w:t>who will process vouchers</w:t>
      </w:r>
      <w:r w:rsidR="00C50C99">
        <w:t>/rebates</w:t>
      </w:r>
      <w:r>
        <w:t xml:space="preserve">. These jobs will comply with the Good Jobs Principles, including recruiting from underserved communities, providing a fair wage and benefits, and an organizational culture that values and respects employees. </w:t>
      </w:r>
    </w:p>
    <w:p w14:paraId="4BE38312" w14:textId="77777777" w:rsidR="00C50C99" w:rsidRPr="00BB0D07" w:rsidRDefault="00C50C99" w:rsidP="00BB0D07"/>
    <w:p w14:paraId="70FD6343" w14:textId="053C66A9" w:rsidR="00B23E88" w:rsidRPr="00036F8A" w:rsidRDefault="00D844F8" w:rsidP="00B23E88">
      <w:pPr>
        <w:pStyle w:val="Heading1"/>
        <w:numPr>
          <w:ilvl w:val="0"/>
          <w:numId w:val="7"/>
        </w:numPr>
        <w:ind w:left="360"/>
        <w:rPr>
          <w:b w:val="0"/>
          <w:bCs w:val="0"/>
        </w:rPr>
      </w:pPr>
      <w:r w:rsidRPr="00DB7AC8">
        <w:t>Programmatic Capability and Past Performance</w:t>
      </w:r>
      <w:r w:rsidR="00691A6F" w:rsidRPr="00DB7AC8">
        <w:t xml:space="preserve"> </w:t>
      </w:r>
    </w:p>
    <w:p w14:paraId="1D946E1A" w14:textId="45AEA44B" w:rsidR="00D844F8" w:rsidRPr="00B23E88" w:rsidRDefault="00B23E88" w:rsidP="00B23E88">
      <w:pPr>
        <w:pStyle w:val="Heading2"/>
      </w:pPr>
      <w:r>
        <w:t>A. Past Performance</w:t>
      </w:r>
    </w:p>
    <w:p w14:paraId="02A12B99" w14:textId="77777777" w:rsidR="00691A6F" w:rsidRPr="00B76AEF" w:rsidRDefault="00691A6F" w:rsidP="00691A6F">
      <w:pPr>
        <w:rPr>
          <w:rFonts w:cstheme="minorHAnsi"/>
        </w:rPr>
      </w:pPr>
      <w:r w:rsidRPr="00B76AEF">
        <w:rPr>
          <w:rFonts w:cstheme="minorHAnsi"/>
        </w:rPr>
        <w:t>We have the ability to successfully complete and manage the CPRG implementation grant</w:t>
      </w:r>
      <w:r>
        <w:rPr>
          <w:rFonts w:cstheme="minorHAnsi"/>
        </w:rPr>
        <w:t xml:space="preserve"> award.</w:t>
      </w:r>
      <w:r w:rsidRPr="00B76AEF">
        <w:rPr>
          <w:rFonts w:cstheme="minorHAnsi"/>
        </w:rPr>
        <w:t xml:space="preserve"> Staff have experience with SAM.gov, Grants.gov, and the Caucus has a UEI number. All required forms and attachments will be submitted as required.</w:t>
      </w:r>
      <w:r>
        <w:rPr>
          <w:rFonts w:cstheme="minorHAnsi"/>
        </w:rPr>
        <w:t xml:space="preserve"> </w:t>
      </w:r>
      <w:r w:rsidRPr="00B76AEF">
        <w:rPr>
          <w:rFonts w:cstheme="minorHAnsi"/>
        </w:rPr>
        <w:t xml:space="preserve">We have a history of meeting U.S. EPA reporting </w:t>
      </w:r>
      <w:r w:rsidRPr="00B76AEF">
        <w:rPr>
          <w:rFonts w:cstheme="minorHAnsi"/>
        </w:rPr>
        <w:lastRenderedPageBreak/>
        <w:t>requirements. Below are federally funded assistance agreements that we have performed or are performing during the last three years:</w:t>
      </w:r>
    </w:p>
    <w:p w14:paraId="7C122F1F" w14:textId="77777777" w:rsidR="00691A6F" w:rsidRPr="00B76AEF" w:rsidRDefault="00691A6F" w:rsidP="00691A6F">
      <w:pPr>
        <w:rPr>
          <w:rFonts w:cstheme="minorHAnsi"/>
        </w:rPr>
      </w:pPr>
    </w:p>
    <w:p w14:paraId="60A6AE59" w14:textId="54764CD2" w:rsidR="00691A6F" w:rsidRPr="00B76AEF" w:rsidRDefault="00691A6F" w:rsidP="00691A6F">
      <w:pPr>
        <w:rPr>
          <w:rStyle w:val="dig-theme"/>
          <w:rFonts w:cstheme="minorHAnsi"/>
        </w:rPr>
      </w:pPr>
      <w:r w:rsidRPr="00B76AEF">
        <w:rPr>
          <w:rFonts w:cstheme="minorHAnsi"/>
        </w:rPr>
        <w:t xml:space="preserve">1. </w:t>
      </w:r>
      <w:r w:rsidRPr="00B76AEF">
        <w:rPr>
          <w:rStyle w:val="dig-theme"/>
          <w:rFonts w:cstheme="minorHAnsi"/>
        </w:rPr>
        <w:t>CPR Planning Grant - Chicago MSA</w:t>
      </w:r>
    </w:p>
    <w:p w14:paraId="757B8770" w14:textId="77777777" w:rsidR="00691A6F" w:rsidRPr="00B76AEF" w:rsidRDefault="00691A6F" w:rsidP="00691A6F">
      <w:pPr>
        <w:rPr>
          <w:rStyle w:val="dig-theme"/>
          <w:rFonts w:cstheme="minorHAnsi"/>
        </w:rPr>
      </w:pPr>
      <w:r w:rsidRPr="00B76AEF">
        <w:rPr>
          <w:rFonts w:cstheme="minorHAnsi"/>
        </w:rPr>
        <w:t xml:space="preserve">Assistance agreement number: </w:t>
      </w:r>
      <w:r w:rsidRPr="00B76AEF">
        <w:rPr>
          <w:rStyle w:val="dig-theme"/>
          <w:rFonts w:cstheme="minorHAnsi"/>
        </w:rPr>
        <w:t>00E03470</w:t>
      </w:r>
    </w:p>
    <w:p w14:paraId="1F07BE3D" w14:textId="77777777" w:rsidR="00691A6F" w:rsidRPr="00B76AEF" w:rsidRDefault="00691A6F" w:rsidP="00691A6F">
      <w:pPr>
        <w:rPr>
          <w:rStyle w:val="dig-theme"/>
          <w:rFonts w:cstheme="minorHAnsi"/>
        </w:rPr>
      </w:pPr>
      <w:r w:rsidRPr="00B76AEF">
        <w:rPr>
          <w:rStyle w:val="dig-theme"/>
          <w:rFonts w:cstheme="minorHAnsi"/>
        </w:rPr>
        <w:t>Federal funding agency: U.S. EPA, noncompetitive- no assistance listing number</w:t>
      </w:r>
    </w:p>
    <w:p w14:paraId="0719E907" w14:textId="77777777" w:rsidR="00691A6F" w:rsidRPr="00B76AEF" w:rsidRDefault="00691A6F" w:rsidP="00691A6F">
      <w:pPr>
        <w:rPr>
          <w:rFonts w:cstheme="minorHAnsi"/>
        </w:rPr>
      </w:pPr>
      <w:r w:rsidRPr="00B76AEF">
        <w:rPr>
          <w:rFonts w:cstheme="minorHAnsi"/>
        </w:rPr>
        <w:t>Brief description: The Caucus created a Priority Climate Action Plan (PCAP) that incorporate a variety of measures to reduce GHG emissions in the Chicago MSA. A Comprehensive Climate Action Plan (PCAP) will be completed in 2025. </w:t>
      </w:r>
    </w:p>
    <w:p w14:paraId="080D743C" w14:textId="77777777" w:rsidR="00691A6F" w:rsidRPr="00B76AEF" w:rsidRDefault="00691A6F" w:rsidP="00691A6F">
      <w:pPr>
        <w:rPr>
          <w:rFonts w:cstheme="minorHAnsi"/>
        </w:rPr>
      </w:pPr>
      <w:r w:rsidRPr="00B76AEF">
        <w:rPr>
          <w:rStyle w:val="dig-theme"/>
          <w:rFonts w:cstheme="minorHAnsi"/>
        </w:rPr>
        <w:t>Contact from organization that funded the assistance agreement: Juan Morales</w:t>
      </w:r>
    </w:p>
    <w:p w14:paraId="0730C83D" w14:textId="77777777" w:rsidR="00691A6F" w:rsidRPr="00B76AEF" w:rsidRDefault="00691A6F" w:rsidP="00691A6F">
      <w:pPr>
        <w:rPr>
          <w:rFonts w:cstheme="minorHAnsi"/>
        </w:rPr>
      </w:pPr>
    </w:p>
    <w:p w14:paraId="757E869A" w14:textId="3CC45ED1" w:rsidR="00691A6F" w:rsidRPr="00B76AEF" w:rsidRDefault="00691A6F" w:rsidP="00691A6F">
      <w:pPr>
        <w:rPr>
          <w:rStyle w:val="dig-theme"/>
          <w:rFonts w:cstheme="minorHAnsi"/>
        </w:rPr>
      </w:pPr>
      <w:r w:rsidRPr="00B76AEF">
        <w:rPr>
          <w:rFonts w:cstheme="minorHAnsi"/>
        </w:rPr>
        <w:t xml:space="preserve">2. </w:t>
      </w:r>
      <w:r w:rsidRPr="00B76AEF">
        <w:rPr>
          <w:rStyle w:val="dig-theme"/>
          <w:rFonts w:cstheme="minorHAnsi"/>
        </w:rPr>
        <w:t>Chicago Metro REO Campaign</w:t>
      </w:r>
    </w:p>
    <w:p w14:paraId="11FEB5DD" w14:textId="77777777" w:rsidR="00691A6F" w:rsidRPr="00B76AEF" w:rsidRDefault="00691A6F" w:rsidP="00691A6F">
      <w:pPr>
        <w:rPr>
          <w:rStyle w:val="dig-theme"/>
          <w:rFonts w:cstheme="minorHAnsi"/>
        </w:rPr>
      </w:pPr>
      <w:r w:rsidRPr="00B76AEF">
        <w:rPr>
          <w:rFonts w:cstheme="minorHAnsi"/>
        </w:rPr>
        <w:t xml:space="preserve">Assistance agreement number: </w:t>
      </w:r>
      <w:r w:rsidRPr="00B76AEF">
        <w:rPr>
          <w:rStyle w:val="dig-theme"/>
          <w:rFonts w:cstheme="minorHAnsi"/>
        </w:rPr>
        <w:t>pending (award letter received November 8, 2023.</w:t>
      </w:r>
    </w:p>
    <w:p w14:paraId="739392C2" w14:textId="77777777" w:rsidR="00691A6F" w:rsidRPr="00B76AEF" w:rsidRDefault="00691A6F" w:rsidP="00691A6F">
      <w:pPr>
        <w:rPr>
          <w:rFonts w:cstheme="minorHAnsi"/>
        </w:rPr>
      </w:pPr>
      <w:r w:rsidRPr="00B76AEF">
        <w:rPr>
          <w:rStyle w:val="dig-theme"/>
          <w:rFonts w:cstheme="minorHAnsi"/>
        </w:rPr>
        <w:t>Federal funding agency and opportunity number: U.S. EPA, EPA-I-OLEM-ORCR-23-02</w:t>
      </w:r>
    </w:p>
    <w:p w14:paraId="7F721482" w14:textId="6AF3DE8B" w:rsidR="00691A6F" w:rsidRPr="00B76AEF" w:rsidRDefault="00691A6F" w:rsidP="00691A6F">
      <w:pPr>
        <w:rPr>
          <w:rFonts w:cstheme="minorHAnsi"/>
        </w:rPr>
      </w:pPr>
      <w:r w:rsidRPr="00B76AEF">
        <w:rPr>
          <w:rFonts w:cstheme="minorHAnsi"/>
        </w:rPr>
        <w:t xml:space="preserve">Brief description: </w:t>
      </w:r>
      <w:r w:rsidRPr="00B76AEF">
        <w:rPr>
          <w:rStyle w:val="dig-theme"/>
          <w:rFonts w:cstheme="minorHAnsi"/>
        </w:rPr>
        <w:t>The Caucus is leading a collaborative recycling outreach and education campaign for northeastern Illinois, which includes 275 municipalities and seven counties. The campaign is leveraging expertise and knowledge of solid waste agencies, counties, and recycling organizations to educate and engage residents to increase collection and reduce contamination in the recycled materials stream.</w:t>
      </w:r>
      <w:r w:rsidRPr="00B76AEF">
        <w:rPr>
          <w:rStyle w:val="dig-theme"/>
          <w:rFonts w:cstheme="minorHAnsi"/>
        </w:rPr>
        <w:br/>
        <w:t>Contact from organization that funded the assistance agreement: Joshua Kotler</w:t>
      </w:r>
    </w:p>
    <w:p w14:paraId="5689BF21" w14:textId="77777777" w:rsidR="00691A6F" w:rsidRPr="00B76AEF" w:rsidRDefault="00691A6F" w:rsidP="00691A6F">
      <w:pPr>
        <w:rPr>
          <w:rFonts w:cstheme="minorHAnsi"/>
        </w:rPr>
      </w:pPr>
    </w:p>
    <w:p w14:paraId="7D763139" w14:textId="08338D67" w:rsidR="00691A6F" w:rsidRPr="00B76AEF" w:rsidRDefault="00691A6F" w:rsidP="00691A6F">
      <w:pPr>
        <w:rPr>
          <w:rFonts w:cstheme="minorHAnsi"/>
        </w:rPr>
      </w:pPr>
      <w:r w:rsidRPr="00B76AEF">
        <w:rPr>
          <w:rFonts w:cstheme="minorHAnsi"/>
        </w:rPr>
        <w:t xml:space="preserve">3. </w:t>
      </w:r>
      <w:r w:rsidRPr="00B76AEF">
        <w:rPr>
          <w:rStyle w:val="dig-theme"/>
          <w:rFonts w:cstheme="minorHAnsi"/>
        </w:rPr>
        <w:t>Building Capacity for Sustainability and Energy Literacy in Environmental Justice Communities</w:t>
      </w:r>
    </w:p>
    <w:p w14:paraId="3A4B488D" w14:textId="77777777" w:rsidR="00691A6F" w:rsidRPr="00B76AEF" w:rsidRDefault="00691A6F" w:rsidP="00691A6F">
      <w:pPr>
        <w:rPr>
          <w:rStyle w:val="dig-theme"/>
          <w:rFonts w:cstheme="minorHAnsi"/>
        </w:rPr>
      </w:pPr>
      <w:r w:rsidRPr="00B76AEF">
        <w:rPr>
          <w:rFonts w:cstheme="minorHAnsi"/>
        </w:rPr>
        <w:t xml:space="preserve">Assistance agreement number: </w:t>
      </w:r>
      <w:r w:rsidRPr="00B76AEF">
        <w:rPr>
          <w:rStyle w:val="dig-theme"/>
          <w:rFonts w:cstheme="minorHAnsi"/>
        </w:rPr>
        <w:t>00E02867</w:t>
      </w:r>
    </w:p>
    <w:p w14:paraId="752B11FA" w14:textId="77777777" w:rsidR="00691A6F" w:rsidRPr="00B76AEF" w:rsidRDefault="00691A6F" w:rsidP="00691A6F">
      <w:pPr>
        <w:rPr>
          <w:rFonts w:cstheme="minorHAnsi"/>
        </w:rPr>
      </w:pPr>
      <w:r w:rsidRPr="00B76AEF">
        <w:rPr>
          <w:rStyle w:val="dig-theme"/>
          <w:rFonts w:cstheme="minorHAnsi"/>
        </w:rPr>
        <w:t>Federal funding agency: U.S. EPA, noncompetitive (no assistance listing number)</w:t>
      </w:r>
    </w:p>
    <w:p w14:paraId="105D8BF9" w14:textId="1146A77E" w:rsidR="00691A6F" w:rsidRPr="00B76AEF" w:rsidRDefault="00691A6F" w:rsidP="00691A6F">
      <w:pPr>
        <w:rPr>
          <w:rStyle w:val="dig-theme"/>
          <w:rFonts w:cstheme="minorHAnsi"/>
        </w:rPr>
      </w:pPr>
      <w:r w:rsidRPr="00B76AEF">
        <w:rPr>
          <w:rFonts w:cstheme="minorHAnsi"/>
        </w:rPr>
        <w:t xml:space="preserve">Brief description: </w:t>
      </w:r>
      <w:r w:rsidRPr="00B76AEF">
        <w:rPr>
          <w:rStyle w:val="dig-theme"/>
          <w:rFonts w:cstheme="minorHAnsi"/>
        </w:rPr>
        <w:t>The project improv</w:t>
      </w:r>
      <w:r w:rsidR="00DB7AC8">
        <w:rPr>
          <w:rStyle w:val="dig-theme"/>
          <w:rFonts w:cstheme="minorHAnsi"/>
        </w:rPr>
        <w:t>ed</w:t>
      </w:r>
      <w:r w:rsidRPr="00B76AEF">
        <w:rPr>
          <w:rStyle w:val="dig-theme"/>
          <w:rFonts w:cstheme="minorHAnsi"/>
        </w:rPr>
        <w:t xml:space="preserve"> energy literacy</w:t>
      </w:r>
      <w:r w:rsidR="00DB7AC8">
        <w:rPr>
          <w:rStyle w:val="dig-theme"/>
          <w:rFonts w:cstheme="minorHAnsi"/>
        </w:rPr>
        <w:t>,</w:t>
      </w:r>
      <w:r w:rsidRPr="00B76AEF">
        <w:rPr>
          <w:rStyle w:val="dig-theme"/>
          <w:rFonts w:cstheme="minorHAnsi"/>
        </w:rPr>
        <w:t xml:space="preserve"> and buil</w:t>
      </w:r>
      <w:r w:rsidR="00DB7AC8">
        <w:rPr>
          <w:rStyle w:val="dig-theme"/>
          <w:rFonts w:cstheme="minorHAnsi"/>
        </w:rPr>
        <w:t>t</w:t>
      </w:r>
      <w:r w:rsidRPr="00B76AEF">
        <w:rPr>
          <w:rStyle w:val="dig-theme"/>
          <w:rFonts w:cstheme="minorHAnsi"/>
        </w:rPr>
        <w:t xml:space="preserve"> capacity for sustainability planning and programming in under-served communities throughout the Chicago region.</w:t>
      </w:r>
    </w:p>
    <w:p w14:paraId="6FCF9583" w14:textId="77777777" w:rsidR="00691A6F" w:rsidRPr="00B76AEF" w:rsidRDefault="00691A6F" w:rsidP="00691A6F">
      <w:pPr>
        <w:rPr>
          <w:rStyle w:val="dig-theme"/>
          <w:rFonts w:cstheme="minorHAnsi"/>
        </w:rPr>
      </w:pPr>
      <w:r w:rsidRPr="00B76AEF">
        <w:rPr>
          <w:rStyle w:val="dig-theme"/>
          <w:rFonts w:cstheme="minorHAnsi"/>
        </w:rPr>
        <w:t>Contact from organization that funded the assistance agreement: Helen Mollsen</w:t>
      </w:r>
    </w:p>
    <w:p w14:paraId="09A7BC6D" w14:textId="77777777" w:rsidR="00691A6F" w:rsidRPr="00B76AEF" w:rsidRDefault="00691A6F" w:rsidP="00691A6F">
      <w:pPr>
        <w:rPr>
          <w:rStyle w:val="dig-theme"/>
          <w:rFonts w:cstheme="minorHAnsi"/>
        </w:rPr>
      </w:pPr>
    </w:p>
    <w:p w14:paraId="02F46291" w14:textId="77777777" w:rsidR="00691A6F" w:rsidRPr="00B76AEF" w:rsidRDefault="00691A6F" w:rsidP="00691A6F">
      <w:pPr>
        <w:rPr>
          <w:rStyle w:val="dig-theme"/>
          <w:rFonts w:cstheme="minorHAnsi"/>
        </w:rPr>
      </w:pPr>
      <w:r w:rsidRPr="00B76AEF">
        <w:rPr>
          <w:rStyle w:val="dig-theme"/>
          <w:rFonts w:cstheme="minorHAnsi"/>
        </w:rPr>
        <w:t>The Caucus has also received this non-federally funded assistance within the last three years:</w:t>
      </w:r>
    </w:p>
    <w:p w14:paraId="7475F44B" w14:textId="596DE669" w:rsidR="00691A6F" w:rsidRPr="00B76AEF" w:rsidRDefault="00691A6F" w:rsidP="00691A6F">
      <w:pPr>
        <w:rPr>
          <w:rFonts w:cstheme="minorHAnsi"/>
        </w:rPr>
      </w:pPr>
      <w:r w:rsidRPr="00B76AEF">
        <w:rPr>
          <w:rStyle w:val="dig-theme"/>
          <w:rFonts w:cstheme="minorHAnsi"/>
        </w:rPr>
        <w:t xml:space="preserve">4. </w:t>
      </w:r>
      <w:r w:rsidRPr="00B76AEF">
        <w:rPr>
          <w:rFonts w:cstheme="minorHAnsi"/>
        </w:rPr>
        <w:t>EV Readiness Program</w:t>
      </w:r>
    </w:p>
    <w:p w14:paraId="6C29D41C" w14:textId="77777777" w:rsidR="00691A6F" w:rsidRPr="00B76AEF" w:rsidRDefault="00691A6F" w:rsidP="00691A6F">
      <w:pPr>
        <w:rPr>
          <w:rFonts w:cstheme="minorHAnsi"/>
        </w:rPr>
      </w:pPr>
      <w:r w:rsidRPr="00B76AEF">
        <w:rPr>
          <w:rFonts w:cstheme="minorHAnsi"/>
        </w:rPr>
        <w:t>Brief description: The Caucus provides technical assistance and training to cohorts of communities to complete strategic actions to advance transportation electrification. These include streamlining codes and processes to address barriers to EV infrastructure installation, developing clear permitting processes for EV infrastructure, and engaging the community.</w:t>
      </w:r>
    </w:p>
    <w:p w14:paraId="1BBB387A" w14:textId="77777777" w:rsidR="00691A6F" w:rsidRPr="00B76AEF" w:rsidRDefault="00691A6F" w:rsidP="00691A6F">
      <w:pPr>
        <w:rPr>
          <w:rStyle w:val="dig-theme"/>
          <w:rFonts w:cstheme="minorHAnsi"/>
        </w:rPr>
      </w:pPr>
      <w:r w:rsidRPr="00B76AEF">
        <w:rPr>
          <w:rFonts w:cstheme="minorHAnsi"/>
        </w:rPr>
        <w:t>Organization that provided funding: ComEd</w:t>
      </w:r>
    </w:p>
    <w:p w14:paraId="78724EFF" w14:textId="77777777" w:rsidR="00691A6F" w:rsidRPr="00B76AEF" w:rsidRDefault="00691A6F" w:rsidP="00691A6F">
      <w:pPr>
        <w:rPr>
          <w:rStyle w:val="dig-theme"/>
          <w:rFonts w:cstheme="minorHAnsi"/>
        </w:rPr>
      </w:pPr>
    </w:p>
    <w:p w14:paraId="544D930F" w14:textId="682D26FB" w:rsidR="00691A6F" w:rsidRPr="00B76AEF" w:rsidRDefault="00691A6F" w:rsidP="00691A6F">
      <w:pPr>
        <w:rPr>
          <w:rFonts w:cstheme="minorHAnsi"/>
        </w:rPr>
      </w:pPr>
      <w:r w:rsidRPr="00B76AEF">
        <w:rPr>
          <w:rStyle w:val="dig-theme"/>
          <w:rFonts w:cstheme="minorHAnsi"/>
        </w:rPr>
        <w:t xml:space="preserve">5. </w:t>
      </w:r>
      <w:r w:rsidRPr="00B76AEF">
        <w:rPr>
          <w:rFonts w:cstheme="minorHAnsi"/>
        </w:rPr>
        <w:t>Optimizing Municipal Pathways to Engage Consumers in Smart Residential Energy Use</w:t>
      </w:r>
    </w:p>
    <w:p w14:paraId="3F0F7B32" w14:textId="47A8D36B" w:rsidR="00691A6F" w:rsidRPr="00B76AEF" w:rsidRDefault="00691A6F" w:rsidP="00691A6F">
      <w:pPr>
        <w:rPr>
          <w:rFonts w:cstheme="minorHAnsi"/>
        </w:rPr>
      </w:pPr>
      <w:r w:rsidRPr="00B76AEF">
        <w:rPr>
          <w:rFonts w:cstheme="minorHAnsi"/>
        </w:rPr>
        <w:t xml:space="preserve">Brief Description: The Caucus </w:t>
      </w:r>
      <w:r w:rsidR="00DB7AC8">
        <w:rPr>
          <w:rFonts w:cstheme="minorHAnsi"/>
        </w:rPr>
        <w:t>educated consumers about</w:t>
      </w:r>
      <w:r w:rsidRPr="00B76AEF">
        <w:rPr>
          <w:rFonts w:cstheme="minorHAnsi"/>
        </w:rPr>
        <w:t xml:space="preserve"> energy through municipal communications channels, community events, the distribution of energy-saving products, and </w:t>
      </w:r>
      <w:r w:rsidR="00DB7AC8">
        <w:rPr>
          <w:rFonts w:cstheme="minorHAnsi"/>
        </w:rPr>
        <w:t>through work</w:t>
      </w:r>
      <w:r w:rsidRPr="00B76AEF">
        <w:rPr>
          <w:rFonts w:cstheme="minorHAnsi"/>
        </w:rPr>
        <w:t xml:space="preserve"> with utilities. We </w:t>
      </w:r>
      <w:r w:rsidR="00DB7AC8">
        <w:rPr>
          <w:rFonts w:cstheme="minorHAnsi"/>
        </w:rPr>
        <w:t>trained</w:t>
      </w:r>
      <w:r w:rsidRPr="00B76AEF">
        <w:rPr>
          <w:rFonts w:cstheme="minorHAnsi"/>
        </w:rPr>
        <w:t xml:space="preserve"> municipal staff and citizen commissioners to become energy efficiency ambassadors.</w:t>
      </w:r>
    </w:p>
    <w:p w14:paraId="4FF5F159" w14:textId="77777777" w:rsidR="00691A6F" w:rsidRPr="00B76AEF" w:rsidRDefault="00691A6F" w:rsidP="00691A6F">
      <w:pPr>
        <w:rPr>
          <w:rFonts w:cstheme="minorHAnsi"/>
        </w:rPr>
      </w:pPr>
      <w:r w:rsidRPr="00B76AEF">
        <w:rPr>
          <w:rFonts w:cstheme="minorHAnsi"/>
        </w:rPr>
        <w:t>Organization that funded grant: Illinois Science &amp; Energy Innovation Foundation (ISEIF)</w:t>
      </w:r>
    </w:p>
    <w:p w14:paraId="2938C869" w14:textId="77777777" w:rsidR="00691A6F" w:rsidRPr="00B76AEF" w:rsidRDefault="00691A6F" w:rsidP="00691A6F">
      <w:pPr>
        <w:rPr>
          <w:rFonts w:cstheme="minorHAnsi"/>
        </w:rPr>
      </w:pPr>
    </w:p>
    <w:p w14:paraId="026D3F43" w14:textId="77777777" w:rsidR="00691A6F" w:rsidRDefault="00691A6F" w:rsidP="00691A6F">
      <w:pPr>
        <w:rPr>
          <w:rFonts w:cstheme="minorHAnsi"/>
        </w:rPr>
      </w:pPr>
      <w:r w:rsidRPr="00B76AEF">
        <w:rPr>
          <w:rFonts w:cstheme="minorHAnsi"/>
        </w:rPr>
        <w:t xml:space="preserve">The Caucus successfully managed the administrative requirements and funds for aforementioned grants. Progress reports, deliverables, and metrics were completed on time. </w:t>
      </w:r>
    </w:p>
    <w:p w14:paraId="416E8117" w14:textId="77777777" w:rsidR="00B23E88" w:rsidRPr="00B76AEF" w:rsidRDefault="00B23E88" w:rsidP="00691A6F">
      <w:pPr>
        <w:rPr>
          <w:rFonts w:cstheme="minorHAnsi"/>
        </w:rPr>
      </w:pPr>
    </w:p>
    <w:p w14:paraId="7DA02F5D" w14:textId="57E1AB89" w:rsidR="00B23E88" w:rsidRPr="00041DD0" w:rsidRDefault="00B23E88" w:rsidP="00041DD0">
      <w:pPr>
        <w:keepNext/>
        <w:keepLines/>
        <w:spacing w:before="40"/>
        <w:outlineLvl w:val="1"/>
        <w:rPr>
          <w:rFonts w:asciiTheme="majorHAnsi" w:eastAsiaTheme="majorEastAsia" w:hAnsiTheme="majorHAnsi" w:cstheme="majorBidi"/>
          <w:color w:val="F4B083" w:themeColor="accent2" w:themeTint="99"/>
          <w:sz w:val="26"/>
          <w:szCs w:val="26"/>
        </w:rPr>
      </w:pPr>
      <w:r w:rsidRPr="00B23E88">
        <w:rPr>
          <w:rFonts w:asciiTheme="majorHAnsi" w:eastAsiaTheme="majorEastAsia" w:hAnsiTheme="majorHAnsi" w:cstheme="majorBidi"/>
          <w:color w:val="2F5496" w:themeColor="accent1" w:themeShade="BF"/>
          <w:sz w:val="26"/>
          <w:szCs w:val="26"/>
        </w:rPr>
        <w:t>B. Reporting Requirements</w:t>
      </w:r>
      <w:r w:rsidR="00E7533C">
        <w:rPr>
          <w:rFonts w:asciiTheme="majorHAnsi" w:eastAsiaTheme="majorEastAsia" w:hAnsiTheme="majorHAnsi" w:cstheme="majorBidi"/>
          <w:color w:val="2F5496" w:themeColor="accent1" w:themeShade="BF"/>
          <w:sz w:val="26"/>
          <w:szCs w:val="26"/>
        </w:rPr>
        <w:t xml:space="preserve"> </w:t>
      </w:r>
    </w:p>
    <w:p w14:paraId="69702C9C" w14:textId="57F7F9AC" w:rsidR="00FC5980" w:rsidRPr="00B76AEF" w:rsidRDefault="00FC5980" w:rsidP="00FC5980">
      <w:pPr>
        <w:rPr>
          <w:rFonts w:cstheme="minorHAnsi"/>
        </w:rPr>
      </w:pPr>
      <w:r>
        <w:rPr>
          <w:rFonts w:cstheme="minorHAnsi"/>
        </w:rPr>
        <w:t>We have</w:t>
      </w:r>
      <w:r w:rsidRPr="00B76AEF">
        <w:rPr>
          <w:rFonts w:cstheme="minorHAnsi"/>
        </w:rPr>
        <w:t xml:space="preserve"> a history of meeting reporting requirements </w:t>
      </w:r>
      <w:r>
        <w:rPr>
          <w:rFonts w:cstheme="minorHAnsi"/>
        </w:rPr>
        <w:t xml:space="preserve">for EPA grants and </w:t>
      </w:r>
      <w:r w:rsidRPr="00B76AEF">
        <w:rPr>
          <w:rFonts w:cstheme="minorHAnsi"/>
        </w:rPr>
        <w:t xml:space="preserve">other </w:t>
      </w:r>
      <w:r>
        <w:rPr>
          <w:rFonts w:cstheme="minorHAnsi"/>
        </w:rPr>
        <w:t>grants and contracts</w:t>
      </w:r>
      <w:r w:rsidRPr="00B76AEF">
        <w:rPr>
          <w:rFonts w:cstheme="minorHAnsi"/>
        </w:rPr>
        <w:t xml:space="preserve">. </w:t>
      </w:r>
    </w:p>
    <w:p w14:paraId="469C3254" w14:textId="77777777" w:rsidR="00FC5980" w:rsidRPr="00B76AEF" w:rsidRDefault="00FC5980" w:rsidP="00FC5980">
      <w:pPr>
        <w:rPr>
          <w:rFonts w:cstheme="minorHAnsi"/>
        </w:rPr>
      </w:pPr>
      <w:r w:rsidRPr="00B76AEF">
        <w:rPr>
          <w:rFonts w:cstheme="minorHAnsi"/>
        </w:rPr>
        <w:lastRenderedPageBreak/>
        <w:t xml:space="preserve">For the grants mentioned in the previous Past Performance section, the Caucus completed required reporting on grant performance related to grant outputs and outcomes. Reports were submitted on time, including final technical reports. </w:t>
      </w:r>
      <w:r>
        <w:rPr>
          <w:rFonts w:cstheme="minorHAnsi"/>
        </w:rPr>
        <w:t>Some</w:t>
      </w:r>
      <w:r w:rsidRPr="00B76AEF">
        <w:rPr>
          <w:rFonts w:cstheme="minorHAnsi"/>
        </w:rPr>
        <w:t xml:space="preserve"> results from the projects</w:t>
      </w:r>
      <w:r>
        <w:rPr>
          <w:rFonts w:cstheme="minorHAnsi"/>
        </w:rPr>
        <w:t xml:space="preserve"> follow.</w:t>
      </w:r>
      <w:r w:rsidRPr="00B76AEF">
        <w:rPr>
          <w:rFonts w:cstheme="minorHAnsi"/>
        </w:rPr>
        <w:t xml:space="preserve"> </w:t>
      </w:r>
    </w:p>
    <w:p w14:paraId="714392A2" w14:textId="77777777" w:rsidR="00FC5980" w:rsidRPr="00B76AEF" w:rsidRDefault="00FC5980" w:rsidP="00FC5980">
      <w:pPr>
        <w:rPr>
          <w:rFonts w:cstheme="minorHAnsi"/>
        </w:rPr>
      </w:pPr>
    </w:p>
    <w:p w14:paraId="485D540D" w14:textId="5F32122D" w:rsidR="00FC5980" w:rsidRPr="00B76AEF" w:rsidRDefault="00FC5980" w:rsidP="00FC5980">
      <w:pPr>
        <w:rPr>
          <w:rStyle w:val="dig-theme"/>
          <w:rFonts w:cstheme="minorHAnsi"/>
        </w:rPr>
      </w:pPr>
      <w:r w:rsidRPr="00B76AEF">
        <w:rPr>
          <w:rFonts w:cstheme="minorHAnsi"/>
        </w:rPr>
        <w:t xml:space="preserve">1. For the </w:t>
      </w:r>
      <w:r w:rsidRPr="00B76AEF">
        <w:rPr>
          <w:rStyle w:val="dig-theme"/>
          <w:rFonts w:cstheme="minorHAnsi"/>
        </w:rPr>
        <w:t>CPR Planning Grant - Chicago MSA, we completed the PCAP by the March 1, 2024, deadline. All quarterly reports and administrative requirements were completed on time</w:t>
      </w:r>
    </w:p>
    <w:p w14:paraId="3F6E52A9" w14:textId="77777777" w:rsidR="00FC5980" w:rsidRPr="00B76AEF" w:rsidRDefault="00FC5980" w:rsidP="00FC5980">
      <w:pPr>
        <w:rPr>
          <w:rStyle w:val="dig-theme"/>
          <w:rFonts w:cstheme="minorHAnsi"/>
        </w:rPr>
      </w:pPr>
    </w:p>
    <w:p w14:paraId="0665F25E" w14:textId="3C0A5661" w:rsidR="00FC5980" w:rsidRPr="00B76AEF" w:rsidRDefault="00FC5980" w:rsidP="00FC5980">
      <w:pPr>
        <w:rPr>
          <w:rFonts w:cstheme="minorHAnsi"/>
        </w:rPr>
      </w:pPr>
      <w:r w:rsidRPr="00B76AEF">
        <w:rPr>
          <w:rStyle w:val="dig-theme"/>
          <w:rFonts w:cstheme="minorHAnsi"/>
        </w:rPr>
        <w:t>2. The Chicago Metro REO Campaign was recently awarded</w:t>
      </w:r>
      <w:r>
        <w:rPr>
          <w:rStyle w:val="dig-theme"/>
          <w:rFonts w:cstheme="minorHAnsi"/>
        </w:rPr>
        <w:t xml:space="preserve"> though the grant agreement is not yet finalized</w:t>
      </w:r>
      <w:r w:rsidRPr="00B76AEF">
        <w:rPr>
          <w:rStyle w:val="dig-theme"/>
          <w:rFonts w:cstheme="minorHAnsi"/>
        </w:rPr>
        <w:t xml:space="preserve">. The Caucus and partners plan to submit performance reports related to grant outputs on time. </w:t>
      </w:r>
    </w:p>
    <w:p w14:paraId="100FB2E1" w14:textId="77777777" w:rsidR="00FC5980" w:rsidRPr="00B76AEF" w:rsidRDefault="00FC5980" w:rsidP="00FC5980">
      <w:pPr>
        <w:rPr>
          <w:rFonts w:cstheme="minorHAnsi"/>
        </w:rPr>
      </w:pPr>
    </w:p>
    <w:p w14:paraId="454E1417" w14:textId="77777777" w:rsidR="00FC5980" w:rsidRPr="00B76AEF" w:rsidRDefault="00FC5980" w:rsidP="00FC5980">
      <w:pPr>
        <w:rPr>
          <w:rFonts w:cstheme="minorHAnsi"/>
        </w:rPr>
      </w:pPr>
      <w:r w:rsidRPr="00B76AEF">
        <w:rPr>
          <w:rFonts w:cstheme="minorHAnsi"/>
        </w:rPr>
        <w:t xml:space="preserve">3. For the </w:t>
      </w:r>
      <w:r w:rsidRPr="00B76AEF">
        <w:rPr>
          <w:rStyle w:val="dig-theme"/>
          <w:rFonts w:cstheme="minorHAnsi"/>
        </w:rPr>
        <w:t>Building Capacity for Sustainability and Energy Literacy in Environmental Justice Communities</w:t>
      </w:r>
      <w:r w:rsidRPr="00B76AEF">
        <w:rPr>
          <w:rFonts w:cstheme="minorHAnsi"/>
        </w:rPr>
        <w:t xml:space="preserve"> grant, we accomplished four out of six tasks. The Greenest Region Corps members accomplished the following tasks for this grant: researching energy efficiency programs and compiling communications materials about these programs on a webpage, assisting municipalities in disseminating energy efficiency materials to residents, working with EJ residents to reduce energy usage, and assisting municipalities in conducting baseline sustainability assessments and in setting priorities. </w:t>
      </w:r>
    </w:p>
    <w:p w14:paraId="5F659297" w14:textId="77777777" w:rsidR="00FC5980" w:rsidRPr="00B76AEF" w:rsidRDefault="00FC5980" w:rsidP="00FC5980">
      <w:pPr>
        <w:rPr>
          <w:rFonts w:cstheme="minorHAnsi"/>
        </w:rPr>
      </w:pPr>
    </w:p>
    <w:p w14:paraId="56B59BB2" w14:textId="77777777" w:rsidR="00FC5980" w:rsidRPr="00B76AEF" w:rsidRDefault="00FC5980" w:rsidP="00FC5980">
      <w:pPr>
        <w:rPr>
          <w:rFonts w:cstheme="minorHAnsi"/>
        </w:rPr>
      </w:pPr>
      <w:r w:rsidRPr="00B76AEF">
        <w:rPr>
          <w:rFonts w:cstheme="minorHAnsi"/>
        </w:rPr>
        <w:t xml:space="preserve">4. </w:t>
      </w:r>
      <w:r>
        <w:rPr>
          <w:rFonts w:cstheme="minorHAnsi"/>
        </w:rPr>
        <w:t>T</w:t>
      </w:r>
      <w:r w:rsidRPr="00B76AEF">
        <w:rPr>
          <w:rFonts w:cstheme="minorHAnsi"/>
        </w:rPr>
        <w:t>he EV Readiness Program</w:t>
      </w:r>
      <w:r>
        <w:rPr>
          <w:rFonts w:cstheme="minorHAnsi"/>
        </w:rPr>
        <w:t xml:space="preserve"> is </w:t>
      </w:r>
      <w:r w:rsidRPr="00B76AEF">
        <w:rPr>
          <w:rFonts w:cstheme="minorHAnsi"/>
        </w:rPr>
        <w:t>3 months behind schedule, but on track to meet our goal of designating 30 EV Readiness Program communities. Forty percent of the communities have finished the program</w:t>
      </w:r>
      <w:r>
        <w:rPr>
          <w:rFonts w:cstheme="minorHAnsi"/>
        </w:rPr>
        <w:t xml:space="preserve"> and</w:t>
      </w:r>
      <w:r w:rsidRPr="00B76AEF">
        <w:rPr>
          <w:rFonts w:cstheme="minorHAnsi"/>
        </w:rPr>
        <w:t xml:space="preserve"> sixty percent are currently working toward designation. </w:t>
      </w:r>
    </w:p>
    <w:p w14:paraId="1022EAA3" w14:textId="77777777" w:rsidR="00FC5980" w:rsidRPr="00B76AEF" w:rsidRDefault="00FC5980" w:rsidP="00FC5980">
      <w:pPr>
        <w:rPr>
          <w:rFonts w:cstheme="minorHAnsi"/>
        </w:rPr>
      </w:pPr>
    </w:p>
    <w:p w14:paraId="26902311" w14:textId="6B69C04B" w:rsidR="00FC5980" w:rsidRPr="00B76AEF" w:rsidRDefault="00FC5980" w:rsidP="00FC5980">
      <w:pPr>
        <w:rPr>
          <w:rFonts w:cstheme="minorHAnsi"/>
        </w:rPr>
      </w:pPr>
      <w:r>
        <w:rPr>
          <w:rFonts w:cstheme="minorHAnsi"/>
        </w:rPr>
        <w:t xml:space="preserve">5. </w:t>
      </w:r>
      <w:r w:rsidRPr="00B76AEF">
        <w:rPr>
          <w:rFonts w:cstheme="minorHAnsi"/>
        </w:rPr>
        <w:t>For the Optimizing Municipal Pathways to Engage Consumers in Smart Residential Energy Use project, we exceeded 16 of our 18-performance metrics. Outputs from this 2022-2023 grant include reaching 6,400 low-income residents and seniors through municipal pathways, distributing over 1,600 energy efficiency products, and training 70 municipal officials in an Energy Academy course we created.</w:t>
      </w:r>
    </w:p>
    <w:p w14:paraId="5D08564F" w14:textId="77777777" w:rsidR="00D844F8" w:rsidRDefault="00D844F8" w:rsidP="00D844F8">
      <w:pPr>
        <w:rPr>
          <w:rFonts w:cstheme="minorHAnsi"/>
        </w:rPr>
      </w:pPr>
    </w:p>
    <w:p w14:paraId="0D492B5B" w14:textId="1A639A7E" w:rsidR="00B23E88" w:rsidRPr="00E607E7" w:rsidRDefault="00B23E88" w:rsidP="00B23E88">
      <w:pPr>
        <w:outlineLvl w:val="1"/>
        <w:rPr>
          <w:rFonts w:asciiTheme="majorHAnsi" w:hAnsiTheme="majorHAnsi" w:cstheme="majorHAnsi"/>
          <w:color w:val="F4B083" w:themeColor="accent2" w:themeTint="99"/>
          <w:sz w:val="28"/>
          <w:szCs w:val="28"/>
        </w:rPr>
      </w:pPr>
      <w:r w:rsidRPr="00B23E88">
        <w:rPr>
          <w:rFonts w:asciiTheme="majorHAnsi" w:hAnsiTheme="majorHAnsi" w:cstheme="majorHAnsi"/>
          <w:color w:val="2F5496" w:themeColor="accent1" w:themeShade="BF"/>
          <w:sz w:val="28"/>
          <w:szCs w:val="28"/>
        </w:rPr>
        <w:t>C. Staff Expertise</w:t>
      </w:r>
      <w:r w:rsidR="00E607E7">
        <w:rPr>
          <w:rFonts w:asciiTheme="majorHAnsi" w:hAnsiTheme="majorHAnsi" w:cstheme="majorHAnsi"/>
          <w:color w:val="2F5496" w:themeColor="accent1" w:themeShade="BF"/>
          <w:sz w:val="28"/>
          <w:szCs w:val="28"/>
        </w:rPr>
        <w:t xml:space="preserve"> </w:t>
      </w:r>
    </w:p>
    <w:p w14:paraId="3DFFDC32" w14:textId="5731B4AE" w:rsidR="002F7975" w:rsidRDefault="002F7975" w:rsidP="002F7975">
      <w:pPr>
        <w:rPr>
          <w:rFonts w:cstheme="minorHAnsi"/>
        </w:rPr>
      </w:pPr>
      <w:r w:rsidRPr="00B76AEF">
        <w:rPr>
          <w:rFonts w:cstheme="minorHAnsi"/>
        </w:rPr>
        <w:t xml:space="preserve">The Caucus is a nonprofit organization </w:t>
      </w:r>
      <w:r>
        <w:rPr>
          <w:rFonts w:cstheme="minorHAnsi"/>
        </w:rPr>
        <w:t>that has</w:t>
      </w:r>
      <w:r w:rsidRPr="00B76AEF">
        <w:rPr>
          <w:rFonts w:cstheme="minorHAnsi"/>
        </w:rPr>
        <w:t xml:space="preserve"> led and supported enduring powerful networks that have achieved local goals aligned with state and federal goals The Caucus is led by an inclusive Executive Board comprised of mayors representing every sub-region </w:t>
      </w:r>
      <w:r>
        <w:rPr>
          <w:rFonts w:cstheme="minorHAnsi"/>
        </w:rPr>
        <w:t xml:space="preserve">and 275 municipalities </w:t>
      </w:r>
      <w:r w:rsidRPr="00B76AEF">
        <w:rPr>
          <w:rFonts w:cstheme="minorHAnsi"/>
        </w:rPr>
        <w:t xml:space="preserve">in the seven-county metro region. </w:t>
      </w:r>
      <w:r>
        <w:rPr>
          <w:rFonts w:cstheme="minorHAnsi"/>
        </w:rPr>
        <w:t xml:space="preserve">The 2024 operating budget is $45,551,354 including pass-through funds totaling $42,700,000. </w:t>
      </w:r>
      <w:r w:rsidRPr="00B76AEF">
        <w:rPr>
          <w:rFonts w:cstheme="minorHAnsi"/>
        </w:rPr>
        <w:t xml:space="preserve">The Caucus also convenes committees to engage staff and other municipal officials in leadership. </w:t>
      </w:r>
      <w:r>
        <w:rPr>
          <w:rFonts w:cstheme="minorHAnsi"/>
        </w:rPr>
        <w:t xml:space="preserve">Relevant </w:t>
      </w:r>
      <w:bookmarkStart w:id="32" w:name="_Hlk162646508"/>
      <w:r>
        <w:rPr>
          <w:rFonts w:cstheme="minorHAnsi"/>
        </w:rPr>
        <w:t>Committees include the</w:t>
      </w:r>
      <w:r w:rsidRPr="00B76AEF">
        <w:rPr>
          <w:rFonts w:cstheme="minorHAnsi"/>
        </w:rPr>
        <w:t xml:space="preserve"> Environment Committee, </w:t>
      </w:r>
      <w:r>
        <w:rPr>
          <w:rFonts w:cstheme="minorHAnsi"/>
        </w:rPr>
        <w:t xml:space="preserve">energy Sub Committee, and the Diversity, Equity and Inclusion </w:t>
      </w:r>
      <w:r w:rsidR="006A2F1A">
        <w:rPr>
          <w:rFonts w:cstheme="minorHAnsi"/>
        </w:rPr>
        <w:t>Task Force</w:t>
      </w:r>
      <w:r>
        <w:rPr>
          <w:rFonts w:cstheme="minorHAnsi"/>
        </w:rPr>
        <w:t xml:space="preserve"> </w:t>
      </w:r>
      <w:bookmarkEnd w:id="32"/>
      <w:r>
        <w:rPr>
          <w:rFonts w:cstheme="minorHAnsi"/>
        </w:rPr>
        <w:t xml:space="preserve">which </w:t>
      </w:r>
      <w:r w:rsidRPr="00B76AEF">
        <w:rPr>
          <w:rFonts w:cstheme="minorHAnsi"/>
        </w:rPr>
        <w:t xml:space="preserve">will be active in </w:t>
      </w:r>
      <w:r>
        <w:rPr>
          <w:rFonts w:cstheme="minorHAnsi"/>
        </w:rPr>
        <w:t>LEEP</w:t>
      </w:r>
      <w:r w:rsidRPr="00B76AEF">
        <w:rPr>
          <w:rFonts w:cstheme="minorHAnsi"/>
        </w:rPr>
        <w:t>.</w:t>
      </w:r>
    </w:p>
    <w:p w14:paraId="1BAF4EA5" w14:textId="77777777" w:rsidR="002F7975" w:rsidRDefault="002F7975" w:rsidP="002F7975">
      <w:pPr>
        <w:rPr>
          <w:rFonts w:cstheme="minorHAnsi"/>
        </w:rPr>
      </w:pPr>
    </w:p>
    <w:p w14:paraId="2F68D9AC" w14:textId="0D19734A" w:rsidR="002F7975" w:rsidRPr="00B76AEF" w:rsidRDefault="002F7975" w:rsidP="002F7975">
      <w:pPr>
        <w:rPr>
          <w:rFonts w:cstheme="minorHAnsi"/>
        </w:rPr>
      </w:pPr>
      <w:r w:rsidRPr="00B76AEF">
        <w:rPr>
          <w:rFonts w:cstheme="minorHAnsi"/>
        </w:rPr>
        <w:t xml:space="preserve">Edith Makra is the Director of Environmental Initiatives for the Caucus. </w:t>
      </w:r>
      <w:r>
        <w:rPr>
          <w:rFonts w:cstheme="minorHAnsi"/>
        </w:rPr>
        <w:t>She is the CPRG lead for the Chicago MSA. On March 1, she</w:t>
      </w:r>
      <w:r w:rsidRPr="00B76AEF">
        <w:rPr>
          <w:rFonts w:cstheme="minorHAnsi"/>
        </w:rPr>
        <w:t xml:space="preserve"> </w:t>
      </w:r>
      <w:r>
        <w:rPr>
          <w:rFonts w:cstheme="minorHAnsi"/>
        </w:rPr>
        <w:t xml:space="preserve">submitted the </w:t>
      </w:r>
      <w:r w:rsidRPr="00B76AEF">
        <w:rPr>
          <w:rFonts w:cstheme="minorHAnsi"/>
        </w:rPr>
        <w:t>Priority Climate Action Plan</w:t>
      </w:r>
      <w:r>
        <w:rPr>
          <w:rFonts w:cstheme="minorHAnsi"/>
        </w:rPr>
        <w:t xml:space="preserve"> (PCAP)</w:t>
      </w:r>
      <w:r w:rsidRPr="00B76AEF">
        <w:rPr>
          <w:rFonts w:cstheme="minorHAnsi"/>
        </w:rPr>
        <w:t xml:space="preserve"> for the Chicago MSA. </w:t>
      </w:r>
      <w:r>
        <w:rPr>
          <w:rFonts w:cstheme="minorHAnsi"/>
        </w:rPr>
        <w:t xml:space="preserve">She led meaningful stakeholder engagement and managed subrecipients to contribute to the PCAP.  </w:t>
      </w:r>
      <w:r w:rsidRPr="00B76AEF">
        <w:rPr>
          <w:rFonts w:cstheme="minorHAnsi"/>
        </w:rPr>
        <w:t xml:space="preserve">Makra is the co-author of the </w:t>
      </w:r>
      <w:r>
        <w:rPr>
          <w:rFonts w:cstheme="minorHAnsi"/>
        </w:rPr>
        <w:t xml:space="preserve">pioneering </w:t>
      </w:r>
      <w:r w:rsidRPr="00B76AEF">
        <w:rPr>
          <w:rFonts w:cstheme="minorHAnsi"/>
        </w:rPr>
        <w:t>Climate Action Plan for the Chicago Region and coordinated input and contributions from 175 organizations in setting equitable climate mitigation and adaptation goals. She led the creation of the Greenest Region Compact and now supports the coalition’s 159 municipal and county members in achieving its consensus goals. She staffs the Environment Committee, which actively engages diverse communities in innovative environmental policy and programs.</w:t>
      </w:r>
      <w:r>
        <w:rPr>
          <w:rFonts w:cstheme="minorHAnsi"/>
        </w:rPr>
        <w:t xml:space="preserve"> Makra </w:t>
      </w:r>
      <w:r w:rsidR="00041DD0">
        <w:rPr>
          <w:rFonts w:cstheme="minorHAnsi"/>
        </w:rPr>
        <w:t xml:space="preserve">designed </w:t>
      </w:r>
      <w:r>
        <w:rPr>
          <w:rFonts w:cstheme="minorHAnsi"/>
        </w:rPr>
        <w:t>the Caucus’ sub granting program and manag</w:t>
      </w:r>
      <w:r w:rsidR="00041DD0">
        <w:rPr>
          <w:rFonts w:cstheme="minorHAnsi"/>
        </w:rPr>
        <w:t>ed</w:t>
      </w:r>
      <w:r>
        <w:rPr>
          <w:rFonts w:cstheme="minorHAnsi"/>
        </w:rPr>
        <w:t xml:space="preserve"> </w:t>
      </w:r>
      <w:r w:rsidR="00041DD0">
        <w:rPr>
          <w:rFonts w:cstheme="minorHAnsi"/>
        </w:rPr>
        <w:t xml:space="preserve">$12 million in </w:t>
      </w:r>
      <w:r>
        <w:rPr>
          <w:rFonts w:cstheme="minorHAnsi"/>
        </w:rPr>
        <w:t xml:space="preserve">federal and state funds </w:t>
      </w:r>
      <w:r w:rsidR="00041DD0">
        <w:rPr>
          <w:rFonts w:cstheme="minorHAnsi"/>
        </w:rPr>
        <w:t xml:space="preserve">to make </w:t>
      </w:r>
      <w:r>
        <w:rPr>
          <w:rFonts w:cstheme="minorHAnsi"/>
        </w:rPr>
        <w:t>subgrants for tree planting, energy efficiency, and public safety.</w:t>
      </w:r>
    </w:p>
    <w:p w14:paraId="64736B22" w14:textId="77777777" w:rsidR="002F7975" w:rsidRPr="00B76AEF" w:rsidRDefault="002F7975" w:rsidP="002F7975">
      <w:pPr>
        <w:rPr>
          <w:rFonts w:cstheme="minorHAnsi"/>
        </w:rPr>
      </w:pPr>
    </w:p>
    <w:p w14:paraId="3AE1D46A" w14:textId="77777777" w:rsidR="002F7975" w:rsidRPr="00B76AEF" w:rsidRDefault="002F7975" w:rsidP="002F7975">
      <w:pPr>
        <w:rPr>
          <w:rFonts w:cstheme="minorHAnsi"/>
        </w:rPr>
      </w:pPr>
      <w:r w:rsidRPr="00B76AEF">
        <w:rPr>
          <w:rFonts w:cstheme="minorHAnsi"/>
        </w:rPr>
        <w:lastRenderedPageBreak/>
        <w:t xml:space="preserve">Neil James, Caucus Executive Director, previously served as the Executive Director of the West Cook County Solid Waste Agency (WCCSWA), where he ran the agency’s day-to-day operations, served the needs of 35 municipal members while also facilitating the Regional Disposal Project for 17 local government partners. Mr. James promoted and supported regional recycling initiatives such as Paint Exchanges, Electronics Recycling, and Household Hazardous Waste Collection. Mr. James served as Co-Chair of the Regional Recycling Contamination Task Force; Solid Waste Association of North America Illinois Chapter; and Keep Illinois Beautiful. </w:t>
      </w:r>
    </w:p>
    <w:p w14:paraId="049EB0EA" w14:textId="77777777" w:rsidR="002F7975" w:rsidRPr="00B76AEF" w:rsidRDefault="002F7975" w:rsidP="002F7975">
      <w:pPr>
        <w:rPr>
          <w:rFonts w:cstheme="minorHAnsi"/>
        </w:rPr>
      </w:pPr>
    </w:p>
    <w:p w14:paraId="56F5C2A5" w14:textId="3FAFFE9C" w:rsidR="002F7975" w:rsidRDefault="002F7975" w:rsidP="002F7975">
      <w:pPr>
        <w:rPr>
          <w:rFonts w:cstheme="minorHAnsi"/>
        </w:rPr>
      </w:pPr>
      <w:r w:rsidRPr="00B76AEF">
        <w:rPr>
          <w:rFonts w:cstheme="minorHAnsi"/>
        </w:rPr>
        <w:t xml:space="preserve">Cheryl Scott is the Sustainability Specialist for the Caucus. She led in the development of the EV Readiness Program, the nation’s first program to guide municipalities in preparing for transportation electrification. She serves on the Advisory Council for the national Charging Smart Program, a new program for municipalities that looked to the Caucus’ EV Readiness Program as a model. Scott assists with environmental initiatives at the Caucus, </w:t>
      </w:r>
      <w:r w:rsidR="00F30884">
        <w:rPr>
          <w:rFonts w:cstheme="minorHAnsi"/>
        </w:rPr>
        <w:t>including</w:t>
      </w:r>
      <w:r w:rsidRPr="00B76AEF">
        <w:rPr>
          <w:rFonts w:cstheme="minorHAnsi"/>
        </w:rPr>
        <w:t xml:space="preserve"> creating energy efficiency resources and communications materials for communities, </w:t>
      </w:r>
      <w:r w:rsidR="00F30884">
        <w:rPr>
          <w:rFonts w:cstheme="minorHAnsi"/>
        </w:rPr>
        <w:t>managing</w:t>
      </w:r>
      <w:r w:rsidRPr="00B76AEF">
        <w:rPr>
          <w:rFonts w:cstheme="minorHAnsi"/>
        </w:rPr>
        <w:t xml:space="preserve"> </w:t>
      </w:r>
      <w:r w:rsidR="00F30884">
        <w:rPr>
          <w:rFonts w:cstheme="minorHAnsi"/>
        </w:rPr>
        <w:t>our</w:t>
      </w:r>
      <w:r w:rsidRPr="00B76AEF">
        <w:rPr>
          <w:rFonts w:cstheme="minorHAnsi"/>
        </w:rPr>
        <w:t xml:space="preserve"> residential community solar program, and working with municipalities </w:t>
      </w:r>
      <w:r w:rsidR="00F30884">
        <w:rPr>
          <w:rFonts w:cstheme="minorHAnsi"/>
        </w:rPr>
        <w:t>on</w:t>
      </w:r>
      <w:r w:rsidRPr="00B76AEF">
        <w:rPr>
          <w:rFonts w:cstheme="minorHAnsi"/>
        </w:rPr>
        <w:t xml:space="preserve"> advanced building energy efficiency policies. </w:t>
      </w:r>
    </w:p>
    <w:p w14:paraId="2D391247" w14:textId="77777777" w:rsidR="002F7975" w:rsidRDefault="002F7975" w:rsidP="002F7975">
      <w:pPr>
        <w:rPr>
          <w:rFonts w:cstheme="minorHAnsi"/>
        </w:rPr>
      </w:pPr>
    </w:p>
    <w:p w14:paraId="017EFB93" w14:textId="5178E3B3" w:rsidR="002F7975" w:rsidRDefault="002F7975" w:rsidP="002F7975">
      <w:pPr>
        <w:rPr>
          <w:rFonts w:cstheme="minorHAnsi"/>
        </w:rPr>
      </w:pPr>
      <w:r>
        <w:rPr>
          <w:rFonts w:cstheme="minorHAnsi"/>
        </w:rPr>
        <w:t xml:space="preserve">LEEP will succeed with the help of capable, expert partners </w:t>
      </w:r>
      <w:r w:rsidR="00F30884">
        <w:rPr>
          <w:rFonts w:cstheme="minorHAnsi"/>
        </w:rPr>
        <w:t>named in Section 1A, LEEP Partners</w:t>
      </w:r>
      <w:r w:rsidR="004E7859">
        <w:rPr>
          <w:rFonts w:cstheme="minorHAnsi"/>
        </w:rPr>
        <w:t>,</w:t>
      </w:r>
      <w:r w:rsidR="00F30884">
        <w:rPr>
          <w:rFonts w:cstheme="minorHAnsi"/>
        </w:rPr>
        <w:t xml:space="preserve"> on page 4 of this proposal. </w:t>
      </w:r>
      <w:r>
        <w:rPr>
          <w:rFonts w:cstheme="minorHAnsi"/>
        </w:rPr>
        <w:t>Resumes</w:t>
      </w:r>
      <w:r w:rsidR="00F30884">
        <w:rPr>
          <w:rFonts w:cstheme="minorHAnsi"/>
        </w:rPr>
        <w:t>, bios,</w:t>
      </w:r>
      <w:r>
        <w:rPr>
          <w:rFonts w:cstheme="minorHAnsi"/>
        </w:rPr>
        <w:t xml:space="preserve"> and CVs are attached.</w:t>
      </w:r>
      <w:r w:rsidR="00B23E88">
        <w:rPr>
          <w:rFonts w:cstheme="minorHAnsi"/>
        </w:rPr>
        <w:t xml:space="preserve">  </w:t>
      </w:r>
    </w:p>
    <w:p w14:paraId="472C57CF" w14:textId="77777777" w:rsidR="00B23E88" w:rsidRPr="00B23E88" w:rsidRDefault="00B23E88" w:rsidP="00B23E88"/>
    <w:p w14:paraId="6C302268" w14:textId="53F44AAC" w:rsidR="006A1380" w:rsidRPr="00D838C8" w:rsidRDefault="00D844F8" w:rsidP="0018678A">
      <w:pPr>
        <w:pStyle w:val="Heading1"/>
        <w:numPr>
          <w:ilvl w:val="0"/>
          <w:numId w:val="7"/>
        </w:numPr>
        <w:ind w:left="360"/>
      </w:pPr>
      <w:r w:rsidRPr="00D838C8">
        <w:t>Budget</w:t>
      </w:r>
      <w:r w:rsidR="407B958E" w:rsidRPr="00D838C8">
        <w:t xml:space="preserve"> </w:t>
      </w:r>
    </w:p>
    <w:p w14:paraId="4AD5A5CA" w14:textId="5F358185" w:rsidR="00AD406B" w:rsidRPr="005A54D9" w:rsidRDefault="007B62A7" w:rsidP="005A54D9">
      <w:pPr>
        <w:pStyle w:val="Heading2"/>
      </w:pPr>
      <w:r w:rsidRPr="006E429B">
        <w:rPr>
          <w:b/>
          <w:bCs/>
          <w:sz w:val="22"/>
          <w:szCs w:val="22"/>
        </w:rPr>
        <w:t xml:space="preserve"> </w:t>
      </w:r>
      <w:r w:rsidR="005A54D9">
        <w:t>A. Budget Detail</w:t>
      </w:r>
    </w:p>
    <w:p w14:paraId="1F9F1DAD" w14:textId="4813EFA1" w:rsidR="00AD406B" w:rsidRDefault="005A54D9" w:rsidP="007B62A7">
      <w:r w:rsidRPr="005A54D9">
        <w:t xml:space="preserve">The total budget for this project is $37,407,000. The budget is detailed in the attached </w:t>
      </w:r>
      <w:r w:rsidR="00884849">
        <w:t>Budget Calcs Caucus LEEP</w:t>
      </w:r>
      <w:r w:rsidRPr="005A54D9">
        <w:t xml:space="preserve"> </w:t>
      </w:r>
      <w:r>
        <w:t xml:space="preserve">(Excel spreadsheet) </w:t>
      </w:r>
      <w:r w:rsidRPr="005A54D9">
        <w:t xml:space="preserve">attached.  </w:t>
      </w:r>
      <w:r>
        <w:t xml:space="preserve">More detailed description of costs and calculations are presented in the Budget </w:t>
      </w:r>
      <w:r w:rsidR="00884849">
        <w:t>Caucus LEEP (</w:t>
      </w:r>
      <w:r>
        <w:t>pdf) attached.</w:t>
      </w:r>
    </w:p>
    <w:p w14:paraId="50141BD8" w14:textId="77777777" w:rsidR="005A54D9" w:rsidRDefault="005A54D9" w:rsidP="007B62A7"/>
    <w:p w14:paraId="148E4F0C" w14:textId="7E8BBA47" w:rsidR="005A54D9" w:rsidRDefault="005A54D9" w:rsidP="005A54D9">
      <w:pPr>
        <w:pStyle w:val="Heading2"/>
      </w:pPr>
      <w:r>
        <w:t xml:space="preserve">B. Expenditure of Awarded Funds </w:t>
      </w:r>
    </w:p>
    <w:p w14:paraId="48F250FA" w14:textId="689ECEBE" w:rsidR="00D46C44" w:rsidRDefault="00D46C44" w:rsidP="005A54D9">
      <w:pPr>
        <w:autoSpaceDE w:val="0"/>
        <w:autoSpaceDN w:val="0"/>
        <w:adjustRightInd w:val="0"/>
        <w:rPr>
          <w:rFonts w:ascii="Calibri" w:hAnsi="Calibri" w:cs="Calibri"/>
        </w:rPr>
      </w:pPr>
      <w:r>
        <w:rPr>
          <w:rFonts w:ascii="Calibri" w:hAnsi="Calibri" w:cs="Calibri"/>
        </w:rPr>
        <w:t xml:space="preserve">The Caucus has extensive experience managing </w:t>
      </w:r>
      <w:r w:rsidR="00884849">
        <w:rPr>
          <w:rFonts w:ascii="Calibri" w:hAnsi="Calibri" w:cs="Calibri"/>
        </w:rPr>
        <w:t xml:space="preserve">federal </w:t>
      </w:r>
      <w:r>
        <w:rPr>
          <w:rFonts w:ascii="Calibri" w:hAnsi="Calibri" w:cs="Calibri"/>
        </w:rPr>
        <w:t>grant funds</w:t>
      </w:r>
      <w:r w:rsidR="001F0947">
        <w:rPr>
          <w:rFonts w:ascii="Calibri" w:hAnsi="Calibri" w:cs="Calibri"/>
        </w:rPr>
        <w:t>.</w:t>
      </w:r>
      <w:r>
        <w:rPr>
          <w:rFonts w:ascii="Calibri" w:hAnsi="Calibri" w:cs="Calibri"/>
        </w:rPr>
        <w:t xml:space="preserve"> </w:t>
      </w:r>
      <w:r w:rsidR="001F0947">
        <w:rPr>
          <w:rFonts w:ascii="Calibri" w:hAnsi="Calibri" w:cs="Calibri"/>
        </w:rPr>
        <w:t xml:space="preserve">The Caucus </w:t>
      </w:r>
      <w:r>
        <w:rPr>
          <w:rFonts w:ascii="Calibri" w:hAnsi="Calibri" w:cs="Calibri"/>
        </w:rPr>
        <w:t>also maintains financial policies and procedures for managing grant funds</w:t>
      </w:r>
      <w:r w:rsidR="001F0947">
        <w:rPr>
          <w:rFonts w:ascii="Calibri" w:hAnsi="Calibri" w:cs="Calibri"/>
        </w:rPr>
        <w:t xml:space="preserve"> and was pre-award certified by the U.S. EPA on Oct. 19, 2023, which is good for four years.</w:t>
      </w:r>
      <w:r>
        <w:rPr>
          <w:rFonts w:ascii="Calibri" w:hAnsi="Calibri" w:cs="Calibri"/>
        </w:rPr>
        <w:t xml:space="preserve"> The Caucus’ Executive Director and accounting firm will remit payment to </w:t>
      </w:r>
      <w:r w:rsidR="00884849">
        <w:rPr>
          <w:rFonts w:ascii="Calibri" w:hAnsi="Calibri" w:cs="Calibri"/>
        </w:rPr>
        <w:t>sub awardees</w:t>
      </w:r>
      <w:r>
        <w:rPr>
          <w:rFonts w:ascii="Calibri" w:hAnsi="Calibri" w:cs="Calibri"/>
        </w:rPr>
        <w:t xml:space="preserve"> and contractors in a timely fashion after receiving an invoice. Checks are cut twice a month. </w:t>
      </w:r>
      <w:r w:rsidR="00CB751C">
        <w:rPr>
          <w:rFonts w:ascii="Calibri" w:hAnsi="Calibri" w:cs="Calibri"/>
        </w:rPr>
        <w:t>Funds are tracked by the Caucus’ accounting firm, Seldon Fox, as well as by the staff</w:t>
      </w:r>
      <w:r w:rsidR="00402EC7">
        <w:rPr>
          <w:rFonts w:ascii="Calibri" w:hAnsi="Calibri" w:cs="Calibri"/>
        </w:rPr>
        <w:t xml:space="preserve"> managing the grant project.</w:t>
      </w:r>
    </w:p>
    <w:p w14:paraId="3DC0F6D1" w14:textId="4D6AD585" w:rsidR="0020782C" w:rsidRDefault="0020782C" w:rsidP="005A54D9">
      <w:pPr>
        <w:autoSpaceDE w:val="0"/>
        <w:autoSpaceDN w:val="0"/>
        <w:adjustRightInd w:val="0"/>
        <w:rPr>
          <w:rFonts w:ascii="Calibri" w:hAnsi="Calibri" w:cs="Calibri"/>
        </w:rPr>
      </w:pPr>
    </w:p>
    <w:p w14:paraId="64D0EC18" w14:textId="1F972108" w:rsidR="0020782C" w:rsidRDefault="0020782C" w:rsidP="005A54D9">
      <w:pPr>
        <w:autoSpaceDE w:val="0"/>
        <w:autoSpaceDN w:val="0"/>
        <w:adjustRightInd w:val="0"/>
        <w:rPr>
          <w:rFonts w:ascii="Calibri" w:hAnsi="Calibri" w:cs="Calibri"/>
        </w:rPr>
      </w:pPr>
      <w:r>
        <w:rPr>
          <w:rFonts w:ascii="Calibri" w:hAnsi="Calibri" w:cs="Calibri"/>
        </w:rPr>
        <w:t xml:space="preserve">Quarterly reports will be prepared to document expenditures, staff effort, project task-related activities, travel, collection events held, </w:t>
      </w:r>
      <w:r w:rsidR="00DD5E0C">
        <w:rPr>
          <w:rFonts w:ascii="Calibri" w:hAnsi="Calibri" w:cs="Calibri"/>
        </w:rPr>
        <w:t xml:space="preserve">old </w:t>
      </w:r>
      <w:r>
        <w:rPr>
          <w:rFonts w:ascii="Calibri" w:hAnsi="Calibri" w:cs="Calibri"/>
        </w:rPr>
        <w:t xml:space="preserve">equipment collected, </w:t>
      </w:r>
      <w:r w:rsidR="00DD5E0C">
        <w:rPr>
          <w:rFonts w:ascii="Calibri" w:hAnsi="Calibri" w:cs="Calibri"/>
        </w:rPr>
        <w:t xml:space="preserve">new equipment distributed, </w:t>
      </w:r>
      <w:r>
        <w:rPr>
          <w:rFonts w:ascii="Calibri" w:hAnsi="Calibri" w:cs="Calibri"/>
        </w:rPr>
        <w:t xml:space="preserve">and sub-award recipient activity. These quarterly reports will allow the U.S. EPA to review the approach to the project and ensure the funds are being expended in a timely and efficient manner that follows our </w:t>
      </w:r>
      <w:r w:rsidR="00884849">
        <w:rPr>
          <w:rFonts w:ascii="Calibri" w:hAnsi="Calibri" w:cs="Calibri"/>
        </w:rPr>
        <w:t>expected outcomes, outputs, performance measures and implementation timeline</w:t>
      </w:r>
      <w:r>
        <w:rPr>
          <w:rFonts w:ascii="Calibri" w:hAnsi="Calibri" w:cs="Calibri"/>
        </w:rPr>
        <w:t xml:space="preserve">. </w:t>
      </w:r>
    </w:p>
    <w:p w14:paraId="49F0D552" w14:textId="77777777" w:rsidR="00A25DB9" w:rsidRDefault="00A25DB9" w:rsidP="005A54D9">
      <w:pPr>
        <w:autoSpaceDE w:val="0"/>
        <w:autoSpaceDN w:val="0"/>
        <w:adjustRightInd w:val="0"/>
        <w:rPr>
          <w:rFonts w:ascii="Calibri" w:hAnsi="Calibri" w:cs="Calibri"/>
        </w:rPr>
      </w:pPr>
    </w:p>
    <w:p w14:paraId="27AEBA7F" w14:textId="6E54DEC0" w:rsidR="00714FBA" w:rsidRDefault="00427AB7" w:rsidP="005A54D9">
      <w:pPr>
        <w:autoSpaceDE w:val="0"/>
        <w:autoSpaceDN w:val="0"/>
        <w:adjustRightInd w:val="0"/>
        <w:rPr>
          <w:rFonts w:ascii="Calibri" w:hAnsi="Calibri" w:cs="Calibri"/>
        </w:rPr>
      </w:pPr>
      <w:r w:rsidRPr="00427AB7">
        <w:rPr>
          <w:rFonts w:ascii="Calibri" w:hAnsi="Calibri" w:cs="Calibri"/>
        </w:rPr>
        <w:t>We</w:t>
      </w:r>
      <w:r w:rsidR="00D46C44">
        <w:rPr>
          <w:rFonts w:ascii="Calibri" w:hAnsi="Calibri" w:cs="Calibri"/>
        </w:rPr>
        <w:t xml:space="preserve"> </w:t>
      </w:r>
      <w:r w:rsidRPr="00427AB7">
        <w:rPr>
          <w:rFonts w:ascii="Calibri" w:hAnsi="Calibri" w:cs="Calibri"/>
        </w:rPr>
        <w:t xml:space="preserve">keep </w:t>
      </w:r>
      <w:r>
        <w:rPr>
          <w:rFonts w:ascii="Calibri" w:hAnsi="Calibri" w:cs="Calibri"/>
        </w:rPr>
        <w:t xml:space="preserve">accurate and accessible records, to </w:t>
      </w:r>
      <w:r w:rsidR="00D46C44">
        <w:rPr>
          <w:rFonts w:ascii="Calibri" w:hAnsi="Calibri" w:cs="Calibri"/>
        </w:rPr>
        <w:t>ensure</w:t>
      </w:r>
      <w:r>
        <w:rPr>
          <w:rFonts w:ascii="Calibri" w:hAnsi="Calibri" w:cs="Calibri"/>
        </w:rPr>
        <w:t xml:space="preserve"> the Caucus’ annual audit</w:t>
      </w:r>
      <w:r w:rsidR="00D46C44">
        <w:rPr>
          <w:rFonts w:ascii="Calibri" w:hAnsi="Calibri" w:cs="Calibri"/>
        </w:rPr>
        <w:t xml:space="preserve"> go smoothly. This organized record-keeping will also assist with an efficient </w:t>
      </w:r>
      <w:r>
        <w:rPr>
          <w:rFonts w:ascii="Calibri" w:hAnsi="Calibri" w:cs="Calibri"/>
        </w:rPr>
        <w:t>Single Audi</w:t>
      </w:r>
      <w:r w:rsidR="00D46C44">
        <w:rPr>
          <w:rFonts w:ascii="Calibri" w:hAnsi="Calibri" w:cs="Calibri"/>
        </w:rPr>
        <w:t>t</w:t>
      </w:r>
      <w:r>
        <w:rPr>
          <w:rFonts w:ascii="Calibri" w:hAnsi="Calibri" w:cs="Calibri"/>
        </w:rPr>
        <w:t xml:space="preserve">.  </w:t>
      </w:r>
    </w:p>
    <w:p w14:paraId="7F5AC80E" w14:textId="77777777" w:rsidR="0020782C" w:rsidRDefault="0020782C" w:rsidP="005A54D9">
      <w:pPr>
        <w:autoSpaceDE w:val="0"/>
        <w:autoSpaceDN w:val="0"/>
        <w:adjustRightInd w:val="0"/>
        <w:rPr>
          <w:rFonts w:ascii="Calibri" w:hAnsi="Calibri" w:cs="Calibri"/>
        </w:rPr>
      </w:pPr>
    </w:p>
    <w:p w14:paraId="6ACE5351" w14:textId="45309BBC" w:rsidR="0020782C" w:rsidRPr="00427AB7" w:rsidRDefault="0020782C" w:rsidP="005A54D9">
      <w:pPr>
        <w:autoSpaceDE w:val="0"/>
        <w:autoSpaceDN w:val="0"/>
        <w:adjustRightInd w:val="0"/>
        <w:rPr>
          <w:rFonts w:ascii="Calibri" w:hAnsi="Calibri" w:cs="Calibri"/>
        </w:rPr>
      </w:pPr>
      <w:r>
        <w:rPr>
          <w:rFonts w:ascii="Calibri" w:hAnsi="Calibri" w:cs="Calibri"/>
        </w:rPr>
        <w:t xml:space="preserve">Some of the controls and procedures that will be in place include confirming that the old lawn and garden equipment will be destroyed by the scrap metal facility. The contract language that the solid waste agencies and the Caucus have with scrap metal facilities will include the requirement to conduct on-site visits and document the equipment destruction process, especially for the first few truckloads of equipment. We </w:t>
      </w:r>
      <w:r w:rsidR="008A383B">
        <w:rPr>
          <w:rFonts w:ascii="Calibri" w:hAnsi="Calibri" w:cs="Calibri"/>
        </w:rPr>
        <w:t>also reserve the right to</w:t>
      </w:r>
      <w:r>
        <w:rPr>
          <w:rFonts w:ascii="Calibri" w:hAnsi="Calibri" w:cs="Calibri"/>
        </w:rPr>
        <w:t xml:space="preserve"> request a certificate of destruction for </w:t>
      </w:r>
      <w:r w:rsidR="008A383B">
        <w:rPr>
          <w:rFonts w:ascii="Calibri" w:hAnsi="Calibri" w:cs="Calibri"/>
        </w:rPr>
        <w:t xml:space="preserve">the old </w:t>
      </w:r>
      <w:r>
        <w:rPr>
          <w:rFonts w:ascii="Calibri" w:hAnsi="Calibri" w:cs="Calibri"/>
        </w:rPr>
        <w:t>equipment</w:t>
      </w:r>
      <w:r w:rsidR="008A383B">
        <w:rPr>
          <w:rFonts w:ascii="Calibri" w:hAnsi="Calibri" w:cs="Calibri"/>
        </w:rPr>
        <w:t xml:space="preserve"> at any </w:t>
      </w:r>
      <w:r w:rsidR="008A383B">
        <w:rPr>
          <w:rFonts w:ascii="Calibri" w:hAnsi="Calibri" w:cs="Calibri"/>
        </w:rPr>
        <w:lastRenderedPageBreak/>
        <w:t>time, to ensure this process is being conducted appropriately.</w:t>
      </w:r>
      <w:r w:rsidR="00DD5E0C">
        <w:rPr>
          <w:rFonts w:ascii="Calibri" w:hAnsi="Calibri" w:cs="Calibri"/>
        </w:rPr>
        <w:t xml:space="preserve"> Similar controls and procedures will be in place at the buy-back events. Caucus staff will attend many of the events, especially at the start of the project, to ensure that the </w:t>
      </w:r>
      <w:r w:rsidR="00CE6056">
        <w:rPr>
          <w:rFonts w:ascii="Calibri" w:hAnsi="Calibri" w:cs="Calibri"/>
        </w:rPr>
        <w:t>sub awardees</w:t>
      </w:r>
      <w:r w:rsidR="00DD5E0C">
        <w:rPr>
          <w:rFonts w:ascii="Calibri" w:hAnsi="Calibri" w:cs="Calibri"/>
        </w:rPr>
        <w:t xml:space="preserve"> are running the events smoothly and that vouchers are being distributed in an appropriate manner when old equipment is turned in.</w:t>
      </w:r>
    </w:p>
    <w:p w14:paraId="1F8E2ED4" w14:textId="77777777" w:rsidR="005A54D9" w:rsidRDefault="005A54D9" w:rsidP="005A54D9">
      <w:pPr>
        <w:autoSpaceDE w:val="0"/>
        <w:autoSpaceDN w:val="0"/>
        <w:adjustRightInd w:val="0"/>
        <w:rPr>
          <w:rFonts w:ascii="Calibri" w:hAnsi="Calibri" w:cs="Calibri"/>
          <w:color w:val="F4B083" w:themeColor="accent2" w:themeTint="99"/>
          <w:sz w:val="24"/>
          <w:szCs w:val="24"/>
        </w:rPr>
      </w:pPr>
    </w:p>
    <w:p w14:paraId="4DC621F5" w14:textId="77777777" w:rsidR="005A54D9" w:rsidRDefault="005A54D9" w:rsidP="005A54D9">
      <w:pPr>
        <w:pStyle w:val="Heading2"/>
      </w:pPr>
      <w:r>
        <w:t>C. Reasonableness of Costs</w:t>
      </w:r>
    </w:p>
    <w:p w14:paraId="57EFD18A" w14:textId="77777777" w:rsidR="0095784B" w:rsidRDefault="003B3564" w:rsidP="0095784B">
      <w:pPr>
        <w:autoSpaceDE w:val="0"/>
        <w:autoSpaceDN w:val="0"/>
        <w:adjustRightInd w:val="0"/>
        <w:rPr>
          <w:rFonts w:ascii="Calibri" w:hAnsi="Calibri" w:cs="Calibri"/>
        </w:rPr>
      </w:pPr>
      <w:r w:rsidRPr="003B3564">
        <w:rPr>
          <w:rFonts w:ascii="Calibri" w:hAnsi="Calibri" w:cs="Calibri"/>
        </w:rPr>
        <w:t xml:space="preserve">The Caucus has made every effort to </w:t>
      </w:r>
      <w:r>
        <w:rPr>
          <w:rFonts w:ascii="Calibri" w:hAnsi="Calibri" w:cs="Calibri"/>
        </w:rPr>
        <w:t xml:space="preserve">identify program elements, estimate costs, and prepare a budget that is reasonable and cost effective.  As noted in Section </w:t>
      </w:r>
      <w:r w:rsidR="00242490">
        <w:rPr>
          <w:rFonts w:ascii="Calibri" w:hAnsi="Calibri" w:cs="Calibri"/>
        </w:rPr>
        <w:t>3A</w:t>
      </w:r>
      <w:r>
        <w:rPr>
          <w:rFonts w:ascii="Calibri" w:hAnsi="Calibri" w:cs="Calibri"/>
        </w:rPr>
        <w:t xml:space="preserve">, </w:t>
      </w:r>
      <w:r w:rsidR="00242490">
        <w:rPr>
          <w:rFonts w:ascii="Calibri" w:hAnsi="Calibri" w:cs="Calibri"/>
        </w:rPr>
        <w:t>Environmental Results – Outputs, Outcomes and Performance Measures</w:t>
      </w:r>
      <w:r>
        <w:rPr>
          <w:rFonts w:ascii="Calibri" w:hAnsi="Calibri" w:cs="Calibri"/>
        </w:rPr>
        <w:t xml:space="preserve">, LEEP is designed to maximize </w:t>
      </w:r>
      <w:r w:rsidR="00242490">
        <w:rPr>
          <w:rFonts w:ascii="Calibri" w:hAnsi="Calibri" w:cs="Calibri"/>
        </w:rPr>
        <w:t>five</w:t>
      </w:r>
      <w:r>
        <w:rPr>
          <w:rFonts w:ascii="Calibri" w:hAnsi="Calibri" w:cs="Calibri"/>
        </w:rPr>
        <w:t xml:space="preserve"> project outcomes.  </w:t>
      </w:r>
      <w:r w:rsidR="00EC1BD3">
        <w:rPr>
          <w:rFonts w:ascii="Calibri" w:hAnsi="Calibri" w:cs="Calibri"/>
        </w:rPr>
        <w:t>In alignment with the goals of CPRG Implementation Grants, LEEP Outcome 1</w:t>
      </w:r>
      <w:r w:rsidR="00242490">
        <w:rPr>
          <w:rFonts w:ascii="Calibri" w:hAnsi="Calibri" w:cs="Calibri"/>
        </w:rPr>
        <w:t xml:space="preserve"> (</w:t>
      </w:r>
      <w:r w:rsidR="00EC1BD3" w:rsidRPr="00EC1BD3">
        <w:rPr>
          <w:rFonts w:ascii="Calibri" w:hAnsi="Calibri" w:cs="Calibri"/>
        </w:rPr>
        <w:t>Reduction of GHG, air and noise pollution in the Chicago region</w:t>
      </w:r>
      <w:r w:rsidR="00242490">
        <w:rPr>
          <w:rFonts w:ascii="Calibri" w:hAnsi="Calibri" w:cs="Calibri"/>
        </w:rPr>
        <w:t>)</w:t>
      </w:r>
      <w:r w:rsidR="00EC1BD3">
        <w:rPr>
          <w:rFonts w:ascii="Calibri" w:hAnsi="Calibri" w:cs="Calibri"/>
        </w:rPr>
        <w:t xml:space="preserve"> and Outcome 2</w:t>
      </w:r>
      <w:r w:rsidR="00242490">
        <w:rPr>
          <w:rFonts w:ascii="Calibri" w:hAnsi="Calibri" w:cs="Calibri"/>
        </w:rPr>
        <w:t xml:space="preserve"> (</w:t>
      </w:r>
      <w:r w:rsidR="00EC1BD3" w:rsidRPr="00EC1BD3">
        <w:rPr>
          <w:rFonts w:ascii="Calibri" w:hAnsi="Calibri" w:cs="Calibri"/>
        </w:rPr>
        <w:t>Removal of gasoline and diesel-powered LGE from service</w:t>
      </w:r>
      <w:r w:rsidR="00242490">
        <w:rPr>
          <w:rFonts w:ascii="Calibri" w:hAnsi="Calibri" w:cs="Calibri"/>
        </w:rPr>
        <w:t>)</w:t>
      </w:r>
      <w:r w:rsidR="00EC1BD3">
        <w:rPr>
          <w:rFonts w:ascii="Calibri" w:hAnsi="Calibri" w:cs="Calibri"/>
        </w:rPr>
        <w:t xml:space="preserve"> are prioritized. Budget costs for rebates/incentives (program participants cost) and collection and disposal of old LGE make up most of the budget costs. </w:t>
      </w:r>
    </w:p>
    <w:p w14:paraId="791639B6" w14:textId="77777777" w:rsidR="0095784B" w:rsidRDefault="0095784B" w:rsidP="0095784B">
      <w:pPr>
        <w:autoSpaceDE w:val="0"/>
        <w:autoSpaceDN w:val="0"/>
        <w:adjustRightInd w:val="0"/>
        <w:rPr>
          <w:rFonts w:ascii="Calibri" w:hAnsi="Calibri" w:cs="Calibri"/>
        </w:rPr>
      </w:pPr>
    </w:p>
    <w:p w14:paraId="096495FC" w14:textId="6864F750" w:rsidR="0095784B" w:rsidRDefault="00EC1BD3" w:rsidP="00EC1BD3">
      <w:pPr>
        <w:autoSpaceDE w:val="0"/>
        <w:autoSpaceDN w:val="0"/>
        <w:adjustRightInd w:val="0"/>
        <w:rPr>
          <w:rFonts w:ascii="Calibri" w:hAnsi="Calibri" w:cs="Calibri"/>
        </w:rPr>
      </w:pPr>
      <w:r>
        <w:rPr>
          <w:rFonts w:ascii="Calibri" w:hAnsi="Calibri" w:cs="Calibri"/>
        </w:rPr>
        <w:t>Rebates are reasonable at 50</w:t>
      </w:r>
      <w:r w:rsidR="00737B2E">
        <w:rPr>
          <w:rFonts w:ascii="Calibri" w:hAnsi="Calibri" w:cs="Calibri"/>
        </w:rPr>
        <w:t>%</w:t>
      </w:r>
      <w:r>
        <w:rPr>
          <w:rFonts w:ascii="Calibri" w:hAnsi="Calibri" w:cs="Calibri"/>
        </w:rPr>
        <w:t xml:space="preserve"> relative to full cost of </w:t>
      </w:r>
      <w:r w:rsidR="00737B2E">
        <w:rPr>
          <w:rFonts w:ascii="Calibri" w:hAnsi="Calibri" w:cs="Calibri"/>
        </w:rPr>
        <w:t xml:space="preserve">commercial ZEE, also detailed in Section 2D, and about 17-20% of the full cost of residential mowers. </w:t>
      </w:r>
      <w:r w:rsidR="0095784B">
        <w:rPr>
          <w:rFonts w:ascii="Calibri" w:hAnsi="Calibri" w:cs="Calibri"/>
        </w:rPr>
        <w:t xml:space="preserve">LEEP is cost-effective, when compared </w:t>
      </w:r>
      <w:r w:rsidR="0095784B">
        <w:rPr>
          <w:rFonts w:ascii="Calibri" w:hAnsi="Calibri" w:cs="Calibri"/>
        </w:rPr>
        <w:t>t</w:t>
      </w:r>
      <w:r w:rsidR="0095784B">
        <w:rPr>
          <w:rFonts w:ascii="Calibri" w:hAnsi="Calibri" w:cs="Calibri"/>
        </w:rPr>
        <w:t xml:space="preserve">he statewide $27 million California CORE program </w:t>
      </w:r>
      <w:r w:rsidR="0095784B">
        <w:rPr>
          <w:rFonts w:ascii="Calibri" w:hAnsi="Calibri" w:cs="Calibri"/>
        </w:rPr>
        <w:t>which incentivized</w:t>
      </w:r>
      <w:r w:rsidR="0095784B">
        <w:rPr>
          <w:rFonts w:ascii="Calibri" w:hAnsi="Calibri" w:cs="Calibri"/>
        </w:rPr>
        <w:t xml:space="preserve"> 27,000 tools and provided 30,000 batteries, but did not require the verified, safe destruction of old gasoline equipment. LEEP will replace 81,515 gas-powered tools and provide 3,686 batteries for commercial hand-held equipment for the total budget of $37,407,000. Our rebates are more modest than CORE’s rebates to improve cost-effectiveness</w:t>
      </w:r>
      <w:r w:rsidR="0095784B">
        <w:rPr>
          <w:rFonts w:ascii="Calibri" w:hAnsi="Calibri" w:cs="Calibri"/>
        </w:rPr>
        <w:t xml:space="preserve"> </w:t>
      </w:r>
      <w:r w:rsidR="0095784B">
        <w:rPr>
          <w:rFonts w:ascii="Calibri" w:hAnsi="Calibri" w:cs="Calibri"/>
        </w:rPr>
        <w:t>and will achieve measurable environmental outcomes</w:t>
      </w:r>
    </w:p>
    <w:p w14:paraId="05488E17" w14:textId="77777777" w:rsidR="0095784B" w:rsidRDefault="0095784B" w:rsidP="00EC1BD3">
      <w:pPr>
        <w:autoSpaceDE w:val="0"/>
        <w:autoSpaceDN w:val="0"/>
        <w:adjustRightInd w:val="0"/>
        <w:rPr>
          <w:rFonts w:ascii="Calibri" w:hAnsi="Calibri" w:cs="Calibri"/>
        </w:rPr>
      </w:pPr>
    </w:p>
    <w:p w14:paraId="3EA14AA9" w14:textId="6C766063" w:rsidR="00EC1BD3" w:rsidRDefault="00737B2E" w:rsidP="00EC1BD3">
      <w:pPr>
        <w:autoSpaceDE w:val="0"/>
        <w:autoSpaceDN w:val="0"/>
        <w:adjustRightInd w:val="0"/>
        <w:rPr>
          <w:rFonts w:ascii="Calibri" w:hAnsi="Calibri" w:cs="Calibri"/>
        </w:rPr>
      </w:pPr>
      <w:r>
        <w:rPr>
          <w:rFonts w:ascii="Calibri" w:hAnsi="Calibri" w:cs="Calibri"/>
        </w:rPr>
        <w:t>Residential collection and buy back events will piggyback on events that will already be planned and supported by partner solid waste agencies. Grant costs only need to cover incremental costs for the addition</w:t>
      </w:r>
      <w:r w:rsidR="00F1480C">
        <w:rPr>
          <w:rFonts w:ascii="Calibri" w:hAnsi="Calibri" w:cs="Calibri"/>
        </w:rPr>
        <w:t>al</w:t>
      </w:r>
      <w:r>
        <w:rPr>
          <w:rFonts w:ascii="Calibri" w:hAnsi="Calibri" w:cs="Calibri"/>
        </w:rPr>
        <w:t xml:space="preserve"> collection and disposal of old LGE through </w:t>
      </w:r>
      <w:r w:rsidR="0095784B">
        <w:rPr>
          <w:rFonts w:ascii="Calibri" w:hAnsi="Calibri" w:cs="Calibri"/>
        </w:rPr>
        <w:t>reasonable</w:t>
      </w:r>
      <w:r>
        <w:rPr>
          <w:rFonts w:ascii="Calibri" w:hAnsi="Calibri" w:cs="Calibri"/>
        </w:rPr>
        <w:t xml:space="preserve"> subawards. Commercial LEEP leverages industry networks and organizational infrastructure to accomplish program tasks and outputs.</w:t>
      </w:r>
      <w:r w:rsidR="00890F48">
        <w:rPr>
          <w:rFonts w:ascii="Calibri" w:hAnsi="Calibri" w:cs="Calibri"/>
        </w:rPr>
        <w:t xml:space="preserve"> Finally, the Caucus is a highly efficient, small non-profit organization </w:t>
      </w:r>
      <w:r w:rsidR="00F1480C">
        <w:rPr>
          <w:rFonts w:ascii="Calibri" w:hAnsi="Calibri" w:cs="Calibri"/>
        </w:rPr>
        <w:t xml:space="preserve">with </w:t>
      </w:r>
      <w:r w:rsidR="00890F48">
        <w:rPr>
          <w:rFonts w:ascii="Calibri" w:hAnsi="Calibri" w:cs="Calibri"/>
        </w:rPr>
        <w:t xml:space="preserve">reasonable overhead. Notably, no indirect costs are claimed as all Caucus program costs are categorized in provided budget categories.  The Caucus also leverages existing programmatic capacity for the related EV Readiness </w:t>
      </w:r>
      <w:r w:rsidR="00F1480C">
        <w:rPr>
          <w:rFonts w:ascii="Calibri" w:hAnsi="Calibri" w:cs="Calibri"/>
        </w:rPr>
        <w:t>P</w:t>
      </w:r>
      <w:r w:rsidR="00890F48">
        <w:rPr>
          <w:rFonts w:ascii="Calibri" w:hAnsi="Calibri" w:cs="Calibri"/>
        </w:rPr>
        <w:t xml:space="preserve">rogram to operate LEEP within the proposed, </w:t>
      </w:r>
      <w:r w:rsidR="000A464F">
        <w:rPr>
          <w:rFonts w:ascii="Calibri" w:hAnsi="Calibri" w:cs="Calibri"/>
        </w:rPr>
        <w:t>reasonable,</w:t>
      </w:r>
      <w:r w:rsidR="00890F48">
        <w:rPr>
          <w:rFonts w:ascii="Calibri" w:hAnsi="Calibri" w:cs="Calibri"/>
        </w:rPr>
        <w:t xml:space="preserve"> and appropriate budget.</w:t>
      </w:r>
      <w:r w:rsidR="000A464F">
        <w:rPr>
          <w:rFonts w:ascii="Calibri" w:hAnsi="Calibri" w:cs="Calibri"/>
        </w:rPr>
        <w:t xml:space="preserve"> The total program administrative costs are a reasonable 18% of total budget.  </w:t>
      </w:r>
    </w:p>
    <w:p w14:paraId="4404C3C5" w14:textId="77777777" w:rsidR="00F1480C" w:rsidRDefault="00F1480C" w:rsidP="00EC1BD3">
      <w:pPr>
        <w:autoSpaceDE w:val="0"/>
        <w:autoSpaceDN w:val="0"/>
        <w:adjustRightInd w:val="0"/>
        <w:rPr>
          <w:rFonts w:ascii="Calibri" w:hAnsi="Calibri" w:cs="Calibri"/>
        </w:rPr>
      </w:pPr>
    </w:p>
    <w:p w14:paraId="626BF01E" w14:textId="77777777" w:rsidR="005A54D9" w:rsidRDefault="005A54D9" w:rsidP="005A54D9"/>
    <w:p w14:paraId="0AEE46E7" w14:textId="3CD2B7CF" w:rsidR="005A54D9" w:rsidRPr="005A54D9" w:rsidRDefault="005A54D9" w:rsidP="005A54D9"/>
    <w:p w14:paraId="78A9F38B" w14:textId="77777777" w:rsidR="005A54D9" w:rsidRPr="005A54D9" w:rsidRDefault="005A54D9" w:rsidP="005A54D9"/>
    <w:sectPr w:rsidR="005A54D9" w:rsidRPr="005A54D9" w:rsidSect="00D248B6">
      <w:footerReference w:type="default" r:id="rId24"/>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88177" w14:textId="77777777" w:rsidR="00D248B6" w:rsidRDefault="00D248B6" w:rsidP="00CE3F77">
      <w:r>
        <w:separator/>
      </w:r>
    </w:p>
  </w:endnote>
  <w:endnote w:type="continuationSeparator" w:id="0">
    <w:p w14:paraId="71611177" w14:textId="77777777" w:rsidR="00D248B6" w:rsidRDefault="00D248B6" w:rsidP="00CE3F77">
      <w:r>
        <w:continuationSeparator/>
      </w:r>
    </w:p>
  </w:endnote>
  <w:endnote w:type="continuationNotice" w:id="1">
    <w:p w14:paraId="6536BF24" w14:textId="77777777" w:rsidR="00D248B6" w:rsidRDefault="00D24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636957"/>
      <w:docPartObj>
        <w:docPartGallery w:val="Page Numbers (Bottom of Page)"/>
        <w:docPartUnique/>
      </w:docPartObj>
    </w:sdtPr>
    <w:sdtEndPr>
      <w:rPr>
        <w:noProof/>
      </w:rPr>
    </w:sdtEndPr>
    <w:sdtContent>
      <w:p w14:paraId="1FA70F5E" w14:textId="31DC791D" w:rsidR="00F12B07" w:rsidRDefault="00F12B0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F738DA" w14:textId="77777777" w:rsidR="00F12B07" w:rsidRDefault="00F12B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2DE9D" w14:textId="77777777" w:rsidR="00D248B6" w:rsidRDefault="00D248B6" w:rsidP="00CE3F77">
      <w:r>
        <w:separator/>
      </w:r>
    </w:p>
  </w:footnote>
  <w:footnote w:type="continuationSeparator" w:id="0">
    <w:p w14:paraId="4BF12B6E" w14:textId="77777777" w:rsidR="00D248B6" w:rsidRDefault="00D248B6" w:rsidP="00CE3F77">
      <w:r>
        <w:continuationSeparator/>
      </w:r>
    </w:p>
  </w:footnote>
  <w:footnote w:type="continuationNotice" w:id="1">
    <w:p w14:paraId="10FB749D" w14:textId="77777777" w:rsidR="00D248B6" w:rsidRDefault="00D248B6"/>
  </w:footnote>
  <w:footnote w:id="2">
    <w:p w14:paraId="7821467F" w14:textId="7B272907" w:rsidR="00A761C0" w:rsidRPr="00A761C0" w:rsidRDefault="00A761C0">
      <w:pPr>
        <w:pStyle w:val="FootnoteText"/>
        <w:rPr>
          <w:rFonts w:ascii="Calibri" w:hAnsi="Calibri" w:cs="Calibri"/>
        </w:rPr>
      </w:pPr>
      <w:r w:rsidRPr="00A761C0">
        <w:rPr>
          <w:rStyle w:val="FootnoteReference"/>
          <w:rFonts w:ascii="Calibri" w:hAnsi="Calibri" w:cs="Calibri"/>
        </w:rPr>
        <w:footnoteRef/>
      </w:r>
      <w:r w:rsidRPr="00A761C0">
        <w:rPr>
          <w:rFonts w:ascii="Calibri" w:hAnsi="Calibri" w:cs="Calibri"/>
        </w:rPr>
        <w:t xml:space="preserve"> Illinois Landscape Contractors Association estimate March 25, 2024</w:t>
      </w:r>
    </w:p>
  </w:footnote>
  <w:footnote w:id="3">
    <w:p w14:paraId="08A2D215" w14:textId="20B6EE76" w:rsidR="00A761C0" w:rsidRDefault="00A761C0">
      <w:pPr>
        <w:pStyle w:val="FootnoteText"/>
        <w:rPr>
          <w:rFonts w:asciiTheme="minorHAnsi" w:hAnsiTheme="minorHAnsi" w:cstheme="minorHAnsi"/>
        </w:rPr>
      </w:pPr>
      <w:r>
        <w:rPr>
          <w:rStyle w:val="FootnoteReference"/>
        </w:rPr>
        <w:footnoteRef/>
      </w:r>
      <w:r>
        <w:t xml:space="preserve"> </w:t>
      </w:r>
      <w:r>
        <w:rPr>
          <w:rFonts w:asciiTheme="minorHAnsi" w:hAnsiTheme="minorHAnsi" w:cstheme="minorHAnsi"/>
        </w:rPr>
        <w:t>Farmworker and Landscaper Advocacy Project estimate, March 22, 2024</w:t>
      </w:r>
    </w:p>
    <w:p w14:paraId="473197B3" w14:textId="77777777" w:rsidR="00A761C0" w:rsidRPr="00A761C0" w:rsidRDefault="00A761C0">
      <w:pPr>
        <w:pStyle w:val="FootnoteText"/>
        <w:rPr>
          <w:rFonts w:asciiTheme="minorHAnsi" w:hAnsiTheme="minorHAnsi" w:cstheme="minorHAnsi"/>
        </w:rPr>
      </w:pPr>
    </w:p>
  </w:footnote>
  <w:footnote w:id="4">
    <w:p w14:paraId="0B6A908A" w14:textId="203B8893" w:rsidR="005320A9" w:rsidRPr="003651C7" w:rsidRDefault="005320A9">
      <w:pPr>
        <w:pStyle w:val="FootnoteText"/>
        <w:rPr>
          <w:rFonts w:ascii="Calibri" w:hAnsi="Calibri" w:cs="Calibri"/>
        </w:rPr>
      </w:pPr>
      <w:r w:rsidRPr="003651C7">
        <w:rPr>
          <w:rStyle w:val="FootnoteReference"/>
          <w:rFonts w:ascii="Calibri" w:hAnsi="Calibri" w:cs="Calibri"/>
        </w:rPr>
        <w:footnoteRef/>
      </w:r>
      <w:r w:rsidR="00452407">
        <w:rPr>
          <w:rFonts w:ascii="Calibri" w:hAnsi="Calibri" w:cs="Calibri"/>
        </w:rPr>
        <w:t xml:space="preserve"> </w:t>
      </w:r>
      <w:r w:rsidRPr="003651C7">
        <w:rPr>
          <w:rFonts w:ascii="Calibri" w:hAnsi="Calibri" w:cs="Calibri"/>
        </w:rPr>
        <w:t xml:space="preserve"> </w:t>
      </w:r>
      <w:r w:rsidR="00452407" w:rsidRPr="00452407">
        <w:rPr>
          <w:rFonts w:ascii="Calibri" w:hAnsi="Calibri" w:cs="Calibri"/>
        </w:rPr>
        <w:t xml:space="preserve">Control of Ozone Precursor Emission in the Great Lakes Region </w:t>
      </w:r>
      <w:hyperlink r:id="rId1" w:history="1">
        <w:r w:rsidRPr="003651C7">
          <w:rPr>
            <w:rStyle w:val="Hyperlink"/>
            <w:rFonts w:ascii="Calibri" w:hAnsi="Calibri" w:cs="Calibri"/>
          </w:rPr>
          <w:t>https://www.ladco.org/wp-content/uploads/FinalReport_LADCO_Ozone_Emissions_Control_05Mar2021.pdf</w:t>
        </w:r>
      </w:hyperlink>
      <w:r w:rsidRPr="003651C7">
        <w:rPr>
          <w:rFonts w:ascii="Calibri" w:hAnsi="Calibri" w:cs="Calibri"/>
        </w:rPr>
        <w:t xml:space="preserve"> </w:t>
      </w:r>
    </w:p>
  </w:footnote>
  <w:footnote w:id="5">
    <w:p w14:paraId="2F480A6A" w14:textId="44FFBF8E" w:rsidR="00056EB8" w:rsidRPr="00056EB8" w:rsidRDefault="00056EB8">
      <w:pPr>
        <w:pStyle w:val="FootnoteText"/>
        <w:rPr>
          <w:rFonts w:asciiTheme="minorHAnsi" w:hAnsiTheme="minorHAnsi" w:cstheme="minorHAnsi"/>
        </w:rPr>
      </w:pPr>
      <w:r w:rsidRPr="00056EB8">
        <w:rPr>
          <w:rStyle w:val="FootnoteReference"/>
          <w:rFonts w:asciiTheme="minorHAnsi" w:hAnsiTheme="minorHAnsi" w:cstheme="minorHAnsi"/>
        </w:rPr>
        <w:footnoteRef/>
      </w:r>
      <w:r w:rsidRPr="00056EB8">
        <w:rPr>
          <w:rFonts w:asciiTheme="minorHAnsi" w:hAnsiTheme="minorHAnsi" w:cstheme="minorHAnsi"/>
        </w:rPr>
        <w:t xml:space="preserve"> American Marketing Association, How to Shift Consumer Behaviors to be More Sustainable </w:t>
      </w:r>
      <w:hyperlink r:id="rId2" w:history="1">
        <w:r w:rsidRPr="00490530">
          <w:rPr>
            <w:rStyle w:val="Hyperlink"/>
            <w:rFonts w:asciiTheme="minorHAnsi" w:hAnsiTheme="minorHAnsi" w:cstheme="minorHAnsi"/>
          </w:rPr>
          <w:t>https://journals.sagepub.com/doi/full/10.1177/00</w:t>
        </w:r>
        <w:r w:rsidRPr="00490530">
          <w:rPr>
            <w:rStyle w:val="Hyperlink"/>
            <w:rFonts w:asciiTheme="minorHAnsi" w:hAnsiTheme="minorHAnsi" w:cstheme="minorHAnsi"/>
          </w:rPr>
          <w:t>2</w:t>
        </w:r>
        <w:r w:rsidRPr="00490530">
          <w:rPr>
            <w:rStyle w:val="Hyperlink"/>
            <w:rFonts w:asciiTheme="minorHAnsi" w:hAnsiTheme="minorHAnsi" w:cstheme="minorHAnsi"/>
          </w:rPr>
          <w:t>2242919825649</w:t>
        </w:r>
      </w:hyperlink>
    </w:p>
  </w:footnote>
  <w:footnote w:id="6">
    <w:p w14:paraId="76EC81FA" w14:textId="1086331F" w:rsidR="0032126B" w:rsidRPr="0032126B" w:rsidRDefault="0032126B">
      <w:pPr>
        <w:pStyle w:val="FootnoteText"/>
        <w:rPr>
          <w:rFonts w:asciiTheme="minorHAnsi" w:hAnsiTheme="minorHAnsi" w:cstheme="minorHAnsi"/>
        </w:rPr>
      </w:pPr>
      <w:r w:rsidRPr="0032126B">
        <w:rPr>
          <w:rStyle w:val="FootnoteReference"/>
          <w:rFonts w:asciiTheme="minorHAnsi" w:hAnsiTheme="minorHAnsi" w:cstheme="minorHAnsi"/>
        </w:rPr>
        <w:footnoteRef/>
      </w:r>
      <w:r w:rsidRPr="0032126B">
        <w:rPr>
          <w:rFonts w:asciiTheme="minorHAnsi" w:hAnsiTheme="minorHAnsi" w:cstheme="minorHAnsi"/>
        </w:rPr>
        <w:t xml:space="preserve"> NALP </w:t>
      </w:r>
      <w:hyperlink r:id="rId3" w:history="1">
        <w:r w:rsidRPr="0032126B">
          <w:rPr>
            <w:rStyle w:val="Hyperlink"/>
            <w:rFonts w:asciiTheme="minorHAnsi" w:hAnsiTheme="minorHAnsi" w:cstheme="minorHAnsi"/>
          </w:rPr>
          <w:t>https://blog.landscapeprofessionals.org/inflation-re</w:t>
        </w:r>
        <w:r w:rsidRPr="0032126B">
          <w:rPr>
            <w:rStyle w:val="Hyperlink"/>
            <w:rFonts w:asciiTheme="minorHAnsi" w:hAnsiTheme="minorHAnsi" w:cstheme="minorHAnsi"/>
          </w:rPr>
          <w:t>d</w:t>
        </w:r>
        <w:r w:rsidRPr="0032126B">
          <w:rPr>
            <w:rStyle w:val="Hyperlink"/>
            <w:rFonts w:asciiTheme="minorHAnsi" w:hAnsiTheme="minorHAnsi" w:cstheme="minorHAnsi"/>
          </w:rPr>
          <w:t>uction-act-features-tax-credit-for-commercial-grade-electric-lawn-mowers/</w:t>
        </w:r>
      </w:hyperlink>
      <w:r w:rsidRPr="0032126B">
        <w:rPr>
          <w:rFonts w:asciiTheme="minorHAnsi" w:hAnsiTheme="minorHAnsi" w:cstheme="minorHAnsi"/>
        </w:rPr>
        <w:t xml:space="preserve"> March 28,2024</w:t>
      </w:r>
    </w:p>
  </w:footnote>
  <w:footnote w:id="7">
    <w:p w14:paraId="35DF0148" w14:textId="25E87CB3" w:rsidR="003F12AF" w:rsidRPr="001C210F" w:rsidRDefault="003F12AF">
      <w:pPr>
        <w:pStyle w:val="FootnoteText"/>
        <w:rPr>
          <w:rFonts w:ascii="Calibri" w:hAnsi="Calibri" w:cs="Calibri"/>
        </w:rPr>
      </w:pPr>
      <w:r w:rsidRPr="001C210F">
        <w:rPr>
          <w:rStyle w:val="FootnoteReference"/>
          <w:rFonts w:ascii="Calibri" w:hAnsi="Calibri" w:cs="Calibri"/>
        </w:rPr>
        <w:footnoteRef/>
      </w:r>
      <w:r w:rsidRPr="001C210F">
        <w:rPr>
          <w:rFonts w:ascii="Calibri" w:hAnsi="Calibri" w:cs="Calibri"/>
        </w:rPr>
        <w:t xml:space="preserve"> IBISWorld</w:t>
      </w:r>
    </w:p>
  </w:footnote>
  <w:footnote w:id="8">
    <w:p w14:paraId="73B9029B" w14:textId="3C15CF41" w:rsidR="00675AB3" w:rsidRPr="00675AB3" w:rsidRDefault="00675AB3">
      <w:pPr>
        <w:pStyle w:val="FootnoteText"/>
        <w:rPr>
          <w:rFonts w:asciiTheme="minorHAnsi" w:hAnsiTheme="minorHAnsi" w:cstheme="minorHAnsi"/>
        </w:rPr>
      </w:pPr>
      <w:r w:rsidRPr="00675AB3">
        <w:rPr>
          <w:rStyle w:val="FootnoteReference"/>
          <w:rFonts w:asciiTheme="minorHAnsi" w:hAnsiTheme="minorHAnsi" w:cstheme="minorHAnsi"/>
        </w:rPr>
        <w:footnoteRef/>
      </w:r>
      <w:r w:rsidRPr="00675AB3">
        <w:rPr>
          <w:rFonts w:asciiTheme="minorHAnsi" w:hAnsiTheme="minorHAnsi" w:cstheme="minorHAnsi"/>
        </w:rPr>
        <w:t xml:space="preserve"> See technical appendix</w:t>
      </w:r>
    </w:p>
  </w:footnote>
  <w:footnote w:id="9">
    <w:p w14:paraId="6642F528" w14:textId="2A3112EE" w:rsidR="009C219A" w:rsidRDefault="009C219A">
      <w:pPr>
        <w:pStyle w:val="FootnoteText"/>
      </w:pPr>
      <w:r>
        <w:rPr>
          <w:rStyle w:val="FootnoteReference"/>
        </w:rPr>
        <w:footnoteRef/>
      </w:r>
      <w:r>
        <w:t xml:space="preserve"> </w:t>
      </w:r>
      <w:r w:rsidR="00FD79A6">
        <w:rPr>
          <w:rFonts w:asciiTheme="minorHAnsi" w:hAnsiTheme="minorHAnsi" w:cstheme="minorHAnsi"/>
        </w:rPr>
        <w:t xml:space="preserve">OPEI March 27, </w:t>
      </w:r>
      <w:proofErr w:type="gramStart"/>
      <w:r w:rsidR="00FD79A6">
        <w:rPr>
          <w:rFonts w:asciiTheme="minorHAnsi" w:hAnsiTheme="minorHAnsi" w:cstheme="minorHAnsi"/>
        </w:rPr>
        <w:t>2024</w:t>
      </w:r>
      <w:proofErr w:type="gramEnd"/>
      <w:r w:rsidR="00FD79A6">
        <w:rPr>
          <w:rFonts w:asciiTheme="minorHAnsi" w:hAnsiTheme="minorHAnsi" w:cstheme="minorHAnsi"/>
        </w:rPr>
        <w:t xml:space="preserve"> </w:t>
      </w:r>
      <w:hyperlink r:id="rId4" w:history="1">
        <w:r w:rsidR="009949CF" w:rsidRPr="009949CF">
          <w:rPr>
            <w:rStyle w:val="Hyperlink"/>
            <w:rFonts w:asciiTheme="minorHAnsi" w:hAnsiTheme="minorHAnsi" w:cstheme="minorHAnsi"/>
          </w:rPr>
          <w:t xml:space="preserve"> https://www.opei.org/ze</w:t>
        </w:r>
        <w:r w:rsidR="009949CF" w:rsidRPr="009949CF">
          <w:rPr>
            <w:rStyle w:val="Hyperlink"/>
            <w:rFonts w:asciiTheme="minorHAnsi" w:hAnsiTheme="minorHAnsi" w:cstheme="minorHAnsi"/>
          </w:rPr>
          <w:t>r</w:t>
        </w:r>
        <w:r w:rsidR="009949CF" w:rsidRPr="009949CF">
          <w:rPr>
            <w:rStyle w:val="Hyperlink"/>
            <w:rFonts w:asciiTheme="minorHAnsi" w:hAnsiTheme="minorHAnsi" w:cstheme="minorHAnsi"/>
          </w:rPr>
          <w:t>o-emission-equipment/</w:t>
        </w:r>
      </w:hyperlink>
    </w:p>
  </w:footnote>
  <w:footnote w:id="10">
    <w:p w14:paraId="7415B28D" w14:textId="1FE1693E" w:rsidR="001F26AD" w:rsidRDefault="001F26AD" w:rsidP="001F26AD">
      <w:pPr>
        <w:pStyle w:val="FootnoteText"/>
      </w:pPr>
      <w:r w:rsidRPr="00AD7C53">
        <w:rPr>
          <w:rStyle w:val="FootnoteReference"/>
          <w:rFonts w:ascii="Calibri" w:hAnsi="Calibri" w:cs="Calibri"/>
        </w:rPr>
        <w:footnoteRef/>
      </w:r>
      <w:r w:rsidRPr="00AD7C53">
        <w:rPr>
          <w:rFonts w:ascii="Calibri" w:hAnsi="Calibri" w:cs="Calibri"/>
        </w:rPr>
        <w:t xml:space="preserve"> </w:t>
      </w:r>
      <w:hyperlink r:id="rId5" w:history="1">
        <w:r w:rsidRPr="00121F45">
          <w:rPr>
            <w:rStyle w:val="Hyperlink"/>
            <w:rFonts w:ascii="Calibri" w:hAnsi="Calibri" w:cs="Calibri"/>
          </w:rPr>
          <w:t>https://www.consumerre</w:t>
        </w:r>
        <w:r w:rsidRPr="00121F45">
          <w:rPr>
            <w:rStyle w:val="Hyperlink"/>
            <w:rFonts w:ascii="Calibri" w:hAnsi="Calibri" w:cs="Calibri"/>
          </w:rPr>
          <w:t>p</w:t>
        </w:r>
        <w:r w:rsidRPr="00121F45">
          <w:rPr>
            <w:rStyle w:val="Hyperlink"/>
            <w:rFonts w:ascii="Calibri" w:hAnsi="Calibri" w:cs="Calibri"/>
          </w:rPr>
          <w:t>orts.org/home-garden/is-now-the-time-to-switch-to-electric-outdoor-tools-a7816758525/</w:t>
        </w:r>
      </w:hyperlink>
    </w:p>
  </w:footnote>
  <w:footnote w:id="11">
    <w:p w14:paraId="7DB10325" w14:textId="07DF7396" w:rsidR="00AD7C53" w:rsidRPr="00AD7C53" w:rsidRDefault="00AD7C53">
      <w:pPr>
        <w:pStyle w:val="FootnoteText"/>
        <w:rPr>
          <w:rFonts w:ascii="Calibri" w:hAnsi="Calibri" w:cs="Calibri"/>
        </w:rPr>
      </w:pPr>
      <w:r w:rsidRPr="00AD7C53">
        <w:rPr>
          <w:rStyle w:val="FootnoteReference"/>
          <w:rFonts w:ascii="Calibri" w:hAnsi="Calibri" w:cs="Calibri"/>
        </w:rPr>
        <w:footnoteRef/>
      </w:r>
      <w:r w:rsidRPr="00AD7C53">
        <w:rPr>
          <w:rFonts w:ascii="Calibri" w:hAnsi="Calibri" w:cs="Calibri"/>
        </w:rPr>
        <w:t xml:space="preserve"> Confidential industry interview, March 22, 2024</w:t>
      </w:r>
    </w:p>
  </w:footnote>
  <w:footnote w:id="12">
    <w:p w14:paraId="01CBC127" w14:textId="05FA5A79" w:rsidR="009A7BB6" w:rsidRDefault="009A7BB6">
      <w:pPr>
        <w:pStyle w:val="FootnoteText"/>
      </w:pPr>
      <w:r>
        <w:rPr>
          <w:rStyle w:val="FootnoteReference"/>
        </w:rPr>
        <w:footnoteRef/>
      </w:r>
      <w:r>
        <w:t xml:space="preserve"> </w:t>
      </w:r>
      <w:r w:rsidRPr="009A7BB6">
        <w:rPr>
          <w:rFonts w:asciiTheme="minorHAnsi" w:hAnsiTheme="minorHAnsi" w:cstheme="minorHAnsi"/>
        </w:rPr>
        <w:t xml:space="preserve">The Week, </w:t>
      </w:r>
      <w:hyperlink r:id="rId6" w:history="1"/>
      <w:r w:rsidR="00490530">
        <w:rPr>
          <w:rFonts w:asciiTheme="minorHAnsi" w:hAnsiTheme="minorHAnsi" w:cstheme="minorHAnsi"/>
        </w:rPr>
        <w:t xml:space="preserve"> </w:t>
      </w:r>
      <w:r w:rsidRPr="009A7BB6">
        <w:rPr>
          <w:rFonts w:asciiTheme="minorHAnsi" w:hAnsiTheme="minorHAnsi" w:cstheme="minorHAnsi"/>
        </w:rPr>
        <w:t xml:space="preserve"> </w:t>
      </w:r>
      <w:hyperlink r:id="rId7" w:history="1">
        <w:r w:rsidR="00490530" w:rsidRPr="00490530">
          <w:rPr>
            <w:rStyle w:val="Hyperlink"/>
            <w:rFonts w:asciiTheme="minorHAnsi" w:hAnsiTheme="minorHAnsi" w:cstheme="minorHAnsi"/>
          </w:rPr>
          <w:t>https://</w:t>
        </w:r>
        <w:r w:rsidR="00490530" w:rsidRPr="00490530">
          <w:rPr>
            <w:rStyle w:val="Hyperlink"/>
            <w:rFonts w:asciiTheme="minorHAnsi" w:hAnsiTheme="minorHAnsi" w:cstheme="minorHAnsi"/>
          </w:rPr>
          <w:t>t</w:t>
        </w:r>
        <w:r w:rsidR="00490530" w:rsidRPr="00490530">
          <w:rPr>
            <w:rStyle w:val="Hyperlink"/>
            <w:rFonts w:asciiTheme="minorHAnsi" w:hAnsiTheme="minorHAnsi" w:cstheme="minorHAnsi"/>
          </w:rPr>
          <w:t>heweek.com/in-depth/1025685/6-ways-the-inflation-reduction-act-changed-america-and-the-world-in-1-year</w:t>
        </w:r>
      </w:hyperlink>
    </w:p>
  </w:footnote>
  <w:footnote w:id="13">
    <w:p w14:paraId="4130B894" w14:textId="3A32268E" w:rsidR="00713CC7" w:rsidRDefault="00713CC7" w:rsidP="00713CC7">
      <w:pPr>
        <w:pStyle w:val="FootnoteText"/>
      </w:pPr>
      <w:r w:rsidRPr="00AD7C53">
        <w:rPr>
          <w:rStyle w:val="FootnoteReference"/>
          <w:rFonts w:ascii="Calibri" w:hAnsi="Calibri" w:cs="Calibri"/>
        </w:rPr>
        <w:footnoteRef/>
      </w:r>
      <w:r w:rsidRPr="00AD7C53">
        <w:rPr>
          <w:rFonts w:ascii="Calibri" w:hAnsi="Calibri" w:cs="Calibri"/>
        </w:rPr>
        <w:t xml:space="preserve"> </w:t>
      </w:r>
      <w:r w:rsidR="00490530">
        <w:rPr>
          <w:rFonts w:ascii="Calibri" w:hAnsi="Calibri" w:cs="Calibri"/>
        </w:rPr>
        <w:t xml:space="preserve"> Consumer Report </w:t>
      </w:r>
      <w:hyperlink r:id="rId8" w:history="1">
        <w:r w:rsidR="00490530" w:rsidRPr="00490530">
          <w:rPr>
            <w:rStyle w:val="Hyperlink"/>
            <w:rFonts w:ascii="Calibri" w:hAnsi="Calibri" w:cs="Calibri"/>
          </w:rPr>
          <w:t>https://www.consumerreports.org/home-garden/is-now-the-time-to-switch-to-electric-outdoor-tools-a78167</w:t>
        </w:r>
        <w:r w:rsidR="00490530" w:rsidRPr="00490530">
          <w:rPr>
            <w:rStyle w:val="Hyperlink"/>
            <w:rFonts w:ascii="Calibri" w:hAnsi="Calibri" w:cs="Calibri"/>
          </w:rPr>
          <w:t>5</w:t>
        </w:r>
        <w:r w:rsidR="00490530" w:rsidRPr="00490530">
          <w:rPr>
            <w:rStyle w:val="Hyperlink"/>
            <w:rFonts w:ascii="Calibri" w:hAnsi="Calibri" w:cs="Calibri"/>
          </w:rPr>
          <w:t>8525/</w:t>
        </w:r>
      </w:hyperlink>
      <w:r w:rsidR="00490530">
        <w:rPr>
          <w:rFonts w:ascii="Calibri" w:hAnsi="Calibri" w:cs="Calibri"/>
        </w:rPr>
        <w:t>, May 27, 2023</w:t>
      </w:r>
    </w:p>
  </w:footnote>
  <w:footnote w:id="14">
    <w:p w14:paraId="2F7FF630" w14:textId="55E0E20F" w:rsidR="00027E94" w:rsidRPr="00EE16C7" w:rsidRDefault="00027E94">
      <w:pPr>
        <w:pStyle w:val="FootnoteText"/>
        <w:rPr>
          <w:rFonts w:asciiTheme="minorHAnsi" w:hAnsiTheme="minorHAnsi" w:cstheme="minorHAnsi"/>
        </w:rPr>
      </w:pPr>
      <w:r w:rsidRPr="00EE16C7">
        <w:rPr>
          <w:rStyle w:val="FootnoteReference"/>
          <w:rFonts w:asciiTheme="minorHAnsi" w:hAnsiTheme="minorHAnsi" w:cstheme="minorHAnsi"/>
        </w:rPr>
        <w:footnoteRef/>
      </w:r>
      <w:r w:rsidRPr="00EE16C7">
        <w:rPr>
          <w:rFonts w:asciiTheme="minorHAnsi" w:hAnsiTheme="minorHAnsi" w:cstheme="minorHAnsi"/>
        </w:rPr>
        <w:t xml:space="preserve"> Outdoor Power Equipment Institute </w:t>
      </w:r>
      <w:hyperlink r:id="rId9" w:history="1">
        <w:r w:rsidRPr="00EE16C7">
          <w:rPr>
            <w:rStyle w:val="Hyperlink"/>
            <w:rFonts w:asciiTheme="minorHAnsi" w:hAnsiTheme="minorHAnsi" w:cstheme="minorHAnsi"/>
          </w:rPr>
          <w:t>https://www.opei.org/zero-emission-equipment/</w:t>
        </w:r>
      </w:hyperlink>
      <w:r w:rsidRPr="00EE16C7">
        <w:rPr>
          <w:rFonts w:asciiTheme="minorHAnsi" w:hAnsiTheme="minorHAnsi" w:cstheme="minorHAnsi"/>
        </w:rPr>
        <w:t xml:space="preserve"> March 28, 2024</w:t>
      </w:r>
    </w:p>
  </w:footnote>
  <w:footnote w:id="15">
    <w:p w14:paraId="68C5D591" w14:textId="715BB596" w:rsidR="00E92C8D" w:rsidRDefault="00E92C8D">
      <w:pPr>
        <w:pStyle w:val="FootnoteText"/>
      </w:pPr>
      <w:r w:rsidRPr="00EE16C7">
        <w:rPr>
          <w:rStyle w:val="FootnoteReference"/>
          <w:rFonts w:asciiTheme="minorHAnsi" w:hAnsiTheme="minorHAnsi" w:cstheme="minorHAnsi"/>
        </w:rPr>
        <w:footnoteRef/>
      </w:r>
      <w:r w:rsidRPr="00EE16C7">
        <w:rPr>
          <w:rFonts w:asciiTheme="minorHAnsi" w:hAnsiTheme="minorHAnsi" w:cstheme="minorHAnsi"/>
        </w:rPr>
        <w:t xml:space="preserve"> USEPA </w:t>
      </w:r>
      <w:hyperlink r:id="rId10" w:history="1">
        <w:r w:rsidRPr="00EE16C7">
          <w:rPr>
            <w:rStyle w:val="Hyperlink"/>
            <w:rFonts w:asciiTheme="minorHAnsi" w:hAnsiTheme="minorHAnsi" w:cstheme="minorHAnsi"/>
          </w:rPr>
          <w:t>Median Life, Annual Activity, and Load Factor Values for Nonroad Engine Emissions Modeling NR-005c</w:t>
        </w:r>
      </w:hyperlink>
    </w:p>
  </w:footnote>
  <w:footnote w:id="16">
    <w:p w14:paraId="3D9F0661" w14:textId="5D0DA3C2" w:rsidR="00C80FC3" w:rsidRPr="00C80FC3" w:rsidRDefault="00C80FC3">
      <w:pPr>
        <w:pStyle w:val="FootnoteText"/>
        <w:rPr>
          <w:rFonts w:ascii="Calibri" w:hAnsi="Calibri" w:cs="Calibri"/>
        </w:rPr>
      </w:pPr>
      <w:r w:rsidRPr="00C80FC3">
        <w:rPr>
          <w:rStyle w:val="FootnoteReference"/>
          <w:rFonts w:ascii="Calibri" w:hAnsi="Calibri" w:cs="Calibri"/>
        </w:rPr>
        <w:footnoteRef/>
      </w:r>
      <w:r w:rsidRPr="00C80FC3">
        <w:rPr>
          <w:rFonts w:ascii="Calibri" w:hAnsi="Calibri" w:cs="Calibri"/>
        </w:rPr>
        <w:t xml:space="preserve"> CA CORE </w:t>
      </w:r>
      <w:hyperlink r:id="rId11" w:history="1">
        <w:r w:rsidRPr="00C80FC3">
          <w:rPr>
            <w:rStyle w:val="Hyperlink"/>
            <w:rFonts w:ascii="Calibri" w:hAnsi="Calibri" w:cs="Calibri"/>
          </w:rPr>
          <w:t>https://californiacore.org/resources-professional-landscape/</w:t>
        </w:r>
      </w:hyperlink>
      <w:r w:rsidRPr="00C80FC3">
        <w:rPr>
          <w:rFonts w:ascii="Calibri" w:hAnsi="Calibri" w:cs="Calibri"/>
        </w:rPr>
        <w:t xml:space="preserve"> 3/39/2024</w:t>
      </w:r>
    </w:p>
  </w:footnote>
  <w:footnote w:id="17">
    <w:p w14:paraId="087233ED" w14:textId="33387B88" w:rsidR="004355BC" w:rsidRPr="004355BC" w:rsidRDefault="004355BC">
      <w:pPr>
        <w:pStyle w:val="FootnoteText"/>
        <w:rPr>
          <w:rFonts w:ascii="Calibri" w:hAnsi="Calibri" w:cs="Calibri"/>
        </w:rPr>
      </w:pPr>
      <w:r w:rsidRPr="004355BC">
        <w:rPr>
          <w:rStyle w:val="FootnoteReference"/>
          <w:rFonts w:ascii="Calibri" w:hAnsi="Calibri" w:cs="Calibri"/>
        </w:rPr>
        <w:footnoteRef/>
      </w:r>
      <w:r w:rsidRPr="004355BC">
        <w:rPr>
          <w:rFonts w:ascii="Calibri" w:hAnsi="Calibri" w:cs="Calibri"/>
        </w:rPr>
        <w:t xml:space="preserve"> FLAP services areas </w:t>
      </w:r>
      <w:hyperlink r:id="rId12" w:history="1">
        <w:r w:rsidRPr="004355BC">
          <w:rPr>
            <w:rStyle w:val="Hyperlink"/>
            <w:rFonts w:ascii="Calibri" w:hAnsi="Calibri" w:cs="Calibri"/>
          </w:rPr>
          <w:t>https://www.flapillinois.org/</w:t>
        </w:r>
      </w:hyperlink>
      <w:r w:rsidRPr="004355BC">
        <w:rPr>
          <w:rFonts w:ascii="Calibri" w:hAnsi="Calibri" w:cs="Calibri"/>
        </w:rPr>
        <w:t xml:space="preserve"> March 30, 2024</w:t>
      </w:r>
    </w:p>
  </w:footnote>
  <w:footnote w:id="18">
    <w:p w14:paraId="2441B36D" w14:textId="398A3A1C" w:rsidR="003D479D" w:rsidRPr="003D479D" w:rsidRDefault="003D479D">
      <w:pPr>
        <w:pStyle w:val="FootnoteText"/>
        <w:rPr>
          <w:rFonts w:asciiTheme="minorHAnsi" w:hAnsiTheme="minorHAnsi" w:cstheme="minorHAnsi"/>
        </w:rPr>
      </w:pPr>
      <w:r w:rsidRPr="003D479D">
        <w:rPr>
          <w:rStyle w:val="FootnoteReference"/>
          <w:rFonts w:asciiTheme="minorHAnsi" w:hAnsiTheme="minorHAnsi" w:cstheme="minorHAnsi"/>
        </w:rPr>
        <w:footnoteRef/>
      </w:r>
      <w:r w:rsidRPr="003D479D">
        <w:rPr>
          <w:rFonts w:asciiTheme="minorHAnsi" w:hAnsiTheme="minorHAnsi" w:cstheme="minorHAnsi"/>
        </w:rPr>
        <w:t xml:space="preserve"> Characteristics of Lawn and Garden Equipment Sounds: A Community Pilot Study, HHS </w:t>
      </w:r>
      <w:hyperlink r:id="rId13" w:history="1">
        <w:r w:rsidRPr="00921FFE">
          <w:rPr>
            <w:rStyle w:val="Hyperlink"/>
            <w:rFonts w:asciiTheme="minorHAnsi" w:hAnsiTheme="minorHAnsi" w:cstheme="minorHAnsi"/>
          </w:rPr>
          <w:t>https://www.ncbi.nlm.nih.gov/pmc/article</w:t>
        </w:r>
        <w:r w:rsidRPr="00921FFE">
          <w:rPr>
            <w:rStyle w:val="Hyperlink"/>
            <w:rFonts w:asciiTheme="minorHAnsi" w:hAnsiTheme="minorHAnsi" w:cstheme="minorHAnsi"/>
          </w:rPr>
          <w:t>s</w:t>
        </w:r>
        <w:r w:rsidRPr="00921FFE">
          <w:rPr>
            <w:rStyle w:val="Hyperlink"/>
            <w:rFonts w:asciiTheme="minorHAnsi" w:hAnsiTheme="minorHAnsi" w:cstheme="minorHAnsi"/>
          </w:rPr>
          <w:t>/PMC6707732/pdf/nihms-925177.pdf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E0C02"/>
    <w:multiLevelType w:val="hybridMultilevel"/>
    <w:tmpl w:val="9F98F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44DC5"/>
    <w:multiLevelType w:val="hybridMultilevel"/>
    <w:tmpl w:val="2F506F56"/>
    <w:lvl w:ilvl="0" w:tplc="04090001">
      <w:start w:val="1"/>
      <w:numFmt w:val="bullet"/>
      <w:lvlText w:val=""/>
      <w:lvlJc w:val="left"/>
      <w:pPr>
        <w:ind w:left="9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 w15:restartNumberingAfterBreak="0">
    <w:nsid w:val="02953A92"/>
    <w:multiLevelType w:val="hybridMultilevel"/>
    <w:tmpl w:val="80B0608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2223AF"/>
    <w:multiLevelType w:val="hybridMultilevel"/>
    <w:tmpl w:val="2F705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275793"/>
    <w:multiLevelType w:val="hybridMultilevel"/>
    <w:tmpl w:val="E5BAC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801F2C"/>
    <w:multiLevelType w:val="hybridMultilevel"/>
    <w:tmpl w:val="A75E6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E92A79"/>
    <w:multiLevelType w:val="hybridMultilevel"/>
    <w:tmpl w:val="4718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9E6033"/>
    <w:multiLevelType w:val="hybridMultilevel"/>
    <w:tmpl w:val="ACC0E6C8"/>
    <w:lvl w:ilvl="0" w:tplc="FFFFFFF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Segoe UI" w:hAnsi="Segoe UI" w:cs="Segoe UI" w:hint="default"/>
      </w:rPr>
    </w:lvl>
    <w:lvl w:ilvl="2" w:tplc="FFFFFFFF" w:tentative="1">
      <w:start w:val="1"/>
      <w:numFmt w:val="bullet"/>
      <w:lvlText w:val=""/>
      <w:lvlJc w:val="left"/>
      <w:pPr>
        <w:ind w:left="3240" w:hanging="360"/>
      </w:pPr>
      <w:rPr>
        <w:rFonts w:ascii="Calibri" w:hAnsi="Calibri" w:hint="default"/>
      </w:rPr>
    </w:lvl>
    <w:lvl w:ilvl="3" w:tplc="FFFFFFFF" w:tentative="1">
      <w:start w:val="1"/>
      <w:numFmt w:val="bullet"/>
      <w:lvlText w:val=""/>
      <w:lvlJc w:val="left"/>
      <w:pPr>
        <w:ind w:left="3960" w:hanging="360"/>
      </w:pPr>
      <w:rPr>
        <w:rFonts w:ascii="Cambria Math" w:hAnsi="Cambria Math" w:hint="default"/>
      </w:rPr>
    </w:lvl>
    <w:lvl w:ilvl="4" w:tplc="FFFFFFFF" w:tentative="1">
      <w:start w:val="1"/>
      <w:numFmt w:val="bullet"/>
      <w:lvlText w:val="o"/>
      <w:lvlJc w:val="left"/>
      <w:pPr>
        <w:ind w:left="4680" w:hanging="360"/>
      </w:pPr>
      <w:rPr>
        <w:rFonts w:ascii="Segoe UI" w:hAnsi="Segoe UI" w:cs="Segoe UI" w:hint="default"/>
      </w:rPr>
    </w:lvl>
    <w:lvl w:ilvl="5" w:tplc="FFFFFFFF" w:tentative="1">
      <w:start w:val="1"/>
      <w:numFmt w:val="bullet"/>
      <w:lvlText w:val=""/>
      <w:lvlJc w:val="left"/>
      <w:pPr>
        <w:ind w:left="5400" w:hanging="360"/>
      </w:pPr>
      <w:rPr>
        <w:rFonts w:ascii="Calibri" w:hAnsi="Calibri" w:hint="default"/>
      </w:rPr>
    </w:lvl>
    <w:lvl w:ilvl="6" w:tplc="FFFFFFFF" w:tentative="1">
      <w:start w:val="1"/>
      <w:numFmt w:val="bullet"/>
      <w:lvlText w:val=""/>
      <w:lvlJc w:val="left"/>
      <w:pPr>
        <w:ind w:left="6120" w:hanging="360"/>
      </w:pPr>
      <w:rPr>
        <w:rFonts w:ascii="Cambria Math" w:hAnsi="Cambria Math" w:hint="default"/>
      </w:rPr>
    </w:lvl>
    <w:lvl w:ilvl="7" w:tplc="FFFFFFFF" w:tentative="1">
      <w:start w:val="1"/>
      <w:numFmt w:val="bullet"/>
      <w:lvlText w:val="o"/>
      <w:lvlJc w:val="left"/>
      <w:pPr>
        <w:ind w:left="6840" w:hanging="360"/>
      </w:pPr>
      <w:rPr>
        <w:rFonts w:ascii="Segoe UI" w:hAnsi="Segoe UI" w:cs="Segoe UI" w:hint="default"/>
      </w:rPr>
    </w:lvl>
    <w:lvl w:ilvl="8" w:tplc="FFFFFFFF" w:tentative="1">
      <w:start w:val="1"/>
      <w:numFmt w:val="bullet"/>
      <w:lvlText w:val=""/>
      <w:lvlJc w:val="left"/>
      <w:pPr>
        <w:ind w:left="7560" w:hanging="360"/>
      </w:pPr>
      <w:rPr>
        <w:rFonts w:ascii="Calibri" w:hAnsi="Calibri" w:hint="default"/>
      </w:rPr>
    </w:lvl>
  </w:abstractNum>
  <w:abstractNum w:abstractNumId="8" w15:restartNumberingAfterBreak="0">
    <w:nsid w:val="25902F35"/>
    <w:multiLevelType w:val="hybridMultilevel"/>
    <w:tmpl w:val="7A86F8A8"/>
    <w:lvl w:ilvl="0" w:tplc="DC0419CC">
      <w:start w:val="1"/>
      <w:numFmt w:val="bullet"/>
      <w:lvlText w:val=""/>
      <w:lvlJc w:val="left"/>
      <w:pPr>
        <w:ind w:left="1440" w:hanging="360"/>
      </w:pPr>
      <w:rPr>
        <w:rFonts w:ascii="Symbol" w:hAnsi="Symbol"/>
      </w:rPr>
    </w:lvl>
    <w:lvl w:ilvl="1" w:tplc="0770D518">
      <w:start w:val="1"/>
      <w:numFmt w:val="bullet"/>
      <w:lvlText w:val=""/>
      <w:lvlJc w:val="left"/>
      <w:pPr>
        <w:ind w:left="1440" w:hanging="360"/>
      </w:pPr>
      <w:rPr>
        <w:rFonts w:ascii="Symbol" w:hAnsi="Symbol"/>
      </w:rPr>
    </w:lvl>
    <w:lvl w:ilvl="2" w:tplc="9C4CB350">
      <w:start w:val="1"/>
      <w:numFmt w:val="bullet"/>
      <w:lvlText w:val=""/>
      <w:lvlJc w:val="left"/>
      <w:pPr>
        <w:ind w:left="1440" w:hanging="360"/>
      </w:pPr>
      <w:rPr>
        <w:rFonts w:ascii="Symbol" w:hAnsi="Symbol"/>
      </w:rPr>
    </w:lvl>
    <w:lvl w:ilvl="3" w:tplc="8338731E">
      <w:start w:val="1"/>
      <w:numFmt w:val="bullet"/>
      <w:lvlText w:val=""/>
      <w:lvlJc w:val="left"/>
      <w:pPr>
        <w:ind w:left="1440" w:hanging="360"/>
      </w:pPr>
      <w:rPr>
        <w:rFonts w:ascii="Symbol" w:hAnsi="Symbol"/>
      </w:rPr>
    </w:lvl>
    <w:lvl w:ilvl="4" w:tplc="E3D033A4">
      <w:start w:val="1"/>
      <w:numFmt w:val="bullet"/>
      <w:lvlText w:val=""/>
      <w:lvlJc w:val="left"/>
      <w:pPr>
        <w:ind w:left="1440" w:hanging="360"/>
      </w:pPr>
      <w:rPr>
        <w:rFonts w:ascii="Symbol" w:hAnsi="Symbol"/>
      </w:rPr>
    </w:lvl>
    <w:lvl w:ilvl="5" w:tplc="66F682FA">
      <w:start w:val="1"/>
      <w:numFmt w:val="bullet"/>
      <w:lvlText w:val=""/>
      <w:lvlJc w:val="left"/>
      <w:pPr>
        <w:ind w:left="1440" w:hanging="360"/>
      </w:pPr>
      <w:rPr>
        <w:rFonts w:ascii="Symbol" w:hAnsi="Symbol"/>
      </w:rPr>
    </w:lvl>
    <w:lvl w:ilvl="6" w:tplc="50D6B47C">
      <w:start w:val="1"/>
      <w:numFmt w:val="bullet"/>
      <w:lvlText w:val=""/>
      <w:lvlJc w:val="left"/>
      <w:pPr>
        <w:ind w:left="1440" w:hanging="360"/>
      </w:pPr>
      <w:rPr>
        <w:rFonts w:ascii="Symbol" w:hAnsi="Symbol"/>
      </w:rPr>
    </w:lvl>
    <w:lvl w:ilvl="7" w:tplc="9F2CE6A4">
      <w:start w:val="1"/>
      <w:numFmt w:val="bullet"/>
      <w:lvlText w:val=""/>
      <w:lvlJc w:val="left"/>
      <w:pPr>
        <w:ind w:left="1440" w:hanging="360"/>
      </w:pPr>
      <w:rPr>
        <w:rFonts w:ascii="Symbol" w:hAnsi="Symbol"/>
      </w:rPr>
    </w:lvl>
    <w:lvl w:ilvl="8" w:tplc="D598AD62">
      <w:start w:val="1"/>
      <w:numFmt w:val="bullet"/>
      <w:lvlText w:val=""/>
      <w:lvlJc w:val="left"/>
      <w:pPr>
        <w:ind w:left="1440" w:hanging="360"/>
      </w:pPr>
      <w:rPr>
        <w:rFonts w:ascii="Symbol" w:hAnsi="Symbol"/>
      </w:rPr>
    </w:lvl>
  </w:abstractNum>
  <w:abstractNum w:abstractNumId="9" w15:restartNumberingAfterBreak="0">
    <w:nsid w:val="26803E11"/>
    <w:multiLevelType w:val="hybridMultilevel"/>
    <w:tmpl w:val="F5BE23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C862C3"/>
    <w:multiLevelType w:val="hybridMultilevel"/>
    <w:tmpl w:val="1ED05A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BC1887"/>
    <w:multiLevelType w:val="hybridMultilevel"/>
    <w:tmpl w:val="4356B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D644C1"/>
    <w:multiLevelType w:val="hybridMultilevel"/>
    <w:tmpl w:val="A8508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437809"/>
    <w:multiLevelType w:val="hybridMultilevel"/>
    <w:tmpl w:val="24BC8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F458A8"/>
    <w:multiLevelType w:val="hybridMultilevel"/>
    <w:tmpl w:val="3ABCB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507356"/>
    <w:multiLevelType w:val="hybridMultilevel"/>
    <w:tmpl w:val="D3028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F71FD9"/>
    <w:multiLevelType w:val="hybridMultilevel"/>
    <w:tmpl w:val="F6524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4A3E11"/>
    <w:multiLevelType w:val="hybridMultilevel"/>
    <w:tmpl w:val="85D84AF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59752CB3"/>
    <w:multiLevelType w:val="hybridMultilevel"/>
    <w:tmpl w:val="7276A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EC4CC6"/>
    <w:multiLevelType w:val="hybridMultilevel"/>
    <w:tmpl w:val="E8F6AE0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79417C5"/>
    <w:multiLevelType w:val="hybridMultilevel"/>
    <w:tmpl w:val="194618E6"/>
    <w:lvl w:ilvl="0" w:tplc="71147F20">
      <w:start w:val="1"/>
      <w:numFmt w:val="bullet"/>
      <w:lvlText w:val=""/>
      <w:lvlJc w:val="left"/>
      <w:pPr>
        <w:ind w:left="720" w:hanging="360"/>
      </w:pPr>
      <w:rPr>
        <w:rFonts w:ascii="Symbol" w:hAnsi="Symbol" w:hint="default"/>
      </w:rPr>
    </w:lvl>
    <w:lvl w:ilvl="1" w:tplc="8200B8E6">
      <w:start w:val="1"/>
      <w:numFmt w:val="bullet"/>
      <w:lvlText w:val="o"/>
      <w:lvlJc w:val="left"/>
      <w:pPr>
        <w:ind w:left="1440" w:hanging="360"/>
      </w:pPr>
      <w:rPr>
        <w:rFonts w:ascii="Courier New" w:hAnsi="Courier New" w:hint="default"/>
      </w:rPr>
    </w:lvl>
    <w:lvl w:ilvl="2" w:tplc="F4481B28">
      <w:start w:val="1"/>
      <w:numFmt w:val="bullet"/>
      <w:lvlText w:val=""/>
      <w:lvlJc w:val="left"/>
      <w:pPr>
        <w:ind w:left="2160" w:hanging="360"/>
      </w:pPr>
      <w:rPr>
        <w:rFonts w:ascii="Wingdings" w:hAnsi="Wingdings" w:hint="default"/>
      </w:rPr>
    </w:lvl>
    <w:lvl w:ilvl="3" w:tplc="3AD42F8A">
      <w:start w:val="1"/>
      <w:numFmt w:val="bullet"/>
      <w:lvlText w:val=""/>
      <w:lvlJc w:val="left"/>
      <w:pPr>
        <w:ind w:left="2880" w:hanging="360"/>
      </w:pPr>
      <w:rPr>
        <w:rFonts w:ascii="Symbol" w:hAnsi="Symbol" w:hint="default"/>
      </w:rPr>
    </w:lvl>
    <w:lvl w:ilvl="4" w:tplc="51E07E62">
      <w:start w:val="1"/>
      <w:numFmt w:val="bullet"/>
      <w:lvlText w:val="o"/>
      <w:lvlJc w:val="left"/>
      <w:pPr>
        <w:ind w:left="3600" w:hanging="360"/>
      </w:pPr>
      <w:rPr>
        <w:rFonts w:ascii="Courier New" w:hAnsi="Courier New" w:hint="default"/>
      </w:rPr>
    </w:lvl>
    <w:lvl w:ilvl="5" w:tplc="07F6C492">
      <w:start w:val="1"/>
      <w:numFmt w:val="bullet"/>
      <w:lvlText w:val=""/>
      <w:lvlJc w:val="left"/>
      <w:pPr>
        <w:ind w:left="4320" w:hanging="360"/>
      </w:pPr>
      <w:rPr>
        <w:rFonts w:ascii="Wingdings" w:hAnsi="Wingdings" w:hint="default"/>
      </w:rPr>
    </w:lvl>
    <w:lvl w:ilvl="6" w:tplc="BC72E4FA">
      <w:start w:val="1"/>
      <w:numFmt w:val="bullet"/>
      <w:lvlText w:val=""/>
      <w:lvlJc w:val="left"/>
      <w:pPr>
        <w:ind w:left="5040" w:hanging="360"/>
      </w:pPr>
      <w:rPr>
        <w:rFonts w:ascii="Symbol" w:hAnsi="Symbol" w:hint="default"/>
      </w:rPr>
    </w:lvl>
    <w:lvl w:ilvl="7" w:tplc="F4C6DD56">
      <w:start w:val="1"/>
      <w:numFmt w:val="bullet"/>
      <w:lvlText w:val="o"/>
      <w:lvlJc w:val="left"/>
      <w:pPr>
        <w:ind w:left="5760" w:hanging="360"/>
      </w:pPr>
      <w:rPr>
        <w:rFonts w:ascii="Courier New" w:hAnsi="Courier New" w:hint="default"/>
      </w:rPr>
    </w:lvl>
    <w:lvl w:ilvl="8" w:tplc="CB063BFE">
      <w:start w:val="1"/>
      <w:numFmt w:val="bullet"/>
      <w:lvlText w:val=""/>
      <w:lvlJc w:val="left"/>
      <w:pPr>
        <w:ind w:left="6480" w:hanging="360"/>
      </w:pPr>
      <w:rPr>
        <w:rFonts w:ascii="Wingdings" w:hAnsi="Wingdings" w:hint="default"/>
      </w:rPr>
    </w:lvl>
  </w:abstractNum>
  <w:abstractNum w:abstractNumId="21" w15:restartNumberingAfterBreak="0">
    <w:nsid w:val="692E6275"/>
    <w:multiLevelType w:val="hybridMultilevel"/>
    <w:tmpl w:val="8314F8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8D114C"/>
    <w:multiLevelType w:val="hybridMultilevel"/>
    <w:tmpl w:val="62B2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6532D8"/>
    <w:multiLevelType w:val="hybridMultilevel"/>
    <w:tmpl w:val="6B58789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8360480"/>
    <w:multiLevelType w:val="multilevel"/>
    <w:tmpl w:val="A7C6CF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1429568">
    <w:abstractNumId w:val="20"/>
  </w:num>
  <w:num w:numId="2" w16cid:durableId="2107456427">
    <w:abstractNumId w:val="17"/>
  </w:num>
  <w:num w:numId="3" w16cid:durableId="1196382338">
    <w:abstractNumId w:val="22"/>
  </w:num>
  <w:num w:numId="4" w16cid:durableId="1310938086">
    <w:abstractNumId w:val="12"/>
  </w:num>
  <w:num w:numId="5" w16cid:durableId="511337782">
    <w:abstractNumId w:val="14"/>
  </w:num>
  <w:num w:numId="6" w16cid:durableId="1565293774">
    <w:abstractNumId w:val="23"/>
  </w:num>
  <w:num w:numId="7" w16cid:durableId="1600718622">
    <w:abstractNumId w:val="18"/>
  </w:num>
  <w:num w:numId="8" w16cid:durableId="467284093">
    <w:abstractNumId w:val="19"/>
  </w:num>
  <w:num w:numId="9" w16cid:durableId="1878472426">
    <w:abstractNumId w:val="9"/>
  </w:num>
  <w:num w:numId="10" w16cid:durableId="1785660500">
    <w:abstractNumId w:val="10"/>
  </w:num>
  <w:num w:numId="11" w16cid:durableId="628704183">
    <w:abstractNumId w:val="13"/>
  </w:num>
  <w:num w:numId="12" w16cid:durableId="923219495">
    <w:abstractNumId w:val="7"/>
  </w:num>
  <w:num w:numId="13" w16cid:durableId="2043625741">
    <w:abstractNumId w:val="5"/>
  </w:num>
  <w:num w:numId="14" w16cid:durableId="1914243075">
    <w:abstractNumId w:val="6"/>
  </w:num>
  <w:num w:numId="15" w16cid:durableId="1911234593">
    <w:abstractNumId w:val="21"/>
  </w:num>
  <w:num w:numId="16" w16cid:durableId="426466527">
    <w:abstractNumId w:val="11"/>
  </w:num>
  <w:num w:numId="17" w16cid:durableId="905842857">
    <w:abstractNumId w:val="15"/>
  </w:num>
  <w:num w:numId="18" w16cid:durableId="697127056">
    <w:abstractNumId w:val="25"/>
  </w:num>
  <w:num w:numId="19" w16cid:durableId="1121723453">
    <w:abstractNumId w:val="2"/>
  </w:num>
  <w:num w:numId="20" w16cid:durableId="1919904832">
    <w:abstractNumId w:val="3"/>
  </w:num>
  <w:num w:numId="21" w16cid:durableId="1155102316">
    <w:abstractNumId w:val="1"/>
  </w:num>
  <w:num w:numId="22" w16cid:durableId="1327853904">
    <w:abstractNumId w:val="24"/>
  </w:num>
  <w:num w:numId="23" w16cid:durableId="244068654">
    <w:abstractNumId w:val="0"/>
  </w:num>
  <w:num w:numId="24" w16cid:durableId="1236664805">
    <w:abstractNumId w:val="16"/>
  </w:num>
  <w:num w:numId="25" w16cid:durableId="2019845814">
    <w:abstractNumId w:val="4"/>
  </w:num>
  <w:num w:numId="26" w16cid:durableId="20617839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F4"/>
    <w:rsid w:val="00004518"/>
    <w:rsid w:val="00004E1A"/>
    <w:rsid w:val="00007066"/>
    <w:rsid w:val="00010FA9"/>
    <w:rsid w:val="00015C3A"/>
    <w:rsid w:val="000169B3"/>
    <w:rsid w:val="00020380"/>
    <w:rsid w:val="00025687"/>
    <w:rsid w:val="00027E94"/>
    <w:rsid w:val="00030461"/>
    <w:rsid w:val="000329BB"/>
    <w:rsid w:val="00036F8A"/>
    <w:rsid w:val="000379BA"/>
    <w:rsid w:val="00037B8A"/>
    <w:rsid w:val="00041DD0"/>
    <w:rsid w:val="000455B2"/>
    <w:rsid w:val="00050963"/>
    <w:rsid w:val="000524EF"/>
    <w:rsid w:val="00056638"/>
    <w:rsid w:val="00056EB8"/>
    <w:rsid w:val="00066DDB"/>
    <w:rsid w:val="00067D34"/>
    <w:rsid w:val="0008789E"/>
    <w:rsid w:val="00091AD4"/>
    <w:rsid w:val="000A2A15"/>
    <w:rsid w:val="000A464F"/>
    <w:rsid w:val="000A7841"/>
    <w:rsid w:val="000B070F"/>
    <w:rsid w:val="000B1B8F"/>
    <w:rsid w:val="000C0E45"/>
    <w:rsid w:val="000C238A"/>
    <w:rsid w:val="000C5CAB"/>
    <w:rsid w:val="000D38AC"/>
    <w:rsid w:val="000D4BC4"/>
    <w:rsid w:val="000D7865"/>
    <w:rsid w:val="000E302F"/>
    <w:rsid w:val="000E547A"/>
    <w:rsid w:val="000E61AF"/>
    <w:rsid w:val="000E6E1D"/>
    <w:rsid w:val="000E7231"/>
    <w:rsid w:val="000E759F"/>
    <w:rsid w:val="000F2624"/>
    <w:rsid w:val="000F53B2"/>
    <w:rsid w:val="00102EAF"/>
    <w:rsid w:val="00110195"/>
    <w:rsid w:val="00114A8A"/>
    <w:rsid w:val="00121F45"/>
    <w:rsid w:val="00122689"/>
    <w:rsid w:val="00126FC5"/>
    <w:rsid w:val="0013181E"/>
    <w:rsid w:val="001347E1"/>
    <w:rsid w:val="00144914"/>
    <w:rsid w:val="00147996"/>
    <w:rsid w:val="001531BC"/>
    <w:rsid w:val="00161553"/>
    <w:rsid w:val="00171BF4"/>
    <w:rsid w:val="00177541"/>
    <w:rsid w:val="001839E0"/>
    <w:rsid w:val="00185101"/>
    <w:rsid w:val="00185B20"/>
    <w:rsid w:val="00185DD9"/>
    <w:rsid w:val="00187B59"/>
    <w:rsid w:val="00192B8F"/>
    <w:rsid w:val="001A1CF6"/>
    <w:rsid w:val="001B1A37"/>
    <w:rsid w:val="001B49EB"/>
    <w:rsid w:val="001C14F5"/>
    <w:rsid w:val="001C210F"/>
    <w:rsid w:val="001C4BAC"/>
    <w:rsid w:val="001D3E9E"/>
    <w:rsid w:val="001D575C"/>
    <w:rsid w:val="001F0947"/>
    <w:rsid w:val="001F26AD"/>
    <w:rsid w:val="00203E1F"/>
    <w:rsid w:val="00204AAC"/>
    <w:rsid w:val="0020782C"/>
    <w:rsid w:val="00216235"/>
    <w:rsid w:val="00216D3E"/>
    <w:rsid w:val="00217AC6"/>
    <w:rsid w:val="002206E4"/>
    <w:rsid w:val="00225171"/>
    <w:rsid w:val="00226333"/>
    <w:rsid w:val="00227DE1"/>
    <w:rsid w:val="00232F86"/>
    <w:rsid w:val="00237159"/>
    <w:rsid w:val="00242490"/>
    <w:rsid w:val="00262B59"/>
    <w:rsid w:val="00276F31"/>
    <w:rsid w:val="0028169F"/>
    <w:rsid w:val="002930EC"/>
    <w:rsid w:val="00295EE8"/>
    <w:rsid w:val="00296C0A"/>
    <w:rsid w:val="002A3E8C"/>
    <w:rsid w:val="002B0773"/>
    <w:rsid w:val="002B1621"/>
    <w:rsid w:val="002B3123"/>
    <w:rsid w:val="002C022E"/>
    <w:rsid w:val="002C737B"/>
    <w:rsid w:val="002D684D"/>
    <w:rsid w:val="002E3785"/>
    <w:rsid w:val="002F377D"/>
    <w:rsid w:val="002F379D"/>
    <w:rsid w:val="002F3EBF"/>
    <w:rsid w:val="002F7975"/>
    <w:rsid w:val="00302E54"/>
    <w:rsid w:val="00304FD0"/>
    <w:rsid w:val="003059AA"/>
    <w:rsid w:val="00310069"/>
    <w:rsid w:val="0031248D"/>
    <w:rsid w:val="003132C4"/>
    <w:rsid w:val="003211AD"/>
    <w:rsid w:val="0032126B"/>
    <w:rsid w:val="00322163"/>
    <w:rsid w:val="00322548"/>
    <w:rsid w:val="00327A35"/>
    <w:rsid w:val="0034187D"/>
    <w:rsid w:val="0035400B"/>
    <w:rsid w:val="003576E5"/>
    <w:rsid w:val="00361B69"/>
    <w:rsid w:val="0036244B"/>
    <w:rsid w:val="003651C7"/>
    <w:rsid w:val="00372B2D"/>
    <w:rsid w:val="003758E0"/>
    <w:rsid w:val="0037700B"/>
    <w:rsid w:val="00385307"/>
    <w:rsid w:val="0039059A"/>
    <w:rsid w:val="003A0B2F"/>
    <w:rsid w:val="003B1C2F"/>
    <w:rsid w:val="003B3564"/>
    <w:rsid w:val="003B76A6"/>
    <w:rsid w:val="003C16C4"/>
    <w:rsid w:val="003C208B"/>
    <w:rsid w:val="003D479D"/>
    <w:rsid w:val="003E2CF9"/>
    <w:rsid w:val="003F12AF"/>
    <w:rsid w:val="003F5BD5"/>
    <w:rsid w:val="003F77ED"/>
    <w:rsid w:val="00402EC7"/>
    <w:rsid w:val="00403960"/>
    <w:rsid w:val="00413927"/>
    <w:rsid w:val="0042394A"/>
    <w:rsid w:val="004251EA"/>
    <w:rsid w:val="00426E53"/>
    <w:rsid w:val="00427AB7"/>
    <w:rsid w:val="00430352"/>
    <w:rsid w:val="004355BC"/>
    <w:rsid w:val="0043616E"/>
    <w:rsid w:val="00452407"/>
    <w:rsid w:val="004558B5"/>
    <w:rsid w:val="00457122"/>
    <w:rsid w:val="00462B97"/>
    <w:rsid w:val="004662CA"/>
    <w:rsid w:val="00475FE5"/>
    <w:rsid w:val="00481E72"/>
    <w:rsid w:val="00487332"/>
    <w:rsid w:val="00490530"/>
    <w:rsid w:val="004939F5"/>
    <w:rsid w:val="00496C6C"/>
    <w:rsid w:val="004A175A"/>
    <w:rsid w:val="004A5991"/>
    <w:rsid w:val="004A7B2A"/>
    <w:rsid w:val="004A7B4F"/>
    <w:rsid w:val="004B0864"/>
    <w:rsid w:val="004C05EA"/>
    <w:rsid w:val="004C35F4"/>
    <w:rsid w:val="004C5229"/>
    <w:rsid w:val="004D5CE8"/>
    <w:rsid w:val="004E07B2"/>
    <w:rsid w:val="004E375D"/>
    <w:rsid w:val="004E7859"/>
    <w:rsid w:val="00500A33"/>
    <w:rsid w:val="005026CF"/>
    <w:rsid w:val="0050347E"/>
    <w:rsid w:val="00505451"/>
    <w:rsid w:val="005073E3"/>
    <w:rsid w:val="00517142"/>
    <w:rsid w:val="00521181"/>
    <w:rsid w:val="00521961"/>
    <w:rsid w:val="00522F08"/>
    <w:rsid w:val="00525DCD"/>
    <w:rsid w:val="005316EF"/>
    <w:rsid w:val="00531FA1"/>
    <w:rsid w:val="005320A9"/>
    <w:rsid w:val="0053531B"/>
    <w:rsid w:val="00535F37"/>
    <w:rsid w:val="00545775"/>
    <w:rsid w:val="00550557"/>
    <w:rsid w:val="00550F74"/>
    <w:rsid w:val="00553EF7"/>
    <w:rsid w:val="005627F8"/>
    <w:rsid w:val="005632FF"/>
    <w:rsid w:val="0056589C"/>
    <w:rsid w:val="00565FA4"/>
    <w:rsid w:val="00566852"/>
    <w:rsid w:val="005758F1"/>
    <w:rsid w:val="0057629F"/>
    <w:rsid w:val="0059360F"/>
    <w:rsid w:val="00596A10"/>
    <w:rsid w:val="005A54D9"/>
    <w:rsid w:val="005A6211"/>
    <w:rsid w:val="005B4D74"/>
    <w:rsid w:val="005C144F"/>
    <w:rsid w:val="005D0F72"/>
    <w:rsid w:val="00615114"/>
    <w:rsid w:val="00631C23"/>
    <w:rsid w:val="00640A42"/>
    <w:rsid w:val="00644B2B"/>
    <w:rsid w:val="00651476"/>
    <w:rsid w:val="006529B3"/>
    <w:rsid w:val="0065485B"/>
    <w:rsid w:val="00654CFD"/>
    <w:rsid w:val="0065522C"/>
    <w:rsid w:val="006717C1"/>
    <w:rsid w:val="006722FF"/>
    <w:rsid w:val="0067533F"/>
    <w:rsid w:val="00675AB3"/>
    <w:rsid w:val="006802F3"/>
    <w:rsid w:val="006900BB"/>
    <w:rsid w:val="00691A6F"/>
    <w:rsid w:val="006A1380"/>
    <w:rsid w:val="006A2F1A"/>
    <w:rsid w:val="006A3589"/>
    <w:rsid w:val="006A5CC5"/>
    <w:rsid w:val="006B1764"/>
    <w:rsid w:val="006B638F"/>
    <w:rsid w:val="006C03A6"/>
    <w:rsid w:val="006C14A6"/>
    <w:rsid w:val="006D4EC5"/>
    <w:rsid w:val="006D51C2"/>
    <w:rsid w:val="006D6067"/>
    <w:rsid w:val="006E0A09"/>
    <w:rsid w:val="006E3E37"/>
    <w:rsid w:val="006E429B"/>
    <w:rsid w:val="006E704D"/>
    <w:rsid w:val="006F6A99"/>
    <w:rsid w:val="006F6DF6"/>
    <w:rsid w:val="00710128"/>
    <w:rsid w:val="00711496"/>
    <w:rsid w:val="00713CC7"/>
    <w:rsid w:val="00714023"/>
    <w:rsid w:val="00714155"/>
    <w:rsid w:val="00714FBA"/>
    <w:rsid w:val="00722CCC"/>
    <w:rsid w:val="00724F39"/>
    <w:rsid w:val="00730A50"/>
    <w:rsid w:val="007375B6"/>
    <w:rsid w:val="007375CA"/>
    <w:rsid w:val="00737B2E"/>
    <w:rsid w:val="0074463E"/>
    <w:rsid w:val="00745362"/>
    <w:rsid w:val="00747F25"/>
    <w:rsid w:val="00757178"/>
    <w:rsid w:val="00762C47"/>
    <w:rsid w:val="0076372E"/>
    <w:rsid w:val="0076502E"/>
    <w:rsid w:val="007656F8"/>
    <w:rsid w:val="007668C8"/>
    <w:rsid w:val="00766A81"/>
    <w:rsid w:val="00777451"/>
    <w:rsid w:val="00780263"/>
    <w:rsid w:val="0078382D"/>
    <w:rsid w:val="007915F3"/>
    <w:rsid w:val="00793F9F"/>
    <w:rsid w:val="007962E8"/>
    <w:rsid w:val="007A404E"/>
    <w:rsid w:val="007A616E"/>
    <w:rsid w:val="007B62A7"/>
    <w:rsid w:val="007B7972"/>
    <w:rsid w:val="007C5DC9"/>
    <w:rsid w:val="007D3DA2"/>
    <w:rsid w:val="007E4970"/>
    <w:rsid w:val="007E5E12"/>
    <w:rsid w:val="007E7E9F"/>
    <w:rsid w:val="007F15F4"/>
    <w:rsid w:val="007F380C"/>
    <w:rsid w:val="007F54BD"/>
    <w:rsid w:val="00802178"/>
    <w:rsid w:val="0080319A"/>
    <w:rsid w:val="00803D15"/>
    <w:rsid w:val="00804381"/>
    <w:rsid w:val="008054A6"/>
    <w:rsid w:val="008112CA"/>
    <w:rsid w:val="0081384E"/>
    <w:rsid w:val="00815B97"/>
    <w:rsid w:val="00815D32"/>
    <w:rsid w:val="008176F5"/>
    <w:rsid w:val="008179C7"/>
    <w:rsid w:val="0083525F"/>
    <w:rsid w:val="00836B8E"/>
    <w:rsid w:val="00840953"/>
    <w:rsid w:val="008525BA"/>
    <w:rsid w:val="00855807"/>
    <w:rsid w:val="00864786"/>
    <w:rsid w:val="00884849"/>
    <w:rsid w:val="0088736C"/>
    <w:rsid w:val="00887648"/>
    <w:rsid w:val="00890F48"/>
    <w:rsid w:val="008913E3"/>
    <w:rsid w:val="00891AB0"/>
    <w:rsid w:val="00892BD2"/>
    <w:rsid w:val="008A383B"/>
    <w:rsid w:val="008B19B3"/>
    <w:rsid w:val="008B721B"/>
    <w:rsid w:val="008C0124"/>
    <w:rsid w:val="008C519C"/>
    <w:rsid w:val="008D526F"/>
    <w:rsid w:val="008E335D"/>
    <w:rsid w:val="008E7A33"/>
    <w:rsid w:val="008F2FCD"/>
    <w:rsid w:val="008F4ECF"/>
    <w:rsid w:val="00901C4D"/>
    <w:rsid w:val="0090600A"/>
    <w:rsid w:val="009210AD"/>
    <w:rsid w:val="00921FFE"/>
    <w:rsid w:val="00925C1D"/>
    <w:rsid w:val="0093676B"/>
    <w:rsid w:val="009409B4"/>
    <w:rsid w:val="00951BCB"/>
    <w:rsid w:val="00954099"/>
    <w:rsid w:val="00955D8D"/>
    <w:rsid w:val="0095784B"/>
    <w:rsid w:val="00974C00"/>
    <w:rsid w:val="00976A7A"/>
    <w:rsid w:val="009815C0"/>
    <w:rsid w:val="00986295"/>
    <w:rsid w:val="009873A5"/>
    <w:rsid w:val="00987C2F"/>
    <w:rsid w:val="009949CF"/>
    <w:rsid w:val="009A15E1"/>
    <w:rsid w:val="009A7BB6"/>
    <w:rsid w:val="009B06D9"/>
    <w:rsid w:val="009B0BD6"/>
    <w:rsid w:val="009B0FDE"/>
    <w:rsid w:val="009B193C"/>
    <w:rsid w:val="009B3102"/>
    <w:rsid w:val="009B4BD3"/>
    <w:rsid w:val="009B6846"/>
    <w:rsid w:val="009B767D"/>
    <w:rsid w:val="009C219A"/>
    <w:rsid w:val="009C5FCF"/>
    <w:rsid w:val="009C6979"/>
    <w:rsid w:val="009C6AA6"/>
    <w:rsid w:val="009D2965"/>
    <w:rsid w:val="009D4A47"/>
    <w:rsid w:val="009D69F7"/>
    <w:rsid w:val="009E044D"/>
    <w:rsid w:val="009F2E76"/>
    <w:rsid w:val="009F4F15"/>
    <w:rsid w:val="00A01DCD"/>
    <w:rsid w:val="00A10510"/>
    <w:rsid w:val="00A120D0"/>
    <w:rsid w:val="00A1370E"/>
    <w:rsid w:val="00A24D9C"/>
    <w:rsid w:val="00A25DB9"/>
    <w:rsid w:val="00A3332F"/>
    <w:rsid w:val="00A6114C"/>
    <w:rsid w:val="00A62577"/>
    <w:rsid w:val="00A63314"/>
    <w:rsid w:val="00A71555"/>
    <w:rsid w:val="00A747E6"/>
    <w:rsid w:val="00A761C0"/>
    <w:rsid w:val="00A80786"/>
    <w:rsid w:val="00A80A0B"/>
    <w:rsid w:val="00A82984"/>
    <w:rsid w:val="00A97A7F"/>
    <w:rsid w:val="00AA2506"/>
    <w:rsid w:val="00AA2CD2"/>
    <w:rsid w:val="00AA6CA0"/>
    <w:rsid w:val="00AB1482"/>
    <w:rsid w:val="00AB24A9"/>
    <w:rsid w:val="00AB4BBA"/>
    <w:rsid w:val="00AB628B"/>
    <w:rsid w:val="00AD0A6B"/>
    <w:rsid w:val="00AD15D8"/>
    <w:rsid w:val="00AD406B"/>
    <w:rsid w:val="00AD6B75"/>
    <w:rsid w:val="00AD79D6"/>
    <w:rsid w:val="00AD7C53"/>
    <w:rsid w:val="00AE1D54"/>
    <w:rsid w:val="00AE30A1"/>
    <w:rsid w:val="00AE3DC6"/>
    <w:rsid w:val="00AE44B2"/>
    <w:rsid w:val="00AE55B1"/>
    <w:rsid w:val="00AF00F5"/>
    <w:rsid w:val="00AF17AB"/>
    <w:rsid w:val="00B01553"/>
    <w:rsid w:val="00B02803"/>
    <w:rsid w:val="00B02EE3"/>
    <w:rsid w:val="00B05393"/>
    <w:rsid w:val="00B06859"/>
    <w:rsid w:val="00B078BE"/>
    <w:rsid w:val="00B14BC1"/>
    <w:rsid w:val="00B169C0"/>
    <w:rsid w:val="00B23E88"/>
    <w:rsid w:val="00B30266"/>
    <w:rsid w:val="00B31D3D"/>
    <w:rsid w:val="00B33763"/>
    <w:rsid w:val="00B4122D"/>
    <w:rsid w:val="00B41F26"/>
    <w:rsid w:val="00B44F70"/>
    <w:rsid w:val="00B47017"/>
    <w:rsid w:val="00B54192"/>
    <w:rsid w:val="00B60B4E"/>
    <w:rsid w:val="00B61B59"/>
    <w:rsid w:val="00B651E1"/>
    <w:rsid w:val="00B65420"/>
    <w:rsid w:val="00B66824"/>
    <w:rsid w:val="00B66B6A"/>
    <w:rsid w:val="00B70A22"/>
    <w:rsid w:val="00B73CEB"/>
    <w:rsid w:val="00B811E7"/>
    <w:rsid w:val="00B83B34"/>
    <w:rsid w:val="00B87386"/>
    <w:rsid w:val="00B9394C"/>
    <w:rsid w:val="00B939E3"/>
    <w:rsid w:val="00B966B8"/>
    <w:rsid w:val="00BA1BBC"/>
    <w:rsid w:val="00BA2064"/>
    <w:rsid w:val="00BA277B"/>
    <w:rsid w:val="00BA4CC1"/>
    <w:rsid w:val="00BA6AAA"/>
    <w:rsid w:val="00BB0D07"/>
    <w:rsid w:val="00BC074E"/>
    <w:rsid w:val="00BC3E23"/>
    <w:rsid w:val="00BD41FD"/>
    <w:rsid w:val="00BE33EE"/>
    <w:rsid w:val="00BE3FD6"/>
    <w:rsid w:val="00BF0610"/>
    <w:rsid w:val="00BF189E"/>
    <w:rsid w:val="00BF1E47"/>
    <w:rsid w:val="00BF59EF"/>
    <w:rsid w:val="00C016C5"/>
    <w:rsid w:val="00C07BC4"/>
    <w:rsid w:val="00C12D32"/>
    <w:rsid w:val="00C2267E"/>
    <w:rsid w:val="00C226E8"/>
    <w:rsid w:val="00C22A57"/>
    <w:rsid w:val="00C24CEB"/>
    <w:rsid w:val="00C25136"/>
    <w:rsid w:val="00C25A70"/>
    <w:rsid w:val="00C32451"/>
    <w:rsid w:val="00C339F1"/>
    <w:rsid w:val="00C421F0"/>
    <w:rsid w:val="00C4336F"/>
    <w:rsid w:val="00C46300"/>
    <w:rsid w:val="00C46513"/>
    <w:rsid w:val="00C50C99"/>
    <w:rsid w:val="00C5246E"/>
    <w:rsid w:val="00C54066"/>
    <w:rsid w:val="00C80FC3"/>
    <w:rsid w:val="00C90BCC"/>
    <w:rsid w:val="00CA3EA6"/>
    <w:rsid w:val="00CB04CE"/>
    <w:rsid w:val="00CB751C"/>
    <w:rsid w:val="00CC1C50"/>
    <w:rsid w:val="00CC439E"/>
    <w:rsid w:val="00CC7C6B"/>
    <w:rsid w:val="00CD05D2"/>
    <w:rsid w:val="00CD1A44"/>
    <w:rsid w:val="00CE1C75"/>
    <w:rsid w:val="00CE2107"/>
    <w:rsid w:val="00CE36A8"/>
    <w:rsid w:val="00CE3F77"/>
    <w:rsid w:val="00CE476E"/>
    <w:rsid w:val="00CE5271"/>
    <w:rsid w:val="00CE6056"/>
    <w:rsid w:val="00CE66E7"/>
    <w:rsid w:val="00CE7F79"/>
    <w:rsid w:val="00CF4EF1"/>
    <w:rsid w:val="00D03465"/>
    <w:rsid w:val="00D04778"/>
    <w:rsid w:val="00D06637"/>
    <w:rsid w:val="00D156EE"/>
    <w:rsid w:val="00D248B6"/>
    <w:rsid w:val="00D31045"/>
    <w:rsid w:val="00D32303"/>
    <w:rsid w:val="00D34474"/>
    <w:rsid w:val="00D37F51"/>
    <w:rsid w:val="00D44B1F"/>
    <w:rsid w:val="00D45D24"/>
    <w:rsid w:val="00D46C44"/>
    <w:rsid w:val="00D55A0A"/>
    <w:rsid w:val="00D634C6"/>
    <w:rsid w:val="00D67A34"/>
    <w:rsid w:val="00D815F1"/>
    <w:rsid w:val="00D8251A"/>
    <w:rsid w:val="00D838C8"/>
    <w:rsid w:val="00D8423A"/>
    <w:rsid w:val="00D844F8"/>
    <w:rsid w:val="00D862F6"/>
    <w:rsid w:val="00D94FFE"/>
    <w:rsid w:val="00D96287"/>
    <w:rsid w:val="00D979A7"/>
    <w:rsid w:val="00DA4638"/>
    <w:rsid w:val="00DB07D6"/>
    <w:rsid w:val="00DB13C6"/>
    <w:rsid w:val="00DB239A"/>
    <w:rsid w:val="00DB7AC8"/>
    <w:rsid w:val="00DC031B"/>
    <w:rsid w:val="00DC1404"/>
    <w:rsid w:val="00DD5E0C"/>
    <w:rsid w:val="00DE2D29"/>
    <w:rsid w:val="00DF2CEA"/>
    <w:rsid w:val="00DF4FD2"/>
    <w:rsid w:val="00DF76DA"/>
    <w:rsid w:val="00E115BF"/>
    <w:rsid w:val="00E15A9F"/>
    <w:rsid w:val="00E16C36"/>
    <w:rsid w:val="00E20C3E"/>
    <w:rsid w:val="00E20FC7"/>
    <w:rsid w:val="00E31848"/>
    <w:rsid w:val="00E33F75"/>
    <w:rsid w:val="00E36BDB"/>
    <w:rsid w:val="00E40AAB"/>
    <w:rsid w:val="00E40EFA"/>
    <w:rsid w:val="00E45C2C"/>
    <w:rsid w:val="00E46A7C"/>
    <w:rsid w:val="00E474FD"/>
    <w:rsid w:val="00E607E7"/>
    <w:rsid w:val="00E72358"/>
    <w:rsid w:val="00E7533C"/>
    <w:rsid w:val="00E76FB6"/>
    <w:rsid w:val="00E81C12"/>
    <w:rsid w:val="00E8591C"/>
    <w:rsid w:val="00E92C8D"/>
    <w:rsid w:val="00EA3786"/>
    <w:rsid w:val="00EA6318"/>
    <w:rsid w:val="00EB1B1E"/>
    <w:rsid w:val="00EB232A"/>
    <w:rsid w:val="00EC0BFB"/>
    <w:rsid w:val="00EC1BD3"/>
    <w:rsid w:val="00ED035D"/>
    <w:rsid w:val="00ED5803"/>
    <w:rsid w:val="00EE10C9"/>
    <w:rsid w:val="00EE16C7"/>
    <w:rsid w:val="00EE295D"/>
    <w:rsid w:val="00EF1980"/>
    <w:rsid w:val="00EF41EC"/>
    <w:rsid w:val="00EF5386"/>
    <w:rsid w:val="00F01A00"/>
    <w:rsid w:val="00F04076"/>
    <w:rsid w:val="00F06271"/>
    <w:rsid w:val="00F065C6"/>
    <w:rsid w:val="00F072CD"/>
    <w:rsid w:val="00F12B07"/>
    <w:rsid w:val="00F1480C"/>
    <w:rsid w:val="00F223A1"/>
    <w:rsid w:val="00F2466C"/>
    <w:rsid w:val="00F30884"/>
    <w:rsid w:val="00F34389"/>
    <w:rsid w:val="00F35BD0"/>
    <w:rsid w:val="00F418F8"/>
    <w:rsid w:val="00F42761"/>
    <w:rsid w:val="00F50E15"/>
    <w:rsid w:val="00F5268C"/>
    <w:rsid w:val="00F536C7"/>
    <w:rsid w:val="00F53E63"/>
    <w:rsid w:val="00F63920"/>
    <w:rsid w:val="00F63EE2"/>
    <w:rsid w:val="00F6436F"/>
    <w:rsid w:val="00F8693F"/>
    <w:rsid w:val="00F87154"/>
    <w:rsid w:val="00F90CAA"/>
    <w:rsid w:val="00F929BA"/>
    <w:rsid w:val="00F94D01"/>
    <w:rsid w:val="00F965C1"/>
    <w:rsid w:val="00FA0E9C"/>
    <w:rsid w:val="00FA4B8A"/>
    <w:rsid w:val="00FA7AE2"/>
    <w:rsid w:val="00FB3B50"/>
    <w:rsid w:val="00FB5B6E"/>
    <w:rsid w:val="00FC2999"/>
    <w:rsid w:val="00FC5980"/>
    <w:rsid w:val="00FD79A6"/>
    <w:rsid w:val="00FE6334"/>
    <w:rsid w:val="00FE7BAF"/>
    <w:rsid w:val="121D4D25"/>
    <w:rsid w:val="2BE17731"/>
    <w:rsid w:val="3DBC0F60"/>
    <w:rsid w:val="407B958E"/>
    <w:rsid w:val="40DF1355"/>
    <w:rsid w:val="5BA5133E"/>
    <w:rsid w:val="6C435E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DB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BD3"/>
    <w:pPr>
      <w:spacing w:after="0" w:line="240" w:lineRule="auto"/>
    </w:pPr>
  </w:style>
  <w:style w:type="paragraph" w:styleId="Heading1">
    <w:name w:val="heading 1"/>
    <w:basedOn w:val="Normal"/>
    <w:next w:val="Normal"/>
    <w:link w:val="Heading1Char"/>
    <w:uiPriority w:val="9"/>
    <w:qFormat/>
    <w:rsid w:val="004C35F4"/>
    <w:pPr>
      <w:outlineLvl w:val="0"/>
    </w:pPr>
    <w:rPr>
      <w:b/>
      <w:bCs/>
      <w:smallCaps/>
      <w:sz w:val="28"/>
      <w:szCs w:val="28"/>
    </w:rPr>
  </w:style>
  <w:style w:type="paragraph" w:styleId="Heading2">
    <w:name w:val="heading 2"/>
    <w:basedOn w:val="Normal"/>
    <w:next w:val="Normal"/>
    <w:link w:val="Heading2Char"/>
    <w:uiPriority w:val="9"/>
    <w:unhideWhenUsed/>
    <w:qFormat/>
    <w:rsid w:val="0040396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A3E8C"/>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2A3E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5F4"/>
    <w:rPr>
      <w:b/>
      <w:bCs/>
      <w:smallCaps/>
      <w:sz w:val="28"/>
      <w:szCs w:val="28"/>
    </w:rPr>
  </w:style>
  <w:style w:type="paragraph" w:styleId="ListParagraph">
    <w:name w:val="List Paragraph"/>
    <w:basedOn w:val="Normal"/>
    <w:uiPriority w:val="34"/>
    <w:qFormat/>
    <w:rsid w:val="004C35F4"/>
    <w:pPr>
      <w:ind w:left="720"/>
      <w:contextualSpacing/>
    </w:pPr>
    <w:rPr>
      <w:sz w:val="24"/>
      <w:szCs w:val="24"/>
    </w:rPr>
  </w:style>
  <w:style w:type="character" w:styleId="Hyperlink">
    <w:name w:val="Hyperlink"/>
    <w:basedOn w:val="DefaultParagraphFont"/>
    <w:uiPriority w:val="99"/>
    <w:unhideWhenUsed/>
    <w:rsid w:val="004C35F4"/>
    <w:rPr>
      <w:color w:val="0563C1" w:themeColor="hyperlink"/>
      <w:u w:val="single"/>
    </w:rPr>
  </w:style>
  <w:style w:type="paragraph" w:styleId="Title">
    <w:name w:val="Title"/>
    <w:basedOn w:val="Normal"/>
    <w:next w:val="Normal"/>
    <w:link w:val="TitleChar"/>
    <w:uiPriority w:val="10"/>
    <w:qFormat/>
    <w:rsid w:val="004C35F4"/>
    <w:pPr>
      <w:jc w:val="center"/>
    </w:pPr>
    <w:rPr>
      <w:b/>
      <w:bCs/>
      <w:sz w:val="28"/>
      <w:szCs w:val="28"/>
    </w:rPr>
  </w:style>
  <w:style w:type="character" w:customStyle="1" w:styleId="TitleChar">
    <w:name w:val="Title Char"/>
    <w:basedOn w:val="DefaultParagraphFont"/>
    <w:link w:val="Title"/>
    <w:uiPriority w:val="10"/>
    <w:rsid w:val="004C35F4"/>
    <w:rPr>
      <w:b/>
      <w:bCs/>
      <w:sz w:val="28"/>
      <w:szCs w:val="28"/>
    </w:rPr>
  </w:style>
  <w:style w:type="character" w:customStyle="1" w:styleId="normaltextrun">
    <w:name w:val="normaltextrun"/>
    <w:basedOn w:val="DefaultParagraphFont"/>
    <w:rsid w:val="004C35F4"/>
  </w:style>
  <w:style w:type="paragraph" w:customStyle="1" w:styleId="paragraph">
    <w:name w:val="paragraph"/>
    <w:basedOn w:val="Normal"/>
    <w:rsid w:val="00DC1404"/>
    <w:pPr>
      <w:spacing w:before="100" w:beforeAutospacing="1" w:after="100" w:afterAutospacing="1"/>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D844F8"/>
    <w:rPr>
      <w:color w:val="605E5C"/>
      <w:shd w:val="clear" w:color="auto" w:fill="E1DFDD"/>
    </w:rPr>
  </w:style>
  <w:style w:type="paragraph" w:styleId="Header">
    <w:name w:val="header"/>
    <w:basedOn w:val="Normal"/>
    <w:link w:val="HeaderChar"/>
    <w:uiPriority w:val="99"/>
    <w:unhideWhenUsed/>
    <w:rsid w:val="00CE3F77"/>
    <w:pPr>
      <w:tabs>
        <w:tab w:val="center" w:pos="4680"/>
        <w:tab w:val="right" w:pos="9360"/>
      </w:tabs>
    </w:pPr>
  </w:style>
  <w:style w:type="character" w:customStyle="1" w:styleId="HeaderChar">
    <w:name w:val="Header Char"/>
    <w:basedOn w:val="DefaultParagraphFont"/>
    <w:link w:val="Header"/>
    <w:uiPriority w:val="99"/>
    <w:rsid w:val="00CE3F77"/>
  </w:style>
  <w:style w:type="paragraph" w:styleId="Footer">
    <w:name w:val="footer"/>
    <w:basedOn w:val="Normal"/>
    <w:link w:val="FooterChar"/>
    <w:uiPriority w:val="99"/>
    <w:unhideWhenUsed/>
    <w:rsid w:val="00CE3F77"/>
    <w:pPr>
      <w:tabs>
        <w:tab w:val="center" w:pos="4680"/>
        <w:tab w:val="right" w:pos="9360"/>
      </w:tabs>
    </w:pPr>
  </w:style>
  <w:style w:type="character" w:customStyle="1" w:styleId="FooterChar">
    <w:name w:val="Footer Char"/>
    <w:basedOn w:val="DefaultParagraphFont"/>
    <w:link w:val="Footer"/>
    <w:uiPriority w:val="99"/>
    <w:rsid w:val="00CE3F77"/>
  </w:style>
  <w:style w:type="paragraph" w:styleId="Revision">
    <w:name w:val="Revision"/>
    <w:hidden/>
    <w:uiPriority w:val="99"/>
    <w:semiHidden/>
    <w:rsid w:val="00AD6B75"/>
    <w:pPr>
      <w:spacing w:after="0" w:line="240" w:lineRule="auto"/>
    </w:pPr>
  </w:style>
  <w:style w:type="character" w:customStyle="1" w:styleId="contextualspellingandgrammarerror">
    <w:name w:val="contextualspellingandgrammarerror"/>
    <w:basedOn w:val="DefaultParagraphFont"/>
    <w:rsid w:val="00AD6B75"/>
  </w:style>
  <w:style w:type="character" w:styleId="CommentReference">
    <w:name w:val="annotation reference"/>
    <w:basedOn w:val="DefaultParagraphFont"/>
    <w:uiPriority w:val="99"/>
    <w:semiHidden/>
    <w:unhideWhenUsed/>
    <w:rsid w:val="00AD6B75"/>
    <w:rPr>
      <w:sz w:val="16"/>
      <w:szCs w:val="16"/>
    </w:rPr>
  </w:style>
  <w:style w:type="paragraph" w:styleId="CommentText">
    <w:name w:val="annotation text"/>
    <w:basedOn w:val="Normal"/>
    <w:link w:val="CommentTextChar"/>
    <w:uiPriority w:val="99"/>
    <w:unhideWhenUsed/>
    <w:rsid w:val="00AD6B75"/>
    <w:rPr>
      <w:sz w:val="20"/>
      <w:szCs w:val="20"/>
    </w:rPr>
  </w:style>
  <w:style w:type="character" w:customStyle="1" w:styleId="CommentTextChar">
    <w:name w:val="Comment Text Char"/>
    <w:basedOn w:val="DefaultParagraphFont"/>
    <w:link w:val="CommentText"/>
    <w:uiPriority w:val="99"/>
    <w:rsid w:val="00AD6B75"/>
    <w:rPr>
      <w:sz w:val="20"/>
      <w:szCs w:val="20"/>
    </w:rPr>
  </w:style>
  <w:style w:type="paragraph" w:styleId="CommentSubject">
    <w:name w:val="annotation subject"/>
    <w:basedOn w:val="CommentText"/>
    <w:next w:val="CommentText"/>
    <w:link w:val="CommentSubjectChar"/>
    <w:uiPriority w:val="99"/>
    <w:semiHidden/>
    <w:unhideWhenUsed/>
    <w:rsid w:val="00AD6B75"/>
    <w:rPr>
      <w:b/>
      <w:bCs/>
    </w:rPr>
  </w:style>
  <w:style w:type="character" w:customStyle="1" w:styleId="CommentSubjectChar">
    <w:name w:val="Comment Subject Char"/>
    <w:basedOn w:val="CommentTextChar"/>
    <w:link w:val="CommentSubject"/>
    <w:uiPriority w:val="99"/>
    <w:semiHidden/>
    <w:rsid w:val="00AD6B75"/>
    <w:rPr>
      <w:b/>
      <w:bCs/>
      <w:sz w:val="20"/>
      <w:szCs w:val="20"/>
    </w:rPr>
  </w:style>
  <w:style w:type="character" w:customStyle="1" w:styleId="eop">
    <w:name w:val="eop"/>
    <w:basedOn w:val="DefaultParagraphFont"/>
    <w:rsid w:val="00AD6B75"/>
  </w:style>
  <w:style w:type="character" w:styleId="Mention">
    <w:name w:val="Mention"/>
    <w:basedOn w:val="DefaultParagraphFont"/>
    <w:uiPriority w:val="99"/>
    <w:unhideWhenUsed/>
    <w:rsid w:val="002D684D"/>
    <w:rPr>
      <w:color w:val="2B579A"/>
      <w:shd w:val="clear" w:color="auto" w:fill="E1DFDD"/>
    </w:rPr>
  </w:style>
  <w:style w:type="character" w:customStyle="1" w:styleId="Heading2Char">
    <w:name w:val="Heading 2 Char"/>
    <w:basedOn w:val="DefaultParagraphFont"/>
    <w:link w:val="Heading2"/>
    <w:uiPriority w:val="9"/>
    <w:rsid w:val="0040396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2A3E8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2A3E8C"/>
    <w:rPr>
      <w:rFonts w:asciiTheme="majorHAnsi" w:eastAsiaTheme="majorEastAsia" w:hAnsiTheme="majorHAnsi" w:cstheme="majorBidi"/>
      <w:i/>
      <w:iCs/>
      <w:color w:val="2F5496" w:themeColor="accent1" w:themeShade="BF"/>
    </w:rPr>
  </w:style>
  <w:style w:type="paragraph" w:customStyle="1" w:styleId="Default">
    <w:name w:val="Default"/>
    <w:rsid w:val="00144914"/>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8054A6"/>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8054A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054A6"/>
    <w:rPr>
      <w:vertAlign w:val="superscript"/>
    </w:rPr>
  </w:style>
  <w:style w:type="table" w:styleId="TableGrid">
    <w:name w:val="Table Grid"/>
    <w:basedOn w:val="TableNormal"/>
    <w:uiPriority w:val="39"/>
    <w:rsid w:val="00D45D24"/>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2">
    <w:name w:val="xmsonormal2"/>
    <w:basedOn w:val="Normal"/>
    <w:rsid w:val="00A24D9C"/>
    <w:pPr>
      <w:spacing w:before="100" w:beforeAutospacing="1" w:after="100" w:afterAutospacing="1"/>
    </w:pPr>
    <w:rPr>
      <w:rFonts w:ascii="Calibri" w:hAnsi="Calibri" w:cs="Calibri"/>
    </w:rPr>
  </w:style>
  <w:style w:type="character" w:customStyle="1" w:styleId="dig-theme">
    <w:name w:val="dig-theme"/>
    <w:basedOn w:val="DefaultParagraphFont"/>
    <w:rsid w:val="00691A6F"/>
  </w:style>
  <w:style w:type="character" w:styleId="FollowedHyperlink">
    <w:name w:val="FollowedHyperlink"/>
    <w:basedOn w:val="DefaultParagraphFont"/>
    <w:uiPriority w:val="99"/>
    <w:semiHidden/>
    <w:unhideWhenUsed/>
    <w:rsid w:val="003576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5542">
      <w:bodyDiv w:val="1"/>
      <w:marLeft w:val="0"/>
      <w:marRight w:val="0"/>
      <w:marTop w:val="0"/>
      <w:marBottom w:val="0"/>
      <w:divBdr>
        <w:top w:val="none" w:sz="0" w:space="0" w:color="auto"/>
        <w:left w:val="none" w:sz="0" w:space="0" w:color="auto"/>
        <w:bottom w:val="none" w:sz="0" w:space="0" w:color="auto"/>
        <w:right w:val="none" w:sz="0" w:space="0" w:color="auto"/>
      </w:divBdr>
    </w:div>
    <w:div w:id="45106103">
      <w:bodyDiv w:val="1"/>
      <w:marLeft w:val="0"/>
      <w:marRight w:val="0"/>
      <w:marTop w:val="0"/>
      <w:marBottom w:val="0"/>
      <w:divBdr>
        <w:top w:val="none" w:sz="0" w:space="0" w:color="auto"/>
        <w:left w:val="none" w:sz="0" w:space="0" w:color="auto"/>
        <w:bottom w:val="none" w:sz="0" w:space="0" w:color="auto"/>
        <w:right w:val="none" w:sz="0" w:space="0" w:color="auto"/>
      </w:divBdr>
    </w:div>
    <w:div w:id="85883434">
      <w:bodyDiv w:val="1"/>
      <w:marLeft w:val="0"/>
      <w:marRight w:val="0"/>
      <w:marTop w:val="0"/>
      <w:marBottom w:val="0"/>
      <w:divBdr>
        <w:top w:val="none" w:sz="0" w:space="0" w:color="auto"/>
        <w:left w:val="none" w:sz="0" w:space="0" w:color="auto"/>
        <w:bottom w:val="none" w:sz="0" w:space="0" w:color="auto"/>
        <w:right w:val="none" w:sz="0" w:space="0" w:color="auto"/>
      </w:divBdr>
    </w:div>
    <w:div w:id="144398863">
      <w:bodyDiv w:val="1"/>
      <w:marLeft w:val="0"/>
      <w:marRight w:val="0"/>
      <w:marTop w:val="0"/>
      <w:marBottom w:val="0"/>
      <w:divBdr>
        <w:top w:val="none" w:sz="0" w:space="0" w:color="auto"/>
        <w:left w:val="none" w:sz="0" w:space="0" w:color="auto"/>
        <w:bottom w:val="none" w:sz="0" w:space="0" w:color="auto"/>
        <w:right w:val="none" w:sz="0" w:space="0" w:color="auto"/>
      </w:divBdr>
    </w:div>
    <w:div w:id="147942518">
      <w:bodyDiv w:val="1"/>
      <w:marLeft w:val="0"/>
      <w:marRight w:val="0"/>
      <w:marTop w:val="0"/>
      <w:marBottom w:val="0"/>
      <w:divBdr>
        <w:top w:val="none" w:sz="0" w:space="0" w:color="auto"/>
        <w:left w:val="none" w:sz="0" w:space="0" w:color="auto"/>
        <w:bottom w:val="none" w:sz="0" w:space="0" w:color="auto"/>
        <w:right w:val="none" w:sz="0" w:space="0" w:color="auto"/>
      </w:divBdr>
    </w:div>
    <w:div w:id="283270914">
      <w:bodyDiv w:val="1"/>
      <w:marLeft w:val="0"/>
      <w:marRight w:val="0"/>
      <w:marTop w:val="0"/>
      <w:marBottom w:val="0"/>
      <w:divBdr>
        <w:top w:val="none" w:sz="0" w:space="0" w:color="auto"/>
        <w:left w:val="none" w:sz="0" w:space="0" w:color="auto"/>
        <w:bottom w:val="none" w:sz="0" w:space="0" w:color="auto"/>
        <w:right w:val="none" w:sz="0" w:space="0" w:color="auto"/>
      </w:divBdr>
    </w:div>
    <w:div w:id="307783686">
      <w:bodyDiv w:val="1"/>
      <w:marLeft w:val="0"/>
      <w:marRight w:val="0"/>
      <w:marTop w:val="0"/>
      <w:marBottom w:val="0"/>
      <w:divBdr>
        <w:top w:val="none" w:sz="0" w:space="0" w:color="auto"/>
        <w:left w:val="none" w:sz="0" w:space="0" w:color="auto"/>
        <w:bottom w:val="none" w:sz="0" w:space="0" w:color="auto"/>
        <w:right w:val="none" w:sz="0" w:space="0" w:color="auto"/>
      </w:divBdr>
    </w:div>
    <w:div w:id="335622311">
      <w:bodyDiv w:val="1"/>
      <w:marLeft w:val="0"/>
      <w:marRight w:val="0"/>
      <w:marTop w:val="0"/>
      <w:marBottom w:val="0"/>
      <w:divBdr>
        <w:top w:val="none" w:sz="0" w:space="0" w:color="auto"/>
        <w:left w:val="none" w:sz="0" w:space="0" w:color="auto"/>
        <w:bottom w:val="none" w:sz="0" w:space="0" w:color="auto"/>
        <w:right w:val="none" w:sz="0" w:space="0" w:color="auto"/>
      </w:divBdr>
    </w:div>
    <w:div w:id="398138577">
      <w:bodyDiv w:val="1"/>
      <w:marLeft w:val="0"/>
      <w:marRight w:val="0"/>
      <w:marTop w:val="0"/>
      <w:marBottom w:val="0"/>
      <w:divBdr>
        <w:top w:val="none" w:sz="0" w:space="0" w:color="auto"/>
        <w:left w:val="none" w:sz="0" w:space="0" w:color="auto"/>
        <w:bottom w:val="none" w:sz="0" w:space="0" w:color="auto"/>
        <w:right w:val="none" w:sz="0" w:space="0" w:color="auto"/>
      </w:divBdr>
    </w:div>
    <w:div w:id="479422713">
      <w:bodyDiv w:val="1"/>
      <w:marLeft w:val="0"/>
      <w:marRight w:val="0"/>
      <w:marTop w:val="0"/>
      <w:marBottom w:val="0"/>
      <w:divBdr>
        <w:top w:val="none" w:sz="0" w:space="0" w:color="auto"/>
        <w:left w:val="none" w:sz="0" w:space="0" w:color="auto"/>
        <w:bottom w:val="none" w:sz="0" w:space="0" w:color="auto"/>
        <w:right w:val="none" w:sz="0" w:space="0" w:color="auto"/>
      </w:divBdr>
    </w:div>
    <w:div w:id="506092591">
      <w:bodyDiv w:val="1"/>
      <w:marLeft w:val="0"/>
      <w:marRight w:val="0"/>
      <w:marTop w:val="0"/>
      <w:marBottom w:val="0"/>
      <w:divBdr>
        <w:top w:val="none" w:sz="0" w:space="0" w:color="auto"/>
        <w:left w:val="none" w:sz="0" w:space="0" w:color="auto"/>
        <w:bottom w:val="none" w:sz="0" w:space="0" w:color="auto"/>
        <w:right w:val="none" w:sz="0" w:space="0" w:color="auto"/>
      </w:divBdr>
    </w:div>
    <w:div w:id="760642198">
      <w:bodyDiv w:val="1"/>
      <w:marLeft w:val="0"/>
      <w:marRight w:val="0"/>
      <w:marTop w:val="0"/>
      <w:marBottom w:val="0"/>
      <w:divBdr>
        <w:top w:val="none" w:sz="0" w:space="0" w:color="auto"/>
        <w:left w:val="none" w:sz="0" w:space="0" w:color="auto"/>
        <w:bottom w:val="none" w:sz="0" w:space="0" w:color="auto"/>
        <w:right w:val="none" w:sz="0" w:space="0" w:color="auto"/>
      </w:divBdr>
    </w:div>
    <w:div w:id="1169180408">
      <w:bodyDiv w:val="1"/>
      <w:marLeft w:val="0"/>
      <w:marRight w:val="0"/>
      <w:marTop w:val="0"/>
      <w:marBottom w:val="0"/>
      <w:divBdr>
        <w:top w:val="none" w:sz="0" w:space="0" w:color="auto"/>
        <w:left w:val="none" w:sz="0" w:space="0" w:color="auto"/>
        <w:bottom w:val="none" w:sz="0" w:space="0" w:color="auto"/>
        <w:right w:val="none" w:sz="0" w:space="0" w:color="auto"/>
      </w:divBdr>
    </w:div>
    <w:div w:id="1202599192">
      <w:bodyDiv w:val="1"/>
      <w:marLeft w:val="0"/>
      <w:marRight w:val="0"/>
      <w:marTop w:val="0"/>
      <w:marBottom w:val="0"/>
      <w:divBdr>
        <w:top w:val="none" w:sz="0" w:space="0" w:color="auto"/>
        <w:left w:val="none" w:sz="0" w:space="0" w:color="auto"/>
        <w:bottom w:val="none" w:sz="0" w:space="0" w:color="auto"/>
        <w:right w:val="none" w:sz="0" w:space="0" w:color="auto"/>
      </w:divBdr>
    </w:div>
    <w:div w:id="1510095105">
      <w:bodyDiv w:val="1"/>
      <w:marLeft w:val="0"/>
      <w:marRight w:val="0"/>
      <w:marTop w:val="0"/>
      <w:marBottom w:val="0"/>
      <w:divBdr>
        <w:top w:val="none" w:sz="0" w:space="0" w:color="auto"/>
        <w:left w:val="none" w:sz="0" w:space="0" w:color="auto"/>
        <w:bottom w:val="none" w:sz="0" w:space="0" w:color="auto"/>
        <w:right w:val="none" w:sz="0" w:space="0" w:color="auto"/>
      </w:divBdr>
    </w:div>
    <w:div w:id="1551457755">
      <w:bodyDiv w:val="1"/>
      <w:marLeft w:val="0"/>
      <w:marRight w:val="0"/>
      <w:marTop w:val="0"/>
      <w:marBottom w:val="0"/>
      <w:divBdr>
        <w:top w:val="none" w:sz="0" w:space="0" w:color="auto"/>
        <w:left w:val="none" w:sz="0" w:space="0" w:color="auto"/>
        <w:bottom w:val="none" w:sz="0" w:space="0" w:color="auto"/>
        <w:right w:val="none" w:sz="0" w:space="0" w:color="auto"/>
      </w:divBdr>
    </w:div>
    <w:div w:id="1590381702">
      <w:bodyDiv w:val="1"/>
      <w:marLeft w:val="0"/>
      <w:marRight w:val="0"/>
      <w:marTop w:val="0"/>
      <w:marBottom w:val="0"/>
      <w:divBdr>
        <w:top w:val="none" w:sz="0" w:space="0" w:color="auto"/>
        <w:left w:val="none" w:sz="0" w:space="0" w:color="auto"/>
        <w:bottom w:val="none" w:sz="0" w:space="0" w:color="auto"/>
        <w:right w:val="none" w:sz="0" w:space="0" w:color="auto"/>
      </w:divBdr>
    </w:div>
    <w:div w:id="1663003686">
      <w:bodyDiv w:val="1"/>
      <w:marLeft w:val="0"/>
      <w:marRight w:val="0"/>
      <w:marTop w:val="0"/>
      <w:marBottom w:val="0"/>
      <w:divBdr>
        <w:top w:val="none" w:sz="0" w:space="0" w:color="auto"/>
        <w:left w:val="none" w:sz="0" w:space="0" w:color="auto"/>
        <w:bottom w:val="none" w:sz="0" w:space="0" w:color="auto"/>
        <w:right w:val="none" w:sz="0" w:space="0" w:color="auto"/>
      </w:divBdr>
    </w:div>
    <w:div w:id="1702971333">
      <w:bodyDiv w:val="1"/>
      <w:marLeft w:val="0"/>
      <w:marRight w:val="0"/>
      <w:marTop w:val="0"/>
      <w:marBottom w:val="0"/>
      <w:divBdr>
        <w:top w:val="none" w:sz="0" w:space="0" w:color="auto"/>
        <w:left w:val="none" w:sz="0" w:space="0" w:color="auto"/>
        <w:bottom w:val="none" w:sz="0" w:space="0" w:color="auto"/>
        <w:right w:val="none" w:sz="0" w:space="0" w:color="auto"/>
      </w:divBdr>
    </w:div>
    <w:div w:id="1755123391">
      <w:bodyDiv w:val="1"/>
      <w:marLeft w:val="0"/>
      <w:marRight w:val="0"/>
      <w:marTop w:val="0"/>
      <w:marBottom w:val="0"/>
      <w:divBdr>
        <w:top w:val="none" w:sz="0" w:space="0" w:color="auto"/>
        <w:left w:val="none" w:sz="0" w:space="0" w:color="auto"/>
        <w:bottom w:val="none" w:sz="0" w:space="0" w:color="auto"/>
        <w:right w:val="none" w:sz="0" w:space="0" w:color="auto"/>
      </w:divBdr>
    </w:div>
    <w:div w:id="1981958524">
      <w:bodyDiv w:val="1"/>
      <w:marLeft w:val="0"/>
      <w:marRight w:val="0"/>
      <w:marTop w:val="0"/>
      <w:marBottom w:val="0"/>
      <w:divBdr>
        <w:top w:val="none" w:sz="0" w:space="0" w:color="auto"/>
        <w:left w:val="none" w:sz="0" w:space="0" w:color="auto"/>
        <w:bottom w:val="none" w:sz="0" w:space="0" w:color="auto"/>
        <w:right w:val="none" w:sz="0" w:space="0" w:color="auto"/>
      </w:divBdr>
    </w:div>
    <w:div w:id="201780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pa.gov/dera/rebates" TargetMode="External"/><Relationship Id="rId18" Type="http://schemas.openxmlformats.org/officeDocument/2006/relationships/hyperlink" Target="https://idot.illinois.gov/transportation-system/environment/drive-electric.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styles" Target="styles.xml"/><Relationship Id="rId12" Type="http://schemas.openxmlformats.org/officeDocument/2006/relationships/hyperlink" Target="https://mayorscaucus.org/climate-change/" TargetMode="External"/><Relationship Id="rId17" Type="http://schemas.openxmlformats.org/officeDocument/2006/relationships/hyperlink" Target="https://agza.ne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ityofelgin.org/2542/Rebate-Programs" TargetMode="External"/><Relationship Id="rId20" Type="http://schemas.openxmlformats.org/officeDocument/2006/relationships/hyperlink" Target="https://www.comed.com/news/news-releases/2024-02-08"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naperville.il.us/government/environmental-sustainability-in-naperville/sustainability-incentives-and-rebates/" TargetMode="External"/><Relationship Id="rId23" Type="http://schemas.openxmlformats.org/officeDocument/2006/relationships/hyperlink" Target="https://mayorscaucus.org/initiatives/environment/rec/" TargetMode="External"/><Relationship Id="rId10" Type="http://schemas.openxmlformats.org/officeDocument/2006/relationships/footnotes" Target="footnotes.xml"/><Relationship Id="rId19" Type="http://schemas.openxmlformats.org/officeDocument/2006/relationships/hyperlink" Target="https://mayorscaucus.org/initiatives/environment/becoming-ev-read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aliforniacore.org/resources-professional-landscape/" TargetMode="External"/><Relationship Id="rId22"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www.consumerreports.org/home-garden/is-now-the-time-to-switch-to-electric-outdoor-tools-a7816758525/" TargetMode="External"/><Relationship Id="rId13" Type="http://schemas.openxmlformats.org/officeDocument/2006/relationships/hyperlink" Target="https://www.ncbi.nlm.nih.gov/pmc/articles/PMC6707732/pdf/nihms-925177.pdf" TargetMode="External"/><Relationship Id="rId3" Type="http://schemas.openxmlformats.org/officeDocument/2006/relationships/hyperlink" Target="https://blog.landscapeprofessionals.org/inflation-reduction-act-features-tax-credit-for-commercial-grade-electric-lawn-mowers/" TargetMode="External"/><Relationship Id="rId7" Type="http://schemas.openxmlformats.org/officeDocument/2006/relationships/hyperlink" Target="https://theweek.com/in-depth/1025685/6-ways-the-inflation-reduction-act-changed-america-and-the-world-in-1-year" TargetMode="External"/><Relationship Id="rId12" Type="http://schemas.openxmlformats.org/officeDocument/2006/relationships/hyperlink" Target="https://www.flapillinois.org/" TargetMode="External"/><Relationship Id="rId2" Type="http://schemas.openxmlformats.org/officeDocument/2006/relationships/hyperlink" Target="https://journals.sagepub.com/doi/full/10.1177/0022242919825649" TargetMode="External"/><Relationship Id="rId1" Type="http://schemas.openxmlformats.org/officeDocument/2006/relationships/hyperlink" Target="https://www.ladco.org/wp-content/uploads/FinalReport_LADCO_Ozone_Emissions_Control_05Mar2021.pdf" TargetMode="External"/><Relationship Id="rId6" Type="http://schemas.openxmlformats.org/officeDocument/2006/relationships/hyperlink" Target="https://theweek.com/in-depth/1025685/6-ways-the-inflation-reduction-act-changed-america-and-the-world-in-1-year%20August%2012" TargetMode="External"/><Relationship Id="rId11" Type="http://schemas.openxmlformats.org/officeDocument/2006/relationships/hyperlink" Target="https://californiacore.org/resources-professional-landscape/" TargetMode="External"/><Relationship Id="rId5" Type="http://schemas.openxmlformats.org/officeDocument/2006/relationships/hyperlink" Target="https://www.consumerreports.org/home-garden/is-now-the-time-to-switch-to-electric-outdoor-tools-a7816758525/" TargetMode="External"/><Relationship Id="rId10" Type="http://schemas.openxmlformats.org/officeDocument/2006/relationships/hyperlink" Target="https://nepis.epa.gov/Exe/ZyNET.exe/P10001T3.txt?ZyActionD=ZyDocument&amp;Client=EPA&amp;Index=2000%20Thru%202005&amp;Docs=&amp;Query=&amp;Time=&amp;EndTime=&amp;SearchMethod=1&amp;TocRestrict=n&amp;Toc=&amp;TocEntry=&amp;QField=&amp;QFieldYear=&amp;QFieldMonth=&amp;QFieldDay=&amp;UseQField=&amp;IntQFieldOp=0&amp;ExtQFieldOp=0&amp;XmlQuery=&amp;File=D%3A%5CZYFILES%5CINDEX%20DATA%5C00THRU05%5CTXT%5C00000013%5CP10001T3.txt&amp;User=ANONYMOUS&amp;Password=anonymous&amp;SortMethod=h%7C-&amp;MaximumDocuments=1&amp;FuzzyDegree=0&amp;ImageQuality=r75g8/r75g8/x150y150g16/i425&amp;Display=hpfr&amp;DefSeekPage=x&amp;SearchBack=ZyActionL&amp;Back=ZyActionS&amp;BackDesc=Results%20page&amp;MaximumPages=1&amp;ZyEntry=7&amp;slide" TargetMode="External"/><Relationship Id="rId4" Type="http://schemas.openxmlformats.org/officeDocument/2006/relationships/hyperlink" Target="https://www.opei.org/zero-emission-equipment/" TargetMode="External"/><Relationship Id="rId9" Type="http://schemas.openxmlformats.org/officeDocument/2006/relationships/hyperlink" Target="https://www.opei.org/zero-emission-equi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8B916ED2FB6A47AFA4E05A3E606BD3" ma:contentTypeVersion="14" ma:contentTypeDescription="Create a new document." ma:contentTypeScope="" ma:versionID="6cbc99e8fec3dd5b6ee5ca63ebcc4091">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3d00cabe-74f9-499f-ba26-1e0076cbc6cc" xmlns:ns6="2755580c-7c5f-43cf-bd85-5c868b718937" targetNamespace="http://schemas.microsoft.com/office/2006/metadata/properties" ma:root="true" ma:fieldsID="3aa7d8e8c7ca11d395824ff336f21ddc" ns1:_="" ns2:_="" ns3:_="" ns4:_="" ns5:_="" ns6:_="">
    <xsd:import namespace="http://schemas.microsoft.com/sharepoint/v3"/>
    <xsd:import namespace="4ffa91fb-a0ff-4ac5-b2db-65c790d184a4"/>
    <xsd:import namespace="http://schemas.microsoft.com/sharepoint.v3"/>
    <xsd:import namespace="http://schemas.microsoft.com/sharepoint/v3/fields"/>
    <xsd:import namespace="3d00cabe-74f9-499f-ba26-1e0076cbc6cc"/>
    <xsd:import namespace="2755580c-7c5f-43cf-bd85-5c868b718937"/>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6:SharedWithUsers" minOccurs="0"/>
                <xsd:element ref="ns6:SharedWithDetails"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2582a83a-5ba4-475b-879f-7d1d20bd718f}" ma:internalName="TaxCatchAllLabel" ma:readOnly="true" ma:showField="CatchAllDataLabel" ma:web="2755580c-7c5f-43cf-bd85-5c868b718937">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2582a83a-5ba4-475b-879f-7d1d20bd718f}" ma:internalName="TaxCatchAll" ma:showField="CatchAllData" ma:web="2755580c-7c5f-43cf-bd85-5c868b71893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00cabe-74f9-499f-ba26-1e0076cbc6cc"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dexed="true" ma:internalName="MediaServiceDateTaken" ma:readOnly="true">
      <xsd:simpleType>
        <xsd:restriction base="dms:Text"/>
      </xsd:simpleType>
    </xsd:element>
    <xsd:element name="MediaLengthInSeconds" ma:index="38" nillable="true" ma:displayName="MediaLengthInSeconds" ma:hidden="true" ma:internalName="MediaLengthInSeconds" ma:readOnly="true">
      <xsd:simpleType>
        <xsd:restriction base="dms:Unknown"/>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55580c-7c5f-43cf-bd85-5c868b718937"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Coverage xmlns="http://schemas.microsoft.com/sharepoint/v3/fields" xsi:nil="true"/>
    <Record xmlns="4ffa91fb-a0ff-4ac5-b2db-65c790d184a4">Shared</Record>
    <EPA_x0020_Office xmlns="4ffa91fb-a0ff-4ac5-b2db-65c790d184a4" xsi:nil="true"/>
    <Document_x0020_Creation_x0020_Date xmlns="4ffa91fb-a0ff-4ac5-b2db-65c790d184a4">2023-09-08T11:11:13+00:00</Document_x0020_Creation_x0020_Date>
    <EPA_x0020_Related_x0020_Documents xmlns="4ffa91fb-a0ff-4ac5-b2db-65c790d184a4" xsi:nil="true"/>
    <_Source xmlns="http://schemas.microsoft.com/sharepoint/v3/fields" xsi:nil="true"/>
    <CategoryDescription xmlns="http://schemas.microsoft.com/sharepoint.v3" xsi:nil="true"/>
    <EPA_x0020_Contributor xmlns="4ffa91fb-a0ff-4ac5-b2db-65c790d184a4">
      <UserInfo>
        <DisplayName/>
        <AccountId xsi:nil="true"/>
        <AccountType/>
      </UserInfo>
    </EPA_x0020_Contributor>
    <TaxKeywordTaxHTField xmlns="4ffa91fb-a0ff-4ac5-b2db-65c790d184a4">
      <Terms xmlns="http://schemas.microsoft.com/office/infopath/2007/PartnerControls"/>
    </TaxKeywordTaxHTField>
    <Rights xmlns="4ffa91fb-a0ff-4ac5-b2db-65c790d184a4" xsi:nil="true"/>
    <External_x0020_Contributor xmlns="4ffa91fb-a0ff-4ac5-b2db-65c790d184a4" xsi:nil="true"/>
    <Identifier xmlns="4ffa91fb-a0ff-4ac5-b2db-65c790d184a4" xsi:nil="true"/>
    <Creator xmlns="4ffa91fb-a0ff-4ac5-b2db-65c790d184a4">
      <UserInfo>
        <DisplayName/>
        <AccountId xsi:nil="true"/>
        <AccountType/>
      </UserInfo>
    </Creator>
    <Language xmlns="http://schemas.microsoft.com/sharepoint/v3">English</Language>
    <j747ac98061d40f0aa7bd47e1db5675d xmlns="4ffa91fb-a0ff-4ac5-b2db-65c790d184a4">
      <Terms xmlns="http://schemas.microsoft.com/office/infopath/2007/PartnerControls"/>
    </j747ac98061d40f0aa7bd47e1db5675d>
    <SharedWithUsers xmlns="2755580c-7c5f-43cf-bd85-5c868b718937">
      <UserInfo>
        <DisplayName>Kluck, Johanna</DisplayName>
        <AccountId>152</AccountId>
        <AccountType/>
      </UserInfo>
      <UserInfo>
        <DisplayName>Denny, Andrea</DisplayName>
        <AccountId>14</AccountId>
        <AccountType/>
      </UserInfo>
      <UserInfo>
        <DisplayName>Brachtl, Megan</DisplayName>
        <AccountId>17</AccountId>
        <AccountType/>
      </UserInfo>
      <UserInfo>
        <DisplayName>Damberg, Rich</DisplayName>
        <AccountId>16</AccountId>
        <AccountType/>
      </UserInfo>
      <UserInfo>
        <DisplayName>Marshall, Layne</DisplayName>
        <AccountId>130</AccountId>
        <AccountType/>
      </UserInfo>
      <UserInfo>
        <DisplayName>Hansel, Peter</DisplayName>
        <AccountId>202</AccountId>
        <AccountType/>
      </UserInfo>
      <UserInfo>
        <DisplayName>Roberts, Timothy-P</DisplayName>
        <AccountId>50</AccountId>
        <AccountType/>
      </UserInfo>
      <UserInfo>
        <DisplayName>O'Sullivan, Caitlin (she/her/hers)</DisplayName>
        <AccountId>248</AccountId>
        <AccountType/>
      </UserInfo>
      <UserInfo>
        <DisplayName>January, Elizabeth (she/her/hers)</DisplayName>
        <AccountId>1114</AccountId>
        <AccountType/>
      </UserInfo>
      <UserInfo>
        <DisplayName>Ng, Allison</DisplayName>
        <AccountId>221</AccountId>
        <AccountType/>
      </UserInfo>
      <UserInfo>
        <DisplayName>Thompson, Ashley (she/her/hers)</DisplayName>
        <AccountId>62</AccountId>
        <AccountType/>
      </UserInfo>
    </SharedWithUsers>
    <lcf76f155ced4ddcb4097134ff3c332f xmlns="3d00cabe-74f9-499f-ba26-1e0076cbc6cc">
      <Terms xmlns="http://schemas.microsoft.com/office/infopath/2007/PartnerControls"/>
    </lcf76f155ced4ddcb4097134ff3c332f>
    <TaxCatchAll xmlns="4ffa91fb-a0ff-4ac5-b2db-65c790d184a4" xsi:nil="true"/>
  </documentManagement>
</p:properties>
</file>

<file path=customXml/item4.xml><?xml version="1.0" encoding="utf-8"?>
<?mso-contentType ?>
<SharedContentType xmlns="Microsoft.SharePoint.Taxonomy.ContentTypeSync" SourceId="29f62856-1543-49d4-a736-4569d363f533"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14A67-C238-4C1C-8161-1A9D1B0AB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3d00cabe-74f9-499f-ba26-1e0076cbc6cc"/>
    <ds:schemaRef ds:uri="2755580c-7c5f-43cf-bd85-5c868b718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BB3FA3-984D-4BAA-A0E9-44CCEFDAC3DE}">
  <ds:schemaRefs>
    <ds:schemaRef ds:uri="http://schemas.microsoft.com/sharepoint/v3/contenttype/forms"/>
  </ds:schemaRefs>
</ds:datastoreItem>
</file>

<file path=customXml/itemProps3.xml><?xml version="1.0" encoding="utf-8"?>
<ds:datastoreItem xmlns:ds="http://schemas.openxmlformats.org/officeDocument/2006/customXml" ds:itemID="{E79ABBF7-6786-4866-8D4E-C001CAF2B108}">
  <ds:schemaRefs>
    <ds:schemaRef ds:uri="http://schemas.microsoft.com/office/2006/metadata/properties"/>
    <ds:schemaRef ds:uri="http://schemas.microsoft.com/office/infopath/2007/PartnerControls"/>
    <ds:schemaRef ds:uri="http://schemas.microsoft.com/sharepoint/v3/fields"/>
    <ds:schemaRef ds:uri="4ffa91fb-a0ff-4ac5-b2db-65c790d184a4"/>
    <ds:schemaRef ds:uri="http://schemas.microsoft.com/sharepoint.v3"/>
    <ds:schemaRef ds:uri="http://schemas.microsoft.com/sharepoint/v3"/>
    <ds:schemaRef ds:uri="2755580c-7c5f-43cf-bd85-5c868b718937"/>
    <ds:schemaRef ds:uri="3d00cabe-74f9-499f-ba26-1e0076cbc6cc"/>
  </ds:schemaRefs>
</ds:datastoreItem>
</file>

<file path=customXml/itemProps4.xml><?xml version="1.0" encoding="utf-8"?>
<ds:datastoreItem xmlns:ds="http://schemas.openxmlformats.org/officeDocument/2006/customXml" ds:itemID="{88DE277D-EE75-4323-8CE7-505B780AFFCC}">
  <ds:schemaRefs>
    <ds:schemaRef ds:uri="Microsoft.SharePoint.Taxonomy.ContentTypeSync"/>
  </ds:schemaRefs>
</ds:datastoreItem>
</file>

<file path=customXml/itemProps5.xml><?xml version="1.0" encoding="utf-8"?>
<ds:datastoreItem xmlns:ds="http://schemas.openxmlformats.org/officeDocument/2006/customXml" ds:itemID="{29C05716-50E5-4B6A-8E61-FB137659D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11880</Words>
  <Characters>67716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2024-04-01T21:43:00Z</dcterms:created>
  <dcterms:modified xsi:type="dcterms:W3CDTF">2024-04-01T22:43:00Z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0x0101005B8B916ED2FB6A47AFA4E05A3E606BD3</vt:lpwstr>
  </property>
  <property fmtid="{D5CDD505-2E9C-101B-9397-08002B2CF9AE}" pid="5" name="e3f09c3df709400db2417a7161762d62">
    <vt:lpwstr/>
  </property>
  <property fmtid="{D5CDD505-2E9C-101B-9397-08002B2CF9AE}" pid="6" name="EPA Subject">
    <vt:lpwstr/>
  </property>
  <property fmtid="{D5CDD505-2E9C-101B-9397-08002B2CF9AE}" pid="7" name="EPA_x0020_Subject">
    <vt:lpwstr/>
  </property>
  <property fmtid="{D5CDD505-2E9C-101B-9397-08002B2CF9AE}" pid="8" name="Document Type">
    <vt:lpwstr/>
  </property>
</Properties>
</file>