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7B5D" w14:textId="77777777" w:rsidR="005F1568" w:rsidRDefault="005F1568">
      <w:pPr>
        <w:rPr>
          <w:rFonts w:ascii="Calibri" w:hAnsi="Calibri" w:cs="Calibri"/>
          <w:b/>
          <w:bCs/>
        </w:rPr>
      </w:pPr>
    </w:p>
    <w:p w14:paraId="44F57219" w14:textId="3689B023" w:rsidR="005F1568" w:rsidRDefault="005F1568">
      <w:pPr>
        <w:rPr>
          <w:rFonts w:ascii="Calibri" w:hAnsi="Calibri" w:cs="Calibri"/>
          <w:b/>
          <w:bCs/>
        </w:rPr>
      </w:pPr>
      <w:r>
        <w:rPr>
          <w:rFonts w:ascii="Calibri" w:hAnsi="Calibri" w:cs="Calibri"/>
          <w:b/>
          <w:bCs/>
        </w:rPr>
        <w:t>LEEP Technical Appendix</w:t>
      </w:r>
    </w:p>
    <w:p w14:paraId="6E078126" w14:textId="3F273FB7" w:rsidR="00633420" w:rsidRPr="00633420" w:rsidRDefault="00633420">
      <w:pPr>
        <w:rPr>
          <w:rFonts w:ascii="Calibri" w:hAnsi="Calibri" w:cs="Calibri"/>
        </w:rPr>
      </w:pPr>
      <w:r w:rsidRPr="00633420">
        <w:rPr>
          <w:rFonts w:ascii="Calibri" w:hAnsi="Calibri" w:cs="Calibri"/>
        </w:rPr>
        <w:t>March 31, 2024</w:t>
      </w:r>
    </w:p>
    <w:p w14:paraId="651FD17F" w14:textId="77777777" w:rsidR="005F1568" w:rsidRDefault="005F1568">
      <w:pPr>
        <w:rPr>
          <w:rFonts w:ascii="Calibri" w:hAnsi="Calibri" w:cs="Calibri"/>
          <w:b/>
          <w:bCs/>
        </w:rPr>
      </w:pPr>
    </w:p>
    <w:p w14:paraId="2BA0A919" w14:textId="77777777" w:rsidR="00D047B5" w:rsidRPr="00F41F08" w:rsidRDefault="00D047B5" w:rsidP="00D047B5">
      <w:pPr>
        <w:rPr>
          <w:rFonts w:ascii="Calibri" w:hAnsi="Calibri" w:cs="Calibri"/>
          <w:i/>
          <w:iCs/>
        </w:rPr>
      </w:pPr>
      <w:r w:rsidRPr="00F41F08">
        <w:rPr>
          <w:rFonts w:ascii="Calibri" w:hAnsi="Calibri" w:cs="Calibri"/>
          <w:i/>
          <w:iCs/>
        </w:rPr>
        <w:t>Emissions Estimates</w:t>
      </w:r>
    </w:p>
    <w:p w14:paraId="3D199FFE" w14:textId="77777777" w:rsidR="005F1568" w:rsidRDefault="005F1568" w:rsidP="005F1568">
      <w:pPr>
        <w:rPr>
          <w:rFonts w:ascii="Calibri" w:hAnsi="Calibri" w:cs="Calibri"/>
          <w:sz w:val="22"/>
          <w:szCs w:val="22"/>
        </w:rPr>
      </w:pPr>
      <w:r w:rsidRPr="005F1568">
        <w:rPr>
          <w:rFonts w:ascii="Calibri" w:hAnsi="Calibri" w:cs="Calibri"/>
          <w:sz w:val="22"/>
          <w:szCs w:val="22"/>
        </w:rPr>
        <w:t xml:space="preserve">The Lake Michigan Air Directors Consortium (LADCO) estimated LGE activity and GHG, CAP, and HAP emissions by county for the Chicago area using the U.S. EPA Office of Transportation and Air Quality Motor Vehicle Emission Simulator: MOVES4. Year 2020 activity data for the MOVES simulations came from U.S. EPA’s MOVES-Nonroad in default scale mode for county emissions. LADCO ran the emissions by source classification code (SCC) and equipment type with all activity data available. LADCO used the standard U.S. EPA post processing scripts to extract the results. Equipment categories (by SCC) were validated with assistance from ILCA. </w:t>
      </w:r>
    </w:p>
    <w:p w14:paraId="1B1BAC5E" w14:textId="77777777" w:rsidR="005F1568" w:rsidRPr="005F1568" w:rsidRDefault="005F1568" w:rsidP="005F1568">
      <w:pPr>
        <w:rPr>
          <w:rFonts w:ascii="Calibri" w:hAnsi="Calibri" w:cs="Calibri"/>
          <w:sz w:val="22"/>
          <w:szCs w:val="22"/>
        </w:rPr>
      </w:pPr>
    </w:p>
    <w:p w14:paraId="0FB04481" w14:textId="77777777" w:rsidR="005F1568" w:rsidRPr="005F1568" w:rsidRDefault="005F1568" w:rsidP="005F1568">
      <w:pPr>
        <w:rPr>
          <w:rFonts w:ascii="Calibri" w:hAnsi="Calibri" w:cs="Calibri"/>
          <w:sz w:val="22"/>
          <w:szCs w:val="22"/>
        </w:rPr>
      </w:pPr>
      <w:r w:rsidRPr="005F1568">
        <w:rPr>
          <w:rFonts w:ascii="Calibri" w:hAnsi="Calibri" w:cs="Calibri"/>
          <w:sz w:val="22"/>
          <w:szCs w:val="22"/>
        </w:rPr>
        <w:t xml:space="preserve">To estimate the GHG emissions reductions from LEEP’s buy-back strategy we assumed that the replacement of a gasoline-powered LGE unit with an electric unit would reduce the GHG emissions to zero. The scenario is built around MOVES results that estimate LGE sources for commercial and residential units of different types. </w:t>
      </w:r>
    </w:p>
    <w:p w14:paraId="7840BEBC" w14:textId="77777777" w:rsidR="005F1568" w:rsidRPr="005F1568" w:rsidRDefault="005F1568" w:rsidP="005F1568">
      <w:pPr>
        <w:rPr>
          <w:rFonts w:ascii="Calibri" w:hAnsi="Calibri" w:cs="Calibri"/>
          <w:sz w:val="22"/>
          <w:szCs w:val="22"/>
        </w:rPr>
      </w:pPr>
    </w:p>
    <w:p w14:paraId="51C0A732" w14:textId="21DA2B21" w:rsidR="00D047B5" w:rsidRDefault="005F1568" w:rsidP="005F1568">
      <w:pPr>
        <w:rPr>
          <w:rFonts w:ascii="Calibri" w:hAnsi="Calibri" w:cs="Calibri"/>
          <w:sz w:val="22"/>
          <w:szCs w:val="22"/>
        </w:rPr>
      </w:pPr>
      <w:r w:rsidRPr="005F1568">
        <w:rPr>
          <w:rFonts w:ascii="Calibri" w:hAnsi="Calibri" w:cs="Calibri"/>
          <w:sz w:val="22"/>
          <w:szCs w:val="22"/>
        </w:rPr>
        <w:t xml:space="preserve">Methodologies and assumptions for each target period are described below. </w:t>
      </w:r>
      <w:r w:rsidR="00D047B5">
        <w:rPr>
          <w:rFonts w:ascii="Calibri" w:hAnsi="Calibri" w:cs="Calibri"/>
          <w:sz w:val="22"/>
          <w:szCs w:val="22"/>
        </w:rPr>
        <w:t>These calculations are presented in the GHG Calculations Caucus LEEP spreadsheet attached</w:t>
      </w:r>
      <w:r w:rsidR="00087E8A">
        <w:rPr>
          <w:rFonts w:ascii="Calibri" w:hAnsi="Calibri" w:cs="Calibri"/>
          <w:sz w:val="22"/>
          <w:szCs w:val="22"/>
        </w:rPr>
        <w:t xml:space="preserve"> which contains the following worksheet:</w:t>
      </w:r>
    </w:p>
    <w:p w14:paraId="4F65BD79" w14:textId="77777777" w:rsidR="00087E8A" w:rsidRDefault="00087E8A" w:rsidP="005F1568">
      <w:pPr>
        <w:rPr>
          <w:rFonts w:ascii="Calibri" w:hAnsi="Calibri" w:cs="Calibri"/>
          <w:sz w:val="22"/>
          <w:szCs w:val="22"/>
        </w:rPr>
      </w:pPr>
    </w:p>
    <w:tbl>
      <w:tblPr>
        <w:tblStyle w:val="TableGrid"/>
        <w:tblW w:w="0" w:type="auto"/>
        <w:tblLook w:val="04A0" w:firstRow="1" w:lastRow="0" w:firstColumn="1" w:lastColumn="0" w:noHBand="0" w:noVBand="1"/>
      </w:tblPr>
      <w:tblGrid>
        <w:gridCol w:w="3020"/>
        <w:gridCol w:w="6330"/>
      </w:tblGrid>
      <w:tr w:rsidR="00087E8A" w:rsidRPr="00087E8A" w14:paraId="33783981" w14:textId="77777777" w:rsidTr="00087E8A">
        <w:trPr>
          <w:trHeight w:val="580"/>
        </w:trPr>
        <w:tc>
          <w:tcPr>
            <w:tcW w:w="3020" w:type="dxa"/>
            <w:noWrap/>
            <w:hideMark/>
          </w:tcPr>
          <w:p w14:paraId="2BF6CB8E"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PCAP Decision Tool</w:t>
            </w:r>
          </w:p>
        </w:tc>
        <w:tc>
          <w:tcPr>
            <w:tcW w:w="9480" w:type="dxa"/>
            <w:hideMark/>
          </w:tcPr>
          <w:p w14:paraId="35EBD5DC" w14:textId="77777777" w:rsidR="00087E8A" w:rsidRPr="00087E8A" w:rsidRDefault="00087E8A">
            <w:pPr>
              <w:rPr>
                <w:rFonts w:ascii="Calibri" w:hAnsi="Calibri" w:cs="Calibri"/>
                <w:sz w:val="22"/>
                <w:szCs w:val="22"/>
              </w:rPr>
            </w:pPr>
            <w:r w:rsidRPr="00087E8A">
              <w:rPr>
                <w:rFonts w:ascii="Calibri" w:hAnsi="Calibri" w:cs="Calibri"/>
                <w:sz w:val="22"/>
                <w:szCs w:val="22"/>
              </w:rPr>
              <w:t>Model to set a CO2 reduction target and identify the adoption rates of electrification for different classes of equipment</w:t>
            </w:r>
          </w:p>
        </w:tc>
      </w:tr>
      <w:tr w:rsidR="00087E8A" w:rsidRPr="00087E8A" w14:paraId="62BBC3A8" w14:textId="77777777" w:rsidTr="00087E8A">
        <w:trPr>
          <w:trHeight w:val="290"/>
        </w:trPr>
        <w:tc>
          <w:tcPr>
            <w:tcW w:w="3020" w:type="dxa"/>
            <w:noWrap/>
            <w:hideMark/>
          </w:tcPr>
          <w:p w14:paraId="2642E8E0"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Res Comm Analysis</w:t>
            </w:r>
          </w:p>
        </w:tc>
        <w:tc>
          <w:tcPr>
            <w:tcW w:w="9480" w:type="dxa"/>
            <w:hideMark/>
          </w:tcPr>
          <w:p w14:paraId="6FEC9923" w14:textId="77777777" w:rsidR="00087E8A" w:rsidRPr="00087E8A" w:rsidRDefault="00087E8A">
            <w:pPr>
              <w:rPr>
                <w:rFonts w:ascii="Calibri" w:hAnsi="Calibri" w:cs="Calibri"/>
                <w:sz w:val="22"/>
                <w:szCs w:val="22"/>
              </w:rPr>
            </w:pPr>
            <w:r w:rsidRPr="00087E8A">
              <w:rPr>
                <w:rFonts w:ascii="Calibri" w:hAnsi="Calibri" w:cs="Calibri"/>
                <w:sz w:val="22"/>
                <w:szCs w:val="22"/>
              </w:rPr>
              <w:t>Ratios of residential to commercial LGE activity and emissions</w:t>
            </w:r>
          </w:p>
        </w:tc>
      </w:tr>
      <w:tr w:rsidR="00087E8A" w:rsidRPr="00087E8A" w14:paraId="40F5CEF9" w14:textId="77777777" w:rsidTr="00087E8A">
        <w:trPr>
          <w:trHeight w:val="580"/>
        </w:trPr>
        <w:tc>
          <w:tcPr>
            <w:tcW w:w="3020" w:type="dxa"/>
            <w:noWrap/>
            <w:hideMark/>
          </w:tcPr>
          <w:p w14:paraId="584DEC41"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Activity Analysis</w:t>
            </w:r>
          </w:p>
        </w:tc>
        <w:tc>
          <w:tcPr>
            <w:tcW w:w="9480" w:type="dxa"/>
            <w:hideMark/>
          </w:tcPr>
          <w:p w14:paraId="406D6CDA" w14:textId="77777777" w:rsidR="00087E8A" w:rsidRPr="00087E8A" w:rsidRDefault="00087E8A">
            <w:pPr>
              <w:rPr>
                <w:rFonts w:ascii="Calibri" w:hAnsi="Calibri" w:cs="Calibri"/>
                <w:sz w:val="22"/>
                <w:szCs w:val="22"/>
              </w:rPr>
            </w:pPr>
            <w:r w:rsidRPr="00087E8A">
              <w:rPr>
                <w:rFonts w:ascii="Calibri" w:hAnsi="Calibri" w:cs="Calibri"/>
                <w:sz w:val="22"/>
                <w:szCs w:val="22"/>
              </w:rPr>
              <w:t>Table and chart of 2020 LGE activity (population and hours) by commercial and residential equipment categories</w:t>
            </w:r>
          </w:p>
        </w:tc>
      </w:tr>
      <w:tr w:rsidR="00087E8A" w:rsidRPr="00087E8A" w14:paraId="05A64E7F" w14:textId="77777777" w:rsidTr="00087E8A">
        <w:trPr>
          <w:trHeight w:val="370"/>
        </w:trPr>
        <w:tc>
          <w:tcPr>
            <w:tcW w:w="3020" w:type="dxa"/>
            <w:noWrap/>
            <w:hideMark/>
          </w:tcPr>
          <w:p w14:paraId="3111EFE3"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Emissions Analysis</w:t>
            </w:r>
          </w:p>
        </w:tc>
        <w:tc>
          <w:tcPr>
            <w:tcW w:w="9480" w:type="dxa"/>
            <w:hideMark/>
          </w:tcPr>
          <w:p w14:paraId="182CB19B" w14:textId="77777777" w:rsidR="00087E8A" w:rsidRPr="00087E8A" w:rsidRDefault="00087E8A">
            <w:pPr>
              <w:rPr>
                <w:rFonts w:ascii="Calibri" w:hAnsi="Calibri" w:cs="Calibri"/>
                <w:sz w:val="22"/>
                <w:szCs w:val="22"/>
              </w:rPr>
            </w:pPr>
            <w:r w:rsidRPr="00087E8A">
              <w:rPr>
                <w:rFonts w:ascii="Calibri" w:hAnsi="Calibri" w:cs="Calibri"/>
                <w:sz w:val="22"/>
                <w:szCs w:val="22"/>
              </w:rPr>
              <w:t>Table and chart of 2020 LGE emissions (tons/year) by commercial and residential equipment categories</w:t>
            </w:r>
          </w:p>
        </w:tc>
      </w:tr>
      <w:tr w:rsidR="00087E8A" w:rsidRPr="00087E8A" w14:paraId="136ACEDB" w14:textId="77777777" w:rsidTr="00087E8A">
        <w:trPr>
          <w:trHeight w:val="580"/>
        </w:trPr>
        <w:tc>
          <w:tcPr>
            <w:tcW w:w="3020" w:type="dxa"/>
            <w:noWrap/>
            <w:hideMark/>
          </w:tcPr>
          <w:p w14:paraId="581E00AD"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Equipment Costs</w:t>
            </w:r>
          </w:p>
        </w:tc>
        <w:tc>
          <w:tcPr>
            <w:tcW w:w="9480" w:type="dxa"/>
            <w:hideMark/>
          </w:tcPr>
          <w:p w14:paraId="120CE2F0" w14:textId="0C6E3F9C" w:rsidR="00087E8A" w:rsidRPr="00087E8A" w:rsidRDefault="00087E8A">
            <w:pPr>
              <w:rPr>
                <w:rFonts w:ascii="Calibri" w:hAnsi="Calibri" w:cs="Calibri"/>
                <w:sz w:val="22"/>
                <w:szCs w:val="22"/>
              </w:rPr>
            </w:pPr>
            <w:r w:rsidRPr="00087E8A">
              <w:rPr>
                <w:rFonts w:ascii="Calibri" w:hAnsi="Calibri" w:cs="Calibri"/>
                <w:sz w:val="22"/>
                <w:szCs w:val="22"/>
              </w:rPr>
              <w:t>Gas and electric equipment cost estimates for common units; provided by the Illinois Landscape Contractors Association</w:t>
            </w:r>
          </w:p>
        </w:tc>
      </w:tr>
      <w:tr w:rsidR="00087E8A" w:rsidRPr="00087E8A" w14:paraId="71907E7E" w14:textId="77777777" w:rsidTr="00087E8A">
        <w:trPr>
          <w:trHeight w:val="290"/>
        </w:trPr>
        <w:tc>
          <w:tcPr>
            <w:tcW w:w="3020" w:type="dxa"/>
            <w:noWrap/>
            <w:hideMark/>
          </w:tcPr>
          <w:p w14:paraId="038E6DD8"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MOVES Activity Data</w:t>
            </w:r>
          </w:p>
        </w:tc>
        <w:tc>
          <w:tcPr>
            <w:tcW w:w="9480" w:type="dxa"/>
            <w:hideMark/>
          </w:tcPr>
          <w:p w14:paraId="0A18B97C" w14:textId="77777777" w:rsidR="00087E8A" w:rsidRPr="00087E8A" w:rsidRDefault="00087E8A">
            <w:pPr>
              <w:rPr>
                <w:rFonts w:ascii="Calibri" w:hAnsi="Calibri" w:cs="Calibri"/>
                <w:sz w:val="22"/>
                <w:szCs w:val="22"/>
              </w:rPr>
            </w:pPr>
            <w:r w:rsidRPr="00087E8A">
              <w:rPr>
                <w:rFonts w:ascii="Calibri" w:hAnsi="Calibri" w:cs="Calibri"/>
                <w:sz w:val="22"/>
                <w:szCs w:val="22"/>
              </w:rPr>
              <w:t>Raw MOVES output activity data used for analysis</w:t>
            </w:r>
          </w:p>
        </w:tc>
      </w:tr>
      <w:tr w:rsidR="00087E8A" w:rsidRPr="00087E8A" w14:paraId="586551B9" w14:textId="77777777" w:rsidTr="00087E8A">
        <w:trPr>
          <w:trHeight w:val="290"/>
        </w:trPr>
        <w:tc>
          <w:tcPr>
            <w:tcW w:w="3020" w:type="dxa"/>
            <w:noWrap/>
            <w:hideMark/>
          </w:tcPr>
          <w:p w14:paraId="4F51ADAB"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MOVES Emissions Data</w:t>
            </w:r>
          </w:p>
        </w:tc>
        <w:tc>
          <w:tcPr>
            <w:tcW w:w="9480" w:type="dxa"/>
            <w:hideMark/>
          </w:tcPr>
          <w:p w14:paraId="0B8069BE"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Raw MOVES output emissions data used for analysis </w:t>
            </w:r>
          </w:p>
        </w:tc>
      </w:tr>
      <w:tr w:rsidR="00087E8A" w:rsidRPr="00087E8A" w14:paraId="6E38C3B5" w14:textId="77777777" w:rsidTr="00087E8A">
        <w:trPr>
          <w:trHeight w:val="290"/>
        </w:trPr>
        <w:tc>
          <w:tcPr>
            <w:tcW w:w="3020" w:type="dxa"/>
            <w:noWrap/>
            <w:hideMark/>
          </w:tcPr>
          <w:p w14:paraId="41FD0CC9"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Emissions_Month_Pivot</w:t>
            </w:r>
          </w:p>
        </w:tc>
        <w:tc>
          <w:tcPr>
            <w:tcW w:w="9480" w:type="dxa"/>
            <w:hideMark/>
          </w:tcPr>
          <w:p w14:paraId="23E0480C" w14:textId="77777777" w:rsidR="00087E8A" w:rsidRPr="00087E8A" w:rsidRDefault="00087E8A">
            <w:pPr>
              <w:rPr>
                <w:rFonts w:ascii="Calibri" w:hAnsi="Calibri" w:cs="Calibri"/>
                <w:sz w:val="22"/>
                <w:szCs w:val="22"/>
              </w:rPr>
            </w:pPr>
            <w:r w:rsidRPr="00087E8A">
              <w:rPr>
                <w:rFonts w:ascii="Calibri" w:hAnsi="Calibri" w:cs="Calibri"/>
                <w:sz w:val="22"/>
                <w:szCs w:val="22"/>
              </w:rPr>
              <w:t>Chart of emissions by month by county/LGE equipment type</w:t>
            </w:r>
          </w:p>
        </w:tc>
      </w:tr>
      <w:tr w:rsidR="00087E8A" w:rsidRPr="00087E8A" w14:paraId="68B3FDF3" w14:textId="77777777" w:rsidTr="00087E8A">
        <w:trPr>
          <w:trHeight w:val="290"/>
        </w:trPr>
        <w:tc>
          <w:tcPr>
            <w:tcW w:w="3020" w:type="dxa"/>
            <w:noWrap/>
            <w:hideMark/>
          </w:tcPr>
          <w:p w14:paraId="12B8DE4F" w14:textId="77777777" w:rsidR="00087E8A" w:rsidRPr="00087E8A" w:rsidRDefault="00087E8A">
            <w:pPr>
              <w:rPr>
                <w:rFonts w:ascii="Calibri" w:hAnsi="Calibri" w:cs="Calibri"/>
                <w:sz w:val="22"/>
                <w:szCs w:val="22"/>
              </w:rPr>
            </w:pPr>
            <w:r w:rsidRPr="00087E8A">
              <w:rPr>
                <w:rFonts w:ascii="Calibri" w:hAnsi="Calibri" w:cs="Calibri"/>
                <w:sz w:val="22"/>
                <w:szCs w:val="22"/>
              </w:rPr>
              <w:t xml:space="preserve">     Lookup</w:t>
            </w:r>
          </w:p>
        </w:tc>
        <w:tc>
          <w:tcPr>
            <w:tcW w:w="9480" w:type="dxa"/>
            <w:hideMark/>
          </w:tcPr>
          <w:p w14:paraId="5935315F" w14:textId="77777777" w:rsidR="00087E8A" w:rsidRPr="00087E8A" w:rsidRDefault="00087E8A">
            <w:pPr>
              <w:rPr>
                <w:rFonts w:ascii="Calibri" w:hAnsi="Calibri" w:cs="Calibri"/>
                <w:sz w:val="22"/>
                <w:szCs w:val="22"/>
              </w:rPr>
            </w:pPr>
            <w:r w:rsidRPr="00087E8A">
              <w:rPr>
                <w:rFonts w:ascii="Calibri" w:hAnsi="Calibri" w:cs="Calibri"/>
                <w:sz w:val="22"/>
                <w:szCs w:val="22"/>
              </w:rPr>
              <w:t>days/month look up table for converting average weekday activity/emissions to annual values</w:t>
            </w:r>
          </w:p>
        </w:tc>
      </w:tr>
    </w:tbl>
    <w:p w14:paraId="04E25A3E" w14:textId="77777777" w:rsidR="00087E8A" w:rsidRDefault="00087E8A" w:rsidP="005F1568">
      <w:pPr>
        <w:rPr>
          <w:rFonts w:ascii="Calibri" w:hAnsi="Calibri" w:cs="Calibri"/>
          <w:sz w:val="22"/>
          <w:szCs w:val="22"/>
        </w:rPr>
      </w:pPr>
    </w:p>
    <w:tbl>
      <w:tblPr>
        <w:tblStyle w:val="TableGrid"/>
        <w:tblW w:w="0" w:type="auto"/>
        <w:tblLook w:val="04A0" w:firstRow="1" w:lastRow="0" w:firstColumn="1" w:lastColumn="0" w:noHBand="0" w:noVBand="1"/>
      </w:tblPr>
      <w:tblGrid>
        <w:gridCol w:w="3020"/>
        <w:gridCol w:w="6330"/>
      </w:tblGrid>
      <w:tr w:rsidR="00087E8A" w:rsidRPr="00087E8A" w14:paraId="1D4860CB" w14:textId="77777777" w:rsidTr="00087E8A">
        <w:trPr>
          <w:trHeight w:val="580"/>
        </w:trPr>
        <w:tc>
          <w:tcPr>
            <w:tcW w:w="3020" w:type="dxa"/>
            <w:noWrap/>
            <w:hideMark/>
          </w:tcPr>
          <w:p w14:paraId="27EB7603" w14:textId="77777777" w:rsidR="00087E8A" w:rsidRPr="00087E8A" w:rsidRDefault="00087E8A">
            <w:pPr>
              <w:rPr>
                <w:rFonts w:ascii="Calibri" w:hAnsi="Calibri" w:cs="Calibri"/>
                <w:b/>
                <w:bCs/>
                <w:sz w:val="22"/>
                <w:szCs w:val="22"/>
              </w:rPr>
            </w:pPr>
            <w:r w:rsidRPr="00087E8A">
              <w:rPr>
                <w:rFonts w:ascii="Calibri" w:hAnsi="Calibri" w:cs="Calibri"/>
                <w:b/>
                <w:bCs/>
                <w:sz w:val="22"/>
                <w:szCs w:val="22"/>
              </w:rPr>
              <w:t>Source of Data:</w:t>
            </w:r>
          </w:p>
        </w:tc>
        <w:tc>
          <w:tcPr>
            <w:tcW w:w="9480" w:type="dxa"/>
            <w:hideMark/>
          </w:tcPr>
          <w:p w14:paraId="0F1B16DA" w14:textId="77777777" w:rsidR="00087E8A" w:rsidRPr="00087E8A" w:rsidRDefault="00087E8A">
            <w:pPr>
              <w:rPr>
                <w:rFonts w:ascii="Calibri" w:hAnsi="Calibri" w:cs="Calibri"/>
                <w:sz w:val="22"/>
                <w:szCs w:val="22"/>
              </w:rPr>
            </w:pPr>
            <w:r w:rsidRPr="00087E8A">
              <w:rPr>
                <w:rFonts w:ascii="Calibri" w:hAnsi="Calibri" w:cs="Calibri"/>
                <w:sz w:val="22"/>
                <w:szCs w:val="22"/>
              </w:rPr>
              <w:t>Mark Janssen of LADCO ran MOVES4 to generate average 2020 weekday activity and emission by month for lawn and garden equipment (LGE)</w:t>
            </w:r>
          </w:p>
        </w:tc>
      </w:tr>
    </w:tbl>
    <w:p w14:paraId="0BAC3901" w14:textId="77777777" w:rsidR="00D047B5" w:rsidRDefault="00D047B5" w:rsidP="005F1568">
      <w:pPr>
        <w:rPr>
          <w:rFonts w:ascii="Calibri" w:hAnsi="Calibri" w:cs="Calibri"/>
          <w:sz w:val="22"/>
          <w:szCs w:val="22"/>
        </w:rPr>
      </w:pPr>
    </w:p>
    <w:p w14:paraId="5BE40912" w14:textId="77777777" w:rsidR="00D047B5" w:rsidRDefault="00D047B5" w:rsidP="005F1568">
      <w:pPr>
        <w:rPr>
          <w:rFonts w:ascii="Calibri" w:hAnsi="Calibri" w:cs="Calibri"/>
          <w:sz w:val="22"/>
          <w:szCs w:val="22"/>
        </w:rPr>
      </w:pPr>
    </w:p>
    <w:p w14:paraId="0C6AE4D6" w14:textId="77777777" w:rsidR="005F1568" w:rsidRPr="005F1568" w:rsidRDefault="005F1568" w:rsidP="005F1568">
      <w:pPr>
        <w:rPr>
          <w:rFonts w:ascii="Calibri" w:hAnsi="Calibri" w:cs="Calibri"/>
          <w:sz w:val="22"/>
          <w:szCs w:val="22"/>
        </w:rPr>
      </w:pPr>
    </w:p>
    <w:p w14:paraId="7BD9A787" w14:textId="77777777" w:rsidR="005F1568" w:rsidRPr="005F1568" w:rsidRDefault="005F1568" w:rsidP="005F1568">
      <w:pPr>
        <w:pStyle w:val="Heading2"/>
        <w:rPr>
          <w:rFonts w:ascii="Calibri" w:hAnsi="Calibri" w:cs="Calibri"/>
          <w:color w:val="F1A983" w:themeColor="accent2" w:themeTint="99"/>
          <w:sz w:val="22"/>
          <w:szCs w:val="22"/>
        </w:rPr>
      </w:pPr>
      <w:r w:rsidRPr="005F1568">
        <w:rPr>
          <w:rFonts w:ascii="Calibri" w:hAnsi="Calibri" w:cs="Calibri"/>
          <w:sz w:val="22"/>
          <w:szCs w:val="22"/>
        </w:rPr>
        <w:lastRenderedPageBreak/>
        <w:t xml:space="preserve">B. Magnitude of GHG Reductions from 2025-2030 </w:t>
      </w:r>
    </w:p>
    <w:p w14:paraId="67FCD250" w14:textId="77777777" w:rsidR="005F1568" w:rsidRPr="005F1568" w:rsidRDefault="005F1568" w:rsidP="005F1568">
      <w:pPr>
        <w:rPr>
          <w:rFonts w:ascii="Calibri" w:hAnsi="Calibri" w:cs="Calibri"/>
          <w:sz w:val="22"/>
          <w:szCs w:val="22"/>
        </w:rPr>
      </w:pPr>
      <w:r w:rsidRPr="005F1568">
        <w:rPr>
          <w:rFonts w:ascii="Calibri" w:hAnsi="Calibri" w:cs="Calibri"/>
          <w:sz w:val="22"/>
          <w:szCs w:val="22"/>
        </w:rPr>
        <w:t xml:space="preserve">LEEP elements focus on LGE categories that have both emissions reduction potential and plausible implementation feasibility. </w:t>
      </w:r>
      <w:r w:rsidRPr="005F1568">
        <w:rPr>
          <w:rFonts w:ascii="Calibri" w:hAnsi="Calibri" w:cs="Calibri"/>
          <w:b/>
          <w:bCs/>
          <w:sz w:val="22"/>
          <w:szCs w:val="22"/>
        </w:rPr>
        <w:t>The cumulative impacts of the LGE buy-back program for the 2025-2030 period is 9,738.62 metric tons (10,735 tons) of CO2 reduced.</w:t>
      </w:r>
      <w:r w:rsidRPr="005F1568">
        <w:rPr>
          <w:rFonts w:ascii="Calibri" w:hAnsi="Calibri" w:cs="Calibri"/>
          <w:sz w:val="22"/>
          <w:szCs w:val="22"/>
        </w:rPr>
        <w:t xml:space="preserve"> This impact will be realized across the entire period that the grant funding is available through LEEP to incentivize equipment replacement in the Chicago area. We can assume that the first year of the program will see less emissions reductions as LEEP </w:t>
      </w:r>
      <w:proofErr w:type="gramStart"/>
      <w:r w:rsidRPr="005F1568">
        <w:rPr>
          <w:rFonts w:ascii="Calibri" w:hAnsi="Calibri" w:cs="Calibri"/>
          <w:sz w:val="22"/>
          <w:szCs w:val="22"/>
        </w:rPr>
        <w:t>is</w:t>
      </w:r>
      <w:proofErr w:type="gramEnd"/>
      <w:r w:rsidRPr="005F1568">
        <w:rPr>
          <w:rFonts w:ascii="Calibri" w:hAnsi="Calibri" w:cs="Calibri"/>
          <w:sz w:val="22"/>
          <w:szCs w:val="22"/>
        </w:rPr>
        <w:t xml:space="preserve"> initiated, set-up, and publicized. Starting in year two, once the programmatic and logistical infrastructures are in place to run the buy-back program, we anticipate realizing steady emissions reductions as the grant funding is used to replace and scrap gas-powered LGE with ZEE.</w:t>
      </w:r>
    </w:p>
    <w:p w14:paraId="691D3308" w14:textId="77777777" w:rsidR="005F1568" w:rsidRPr="005F1568" w:rsidRDefault="005F1568" w:rsidP="005F1568">
      <w:pPr>
        <w:pStyle w:val="ListParagraph"/>
        <w:ind w:left="360"/>
        <w:rPr>
          <w:rFonts w:ascii="Calibri" w:hAnsi="Calibri" w:cs="Calibri"/>
          <w:sz w:val="22"/>
          <w:szCs w:val="22"/>
          <w:u w:val="single"/>
        </w:rPr>
      </w:pPr>
    </w:p>
    <w:p w14:paraId="203BB04C" w14:textId="77777777" w:rsidR="005F1568" w:rsidRPr="005F1568" w:rsidRDefault="005F1568" w:rsidP="005F1568">
      <w:pPr>
        <w:pStyle w:val="ListParagraph"/>
        <w:ind w:left="0"/>
        <w:rPr>
          <w:rFonts w:ascii="Calibri" w:hAnsi="Calibri" w:cs="Calibri"/>
          <w:sz w:val="22"/>
          <w:szCs w:val="22"/>
        </w:rPr>
      </w:pPr>
      <w:r w:rsidRPr="005F1568">
        <w:rPr>
          <w:rFonts w:ascii="Calibri" w:hAnsi="Calibri" w:cs="Calibri"/>
          <w:sz w:val="22"/>
          <w:szCs w:val="22"/>
          <w:u w:val="single"/>
        </w:rPr>
        <w:t>All-residential equipment</w:t>
      </w:r>
      <w:r w:rsidRPr="005F1568">
        <w:rPr>
          <w:rFonts w:ascii="Calibri" w:hAnsi="Calibri" w:cs="Calibri"/>
          <w:sz w:val="22"/>
          <w:szCs w:val="22"/>
        </w:rPr>
        <w:t>: we estimated the baseline emissions for residential LGE equipment by summing the GHG, CAP, HAP pollutant emissions across all equipment types identified as residential by MOVES.  The table below shows the estimates of baseline 2020 residential LGE emissions, the cumulative 2025-2030 emissions reductions, and annual 2025-2030 emissions reductions for the seven Chicago area counties.</w:t>
      </w:r>
    </w:p>
    <w:p w14:paraId="2CE706C9" w14:textId="77777777" w:rsidR="005F1568" w:rsidRPr="005F1568" w:rsidRDefault="005F1568" w:rsidP="005F1568">
      <w:pPr>
        <w:pStyle w:val="ListParagraph"/>
        <w:ind w:left="0"/>
        <w:rPr>
          <w:rFonts w:ascii="Calibri" w:hAnsi="Calibri" w:cs="Calibri"/>
          <w:sz w:val="22"/>
          <w:szCs w:val="22"/>
        </w:rPr>
      </w:pPr>
    </w:p>
    <w:tbl>
      <w:tblPr>
        <w:tblStyle w:val="TableGrid"/>
        <w:tblW w:w="7968" w:type="dxa"/>
        <w:jc w:val="center"/>
        <w:tblLook w:val="04A0" w:firstRow="1" w:lastRow="0" w:firstColumn="1" w:lastColumn="0" w:noHBand="0" w:noVBand="1"/>
      </w:tblPr>
      <w:tblGrid>
        <w:gridCol w:w="1170"/>
        <w:gridCol w:w="2452"/>
        <w:gridCol w:w="2331"/>
        <w:gridCol w:w="2015"/>
      </w:tblGrid>
      <w:tr w:rsidR="0058650C" w:rsidRPr="005F1568" w14:paraId="2E13DD57" w14:textId="77777777" w:rsidTr="0058650C">
        <w:trPr>
          <w:trHeight w:val="290"/>
          <w:jc w:val="center"/>
        </w:trPr>
        <w:tc>
          <w:tcPr>
            <w:tcW w:w="7968" w:type="dxa"/>
            <w:gridSpan w:val="4"/>
            <w:shd w:val="clear" w:color="auto" w:fill="DAE9F7" w:themeFill="text2" w:themeFillTint="1A"/>
            <w:noWrap/>
          </w:tcPr>
          <w:p w14:paraId="54B49062" w14:textId="4791B982" w:rsidR="0058650C" w:rsidRPr="0058650C" w:rsidRDefault="0058650C" w:rsidP="0058650C">
            <w:pPr>
              <w:jc w:val="center"/>
              <w:rPr>
                <w:rFonts w:ascii="Calibri" w:hAnsi="Calibri" w:cs="Calibri"/>
                <w:b/>
                <w:bCs/>
                <w:sz w:val="22"/>
                <w:szCs w:val="22"/>
              </w:rPr>
            </w:pPr>
            <w:r>
              <w:rPr>
                <w:rFonts w:ascii="Calibri" w:hAnsi="Calibri" w:cs="Calibri"/>
                <w:b/>
                <w:bCs/>
                <w:sz w:val="22"/>
                <w:szCs w:val="22"/>
              </w:rPr>
              <w:t>Residential LGE</w:t>
            </w:r>
          </w:p>
        </w:tc>
      </w:tr>
      <w:tr w:rsidR="0058650C" w:rsidRPr="005F1568" w14:paraId="0E3F98C8" w14:textId="77777777" w:rsidTr="0058650C">
        <w:trPr>
          <w:trHeight w:val="290"/>
          <w:jc w:val="center"/>
        </w:trPr>
        <w:tc>
          <w:tcPr>
            <w:tcW w:w="1170" w:type="dxa"/>
            <w:noWrap/>
            <w:hideMark/>
          </w:tcPr>
          <w:p w14:paraId="25C4B396" w14:textId="77777777" w:rsidR="0058650C" w:rsidRPr="0058650C" w:rsidRDefault="0058650C" w:rsidP="00890550">
            <w:pPr>
              <w:rPr>
                <w:rFonts w:ascii="Calibri" w:hAnsi="Calibri" w:cs="Calibri"/>
                <w:b/>
                <w:bCs/>
                <w:sz w:val="22"/>
                <w:szCs w:val="22"/>
              </w:rPr>
            </w:pPr>
            <w:r w:rsidRPr="0058650C">
              <w:rPr>
                <w:rFonts w:ascii="Calibri" w:hAnsi="Calibri" w:cs="Calibri"/>
                <w:b/>
                <w:bCs/>
                <w:sz w:val="22"/>
                <w:szCs w:val="22"/>
              </w:rPr>
              <w:t xml:space="preserve">Pollutant </w:t>
            </w:r>
          </w:p>
        </w:tc>
        <w:tc>
          <w:tcPr>
            <w:tcW w:w="2452" w:type="dxa"/>
            <w:noWrap/>
            <w:hideMark/>
          </w:tcPr>
          <w:p w14:paraId="599E0115" w14:textId="6284DAEB" w:rsidR="0058650C" w:rsidRDefault="0058650C" w:rsidP="0058650C">
            <w:pPr>
              <w:jc w:val="center"/>
              <w:rPr>
                <w:rFonts w:ascii="Calibri" w:hAnsi="Calibri" w:cs="Calibri"/>
                <w:b/>
                <w:bCs/>
                <w:sz w:val="22"/>
                <w:szCs w:val="22"/>
              </w:rPr>
            </w:pPr>
            <w:r w:rsidRPr="0058650C">
              <w:rPr>
                <w:rFonts w:ascii="Calibri" w:hAnsi="Calibri" w:cs="Calibri"/>
                <w:b/>
                <w:bCs/>
                <w:sz w:val="22"/>
                <w:szCs w:val="22"/>
              </w:rPr>
              <w:t>Baseline 2020</w:t>
            </w:r>
            <w:r>
              <w:rPr>
                <w:rFonts w:ascii="Calibri" w:hAnsi="Calibri" w:cs="Calibri"/>
                <w:b/>
                <w:bCs/>
                <w:sz w:val="22"/>
                <w:szCs w:val="22"/>
              </w:rPr>
              <w:t xml:space="preserve"> Emissions</w:t>
            </w:r>
          </w:p>
          <w:p w14:paraId="062A4E39" w14:textId="3E54E33A" w:rsidR="0058650C" w:rsidRPr="0058650C" w:rsidRDefault="0058650C" w:rsidP="0058650C">
            <w:pPr>
              <w:jc w:val="center"/>
              <w:rPr>
                <w:rFonts w:ascii="Calibri" w:hAnsi="Calibri" w:cs="Calibri"/>
                <w:b/>
                <w:bCs/>
                <w:sz w:val="22"/>
                <w:szCs w:val="22"/>
              </w:rPr>
            </w:pPr>
            <w:r w:rsidRPr="0058650C">
              <w:rPr>
                <w:rFonts w:ascii="Calibri" w:hAnsi="Calibri" w:cs="Calibri"/>
                <w:b/>
                <w:bCs/>
                <w:sz w:val="22"/>
                <w:szCs w:val="22"/>
              </w:rPr>
              <w:t>metric tons (tons)</w:t>
            </w:r>
          </w:p>
        </w:tc>
        <w:tc>
          <w:tcPr>
            <w:tcW w:w="2331" w:type="dxa"/>
            <w:noWrap/>
            <w:hideMark/>
          </w:tcPr>
          <w:p w14:paraId="0B1DD7DE" w14:textId="77777777" w:rsidR="0058650C" w:rsidRDefault="0058650C" w:rsidP="0058650C">
            <w:pPr>
              <w:jc w:val="center"/>
              <w:rPr>
                <w:rFonts w:ascii="Calibri" w:hAnsi="Calibri" w:cs="Calibri"/>
                <w:b/>
                <w:bCs/>
                <w:sz w:val="22"/>
                <w:szCs w:val="22"/>
              </w:rPr>
            </w:pPr>
            <w:r w:rsidRPr="0058650C">
              <w:rPr>
                <w:rFonts w:ascii="Calibri" w:hAnsi="Calibri" w:cs="Calibri"/>
                <w:b/>
                <w:bCs/>
                <w:sz w:val="22"/>
                <w:szCs w:val="22"/>
              </w:rPr>
              <w:t xml:space="preserve">Cumulative </w:t>
            </w:r>
            <w:r>
              <w:rPr>
                <w:rFonts w:ascii="Calibri" w:hAnsi="Calibri" w:cs="Calibri"/>
                <w:b/>
                <w:bCs/>
                <w:sz w:val="22"/>
                <w:szCs w:val="22"/>
              </w:rPr>
              <w:t>Emissions</w:t>
            </w:r>
          </w:p>
          <w:p w14:paraId="2007942F" w14:textId="3E0619F0" w:rsidR="0058650C" w:rsidRPr="0058650C" w:rsidRDefault="0058650C" w:rsidP="0058650C">
            <w:pPr>
              <w:jc w:val="center"/>
              <w:rPr>
                <w:rFonts w:ascii="Calibri" w:hAnsi="Calibri" w:cs="Calibri"/>
                <w:b/>
                <w:bCs/>
                <w:sz w:val="22"/>
                <w:szCs w:val="22"/>
              </w:rPr>
            </w:pPr>
            <w:r w:rsidRPr="0058650C">
              <w:rPr>
                <w:rFonts w:ascii="Calibri" w:hAnsi="Calibri" w:cs="Calibri"/>
                <w:b/>
                <w:bCs/>
                <w:sz w:val="22"/>
                <w:szCs w:val="22"/>
              </w:rPr>
              <w:t>metric tons (tons)</w:t>
            </w:r>
          </w:p>
        </w:tc>
        <w:tc>
          <w:tcPr>
            <w:tcW w:w="2015" w:type="dxa"/>
            <w:noWrap/>
            <w:hideMark/>
          </w:tcPr>
          <w:p w14:paraId="6AD896D2" w14:textId="121EED34" w:rsidR="0058650C" w:rsidRDefault="0058650C" w:rsidP="0058650C">
            <w:pPr>
              <w:jc w:val="center"/>
              <w:rPr>
                <w:rFonts w:ascii="Calibri" w:hAnsi="Calibri" w:cs="Calibri"/>
                <w:b/>
                <w:bCs/>
                <w:sz w:val="22"/>
                <w:szCs w:val="22"/>
              </w:rPr>
            </w:pPr>
            <w:r w:rsidRPr="0058650C">
              <w:rPr>
                <w:rFonts w:ascii="Calibri" w:hAnsi="Calibri" w:cs="Calibri"/>
                <w:b/>
                <w:bCs/>
                <w:sz w:val="22"/>
                <w:szCs w:val="22"/>
              </w:rPr>
              <w:t xml:space="preserve">Annual </w:t>
            </w:r>
            <w:r>
              <w:rPr>
                <w:rFonts w:ascii="Calibri" w:hAnsi="Calibri" w:cs="Calibri"/>
                <w:b/>
                <w:bCs/>
                <w:sz w:val="22"/>
                <w:szCs w:val="22"/>
              </w:rPr>
              <w:t>Emissions</w:t>
            </w:r>
          </w:p>
          <w:p w14:paraId="5DCCA0BF" w14:textId="6C9352B3" w:rsidR="0058650C" w:rsidRPr="0058650C" w:rsidRDefault="0058650C" w:rsidP="0058650C">
            <w:pPr>
              <w:jc w:val="center"/>
              <w:rPr>
                <w:rFonts w:ascii="Calibri" w:hAnsi="Calibri" w:cs="Calibri"/>
                <w:b/>
                <w:bCs/>
                <w:sz w:val="22"/>
                <w:szCs w:val="22"/>
              </w:rPr>
            </w:pPr>
            <w:r w:rsidRPr="0058650C">
              <w:rPr>
                <w:rFonts w:ascii="Calibri" w:hAnsi="Calibri" w:cs="Calibri"/>
                <w:b/>
                <w:bCs/>
                <w:sz w:val="22"/>
                <w:szCs w:val="22"/>
              </w:rPr>
              <w:t>metric tons (tons)</w:t>
            </w:r>
          </w:p>
        </w:tc>
      </w:tr>
      <w:tr w:rsidR="0058650C" w:rsidRPr="005F1568" w14:paraId="2D2D9DFC" w14:textId="77777777" w:rsidTr="0058650C">
        <w:trPr>
          <w:trHeight w:val="350"/>
          <w:jc w:val="center"/>
        </w:trPr>
        <w:tc>
          <w:tcPr>
            <w:tcW w:w="1170" w:type="dxa"/>
            <w:noWrap/>
            <w:hideMark/>
          </w:tcPr>
          <w:p w14:paraId="58833211" w14:textId="77777777" w:rsidR="0058650C" w:rsidRPr="005F1568" w:rsidRDefault="0058650C" w:rsidP="00890550">
            <w:pPr>
              <w:rPr>
                <w:rFonts w:ascii="Calibri" w:hAnsi="Calibri" w:cs="Calibri"/>
                <w:sz w:val="22"/>
                <w:szCs w:val="22"/>
              </w:rPr>
            </w:pPr>
            <w:r w:rsidRPr="005F1568">
              <w:rPr>
                <w:rFonts w:ascii="Calibri" w:hAnsi="Calibri" w:cs="Calibri"/>
                <w:sz w:val="22"/>
                <w:szCs w:val="22"/>
              </w:rPr>
              <w:t>CO2</w:t>
            </w:r>
          </w:p>
        </w:tc>
        <w:tc>
          <w:tcPr>
            <w:tcW w:w="2452" w:type="dxa"/>
            <w:noWrap/>
            <w:hideMark/>
          </w:tcPr>
          <w:p w14:paraId="3C24A884" w14:textId="1DCF5BDD"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135,407 </w:t>
            </w:r>
            <w:r>
              <w:rPr>
                <w:rFonts w:ascii="Calibri" w:hAnsi="Calibri" w:cs="Calibri"/>
                <w:sz w:val="22"/>
                <w:szCs w:val="22"/>
              </w:rPr>
              <w:t>(</w:t>
            </w:r>
            <w:r w:rsidRPr="005F1568">
              <w:rPr>
                <w:rFonts w:ascii="Calibri" w:hAnsi="Calibri" w:cs="Calibri"/>
                <w:sz w:val="22"/>
                <w:szCs w:val="22"/>
              </w:rPr>
              <w:t>149,260</w:t>
            </w:r>
            <w:r>
              <w:rPr>
                <w:rFonts w:ascii="Calibri" w:hAnsi="Calibri" w:cs="Calibri"/>
                <w:sz w:val="22"/>
                <w:szCs w:val="22"/>
              </w:rPr>
              <w:t>)</w:t>
            </w:r>
            <w:r w:rsidRPr="005F1568">
              <w:rPr>
                <w:rFonts w:ascii="Calibri" w:hAnsi="Calibri" w:cs="Calibri"/>
                <w:sz w:val="22"/>
                <w:szCs w:val="22"/>
              </w:rPr>
              <w:t xml:space="preserve"> </w:t>
            </w:r>
          </w:p>
        </w:tc>
        <w:tc>
          <w:tcPr>
            <w:tcW w:w="2331" w:type="dxa"/>
            <w:noWrap/>
            <w:hideMark/>
          </w:tcPr>
          <w:p w14:paraId="6561B0D5" w14:textId="51996C90"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4,227 </w:t>
            </w:r>
            <w:r>
              <w:rPr>
                <w:rFonts w:ascii="Calibri" w:hAnsi="Calibri" w:cs="Calibri"/>
                <w:sz w:val="22"/>
                <w:szCs w:val="22"/>
              </w:rPr>
              <w:t>(</w:t>
            </w:r>
            <w:r w:rsidRPr="005F1568">
              <w:rPr>
                <w:rFonts w:ascii="Calibri" w:hAnsi="Calibri" w:cs="Calibri"/>
                <w:sz w:val="22"/>
                <w:szCs w:val="22"/>
              </w:rPr>
              <w:t>4,660</w:t>
            </w:r>
            <w:r>
              <w:rPr>
                <w:rFonts w:ascii="Calibri" w:hAnsi="Calibri" w:cs="Calibri"/>
                <w:sz w:val="22"/>
                <w:szCs w:val="22"/>
              </w:rPr>
              <w:t>)</w:t>
            </w:r>
            <w:r w:rsidRPr="005F1568">
              <w:rPr>
                <w:rFonts w:ascii="Calibri" w:hAnsi="Calibri" w:cs="Calibri"/>
                <w:sz w:val="22"/>
                <w:szCs w:val="22"/>
              </w:rPr>
              <w:t xml:space="preserve"> </w:t>
            </w:r>
          </w:p>
        </w:tc>
        <w:tc>
          <w:tcPr>
            <w:tcW w:w="2015" w:type="dxa"/>
            <w:noWrap/>
            <w:hideMark/>
          </w:tcPr>
          <w:p w14:paraId="6FC9D642" w14:textId="7C4E5505" w:rsidR="0058650C" w:rsidRPr="005F1568" w:rsidRDefault="0058650C" w:rsidP="0058650C">
            <w:pPr>
              <w:jc w:val="right"/>
              <w:rPr>
                <w:rFonts w:ascii="Calibri" w:hAnsi="Calibri" w:cs="Calibri"/>
                <w:sz w:val="22"/>
                <w:szCs w:val="22"/>
              </w:rPr>
            </w:pPr>
            <w:r w:rsidRPr="005F1568">
              <w:rPr>
                <w:rFonts w:ascii="Calibri" w:hAnsi="Calibri" w:cs="Calibri"/>
                <w:sz w:val="22"/>
                <w:szCs w:val="22"/>
              </w:rPr>
              <w:t>845</w:t>
            </w:r>
            <w:r>
              <w:rPr>
                <w:rFonts w:ascii="Calibri" w:hAnsi="Calibri" w:cs="Calibri"/>
                <w:sz w:val="22"/>
                <w:szCs w:val="22"/>
              </w:rPr>
              <w:t xml:space="preserve"> (</w:t>
            </w:r>
            <w:r w:rsidRPr="005F1568">
              <w:rPr>
                <w:rFonts w:ascii="Calibri" w:hAnsi="Calibri" w:cs="Calibri"/>
                <w:sz w:val="22"/>
                <w:szCs w:val="22"/>
              </w:rPr>
              <w:t>932</w:t>
            </w:r>
            <w:r>
              <w:rPr>
                <w:rFonts w:ascii="Calibri" w:hAnsi="Calibri" w:cs="Calibri"/>
                <w:sz w:val="22"/>
                <w:szCs w:val="22"/>
              </w:rPr>
              <w:t>)</w:t>
            </w:r>
            <w:r w:rsidRPr="005F1568">
              <w:rPr>
                <w:rFonts w:ascii="Calibri" w:hAnsi="Calibri" w:cs="Calibri"/>
                <w:sz w:val="22"/>
                <w:szCs w:val="22"/>
              </w:rPr>
              <w:t xml:space="preserve"> </w:t>
            </w:r>
          </w:p>
        </w:tc>
      </w:tr>
      <w:tr w:rsidR="0058650C" w:rsidRPr="005F1568" w14:paraId="6ECF78FE" w14:textId="77777777" w:rsidTr="0058650C">
        <w:trPr>
          <w:trHeight w:val="404"/>
          <w:jc w:val="center"/>
        </w:trPr>
        <w:tc>
          <w:tcPr>
            <w:tcW w:w="1170" w:type="dxa"/>
            <w:noWrap/>
            <w:hideMark/>
          </w:tcPr>
          <w:p w14:paraId="46528EFC" w14:textId="77777777" w:rsidR="0058650C" w:rsidRPr="005F1568" w:rsidRDefault="0058650C" w:rsidP="00890550">
            <w:pPr>
              <w:rPr>
                <w:rFonts w:ascii="Calibri" w:hAnsi="Calibri" w:cs="Calibri"/>
                <w:sz w:val="22"/>
                <w:szCs w:val="22"/>
              </w:rPr>
            </w:pPr>
            <w:r w:rsidRPr="005F1568">
              <w:rPr>
                <w:rFonts w:ascii="Calibri" w:hAnsi="Calibri" w:cs="Calibri"/>
                <w:sz w:val="22"/>
                <w:szCs w:val="22"/>
              </w:rPr>
              <w:t>NOx</w:t>
            </w:r>
          </w:p>
        </w:tc>
        <w:tc>
          <w:tcPr>
            <w:tcW w:w="2452" w:type="dxa"/>
            <w:noWrap/>
            <w:hideMark/>
          </w:tcPr>
          <w:p w14:paraId="68443508" w14:textId="0F6A9477"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272 </w:t>
            </w:r>
            <w:r>
              <w:rPr>
                <w:rFonts w:ascii="Calibri" w:hAnsi="Calibri" w:cs="Calibri"/>
                <w:sz w:val="22"/>
                <w:szCs w:val="22"/>
              </w:rPr>
              <w:t>(</w:t>
            </w:r>
            <w:r w:rsidRPr="005F1568">
              <w:rPr>
                <w:rFonts w:ascii="Calibri" w:hAnsi="Calibri" w:cs="Calibri"/>
                <w:sz w:val="22"/>
                <w:szCs w:val="22"/>
              </w:rPr>
              <w:t>300</w:t>
            </w:r>
            <w:r>
              <w:rPr>
                <w:rFonts w:ascii="Calibri" w:hAnsi="Calibri" w:cs="Calibri"/>
                <w:sz w:val="22"/>
                <w:szCs w:val="22"/>
              </w:rPr>
              <w:t>)</w:t>
            </w:r>
          </w:p>
        </w:tc>
        <w:tc>
          <w:tcPr>
            <w:tcW w:w="2331" w:type="dxa"/>
            <w:noWrap/>
            <w:hideMark/>
          </w:tcPr>
          <w:p w14:paraId="1BB36BCB" w14:textId="3704E386"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9 </w:t>
            </w:r>
            <w:r>
              <w:rPr>
                <w:rFonts w:ascii="Calibri" w:hAnsi="Calibri" w:cs="Calibri"/>
                <w:sz w:val="22"/>
                <w:szCs w:val="22"/>
              </w:rPr>
              <w:t>(</w:t>
            </w:r>
            <w:r w:rsidRPr="005F1568">
              <w:rPr>
                <w:rFonts w:ascii="Calibri" w:hAnsi="Calibri" w:cs="Calibri"/>
                <w:sz w:val="22"/>
                <w:szCs w:val="22"/>
              </w:rPr>
              <w:t>9</w:t>
            </w:r>
            <w:r>
              <w:rPr>
                <w:rFonts w:ascii="Calibri" w:hAnsi="Calibri" w:cs="Calibri"/>
                <w:sz w:val="22"/>
                <w:szCs w:val="22"/>
              </w:rPr>
              <w:t>)</w:t>
            </w:r>
            <w:r w:rsidRPr="005F1568">
              <w:rPr>
                <w:rFonts w:ascii="Calibri" w:hAnsi="Calibri" w:cs="Calibri"/>
                <w:sz w:val="22"/>
                <w:szCs w:val="22"/>
              </w:rPr>
              <w:t xml:space="preserve"> </w:t>
            </w:r>
          </w:p>
        </w:tc>
        <w:tc>
          <w:tcPr>
            <w:tcW w:w="2015" w:type="dxa"/>
            <w:noWrap/>
            <w:hideMark/>
          </w:tcPr>
          <w:p w14:paraId="4D3B1633" w14:textId="011B0B18" w:rsidR="0058650C" w:rsidRPr="005F1568" w:rsidRDefault="0058650C" w:rsidP="0058650C">
            <w:pPr>
              <w:tabs>
                <w:tab w:val="center" w:pos="657"/>
                <w:tab w:val="right" w:pos="1314"/>
              </w:tabs>
              <w:jc w:val="right"/>
              <w:rPr>
                <w:rFonts w:ascii="Calibri" w:hAnsi="Calibri" w:cs="Calibri"/>
                <w:sz w:val="22"/>
                <w:szCs w:val="22"/>
              </w:rPr>
            </w:pPr>
            <w:r>
              <w:rPr>
                <w:rFonts w:ascii="Calibri" w:hAnsi="Calibri" w:cs="Calibri"/>
                <w:sz w:val="22"/>
                <w:szCs w:val="22"/>
              </w:rPr>
              <w:tab/>
            </w:r>
            <w:r w:rsidRPr="005F1568">
              <w:rPr>
                <w:rFonts w:ascii="Calibri" w:hAnsi="Calibri" w:cs="Calibri"/>
                <w:sz w:val="22"/>
                <w:szCs w:val="22"/>
              </w:rPr>
              <w:t>2</w:t>
            </w:r>
            <w:r>
              <w:rPr>
                <w:rFonts w:ascii="Calibri" w:hAnsi="Calibri" w:cs="Calibri"/>
                <w:sz w:val="22"/>
                <w:szCs w:val="22"/>
              </w:rPr>
              <w:t xml:space="preserve"> (</w:t>
            </w:r>
            <w:r w:rsidRPr="005F1568">
              <w:rPr>
                <w:rFonts w:ascii="Calibri" w:hAnsi="Calibri" w:cs="Calibri"/>
                <w:sz w:val="22"/>
                <w:szCs w:val="22"/>
              </w:rPr>
              <w:t>2</w:t>
            </w:r>
            <w:r>
              <w:rPr>
                <w:rFonts w:ascii="Calibri" w:hAnsi="Calibri" w:cs="Calibri"/>
                <w:sz w:val="22"/>
                <w:szCs w:val="22"/>
              </w:rPr>
              <w:t>)</w:t>
            </w:r>
            <w:r w:rsidRPr="005F1568">
              <w:rPr>
                <w:rFonts w:ascii="Calibri" w:hAnsi="Calibri" w:cs="Calibri"/>
                <w:sz w:val="22"/>
                <w:szCs w:val="22"/>
              </w:rPr>
              <w:t xml:space="preserve"> </w:t>
            </w:r>
          </w:p>
        </w:tc>
      </w:tr>
      <w:tr w:rsidR="0058650C" w:rsidRPr="005F1568" w14:paraId="7BF67DB6" w14:textId="77777777" w:rsidTr="0058650C">
        <w:trPr>
          <w:trHeight w:val="288"/>
          <w:jc w:val="center"/>
        </w:trPr>
        <w:tc>
          <w:tcPr>
            <w:tcW w:w="1170" w:type="dxa"/>
            <w:noWrap/>
            <w:hideMark/>
          </w:tcPr>
          <w:p w14:paraId="434FFBAC" w14:textId="77777777" w:rsidR="0058650C" w:rsidRPr="005F1568" w:rsidRDefault="0058650C" w:rsidP="00890550">
            <w:pPr>
              <w:rPr>
                <w:rFonts w:ascii="Calibri" w:hAnsi="Calibri" w:cs="Calibri"/>
                <w:sz w:val="22"/>
                <w:szCs w:val="22"/>
              </w:rPr>
            </w:pPr>
            <w:r w:rsidRPr="005F1568">
              <w:rPr>
                <w:rFonts w:ascii="Calibri" w:hAnsi="Calibri" w:cs="Calibri"/>
                <w:sz w:val="22"/>
                <w:szCs w:val="22"/>
              </w:rPr>
              <w:t>VOCs</w:t>
            </w:r>
          </w:p>
        </w:tc>
        <w:tc>
          <w:tcPr>
            <w:tcW w:w="2452" w:type="dxa"/>
            <w:noWrap/>
            <w:hideMark/>
          </w:tcPr>
          <w:p w14:paraId="6E76E02E" w14:textId="06CE64FD"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1,787 </w:t>
            </w:r>
            <w:r>
              <w:rPr>
                <w:rFonts w:ascii="Calibri" w:hAnsi="Calibri" w:cs="Calibri"/>
                <w:sz w:val="22"/>
                <w:szCs w:val="22"/>
              </w:rPr>
              <w:t>(</w:t>
            </w:r>
            <w:r w:rsidRPr="005F1568">
              <w:rPr>
                <w:rFonts w:ascii="Calibri" w:hAnsi="Calibri" w:cs="Calibri"/>
                <w:sz w:val="22"/>
                <w:szCs w:val="22"/>
              </w:rPr>
              <w:t>1,970</w:t>
            </w:r>
            <w:r>
              <w:rPr>
                <w:rFonts w:ascii="Calibri" w:hAnsi="Calibri" w:cs="Calibri"/>
                <w:sz w:val="22"/>
                <w:szCs w:val="22"/>
              </w:rPr>
              <w:t>)</w:t>
            </w:r>
            <w:r w:rsidRPr="005F1568">
              <w:rPr>
                <w:rFonts w:ascii="Calibri" w:hAnsi="Calibri" w:cs="Calibri"/>
                <w:sz w:val="22"/>
                <w:szCs w:val="22"/>
              </w:rPr>
              <w:t xml:space="preserve"> </w:t>
            </w:r>
          </w:p>
        </w:tc>
        <w:tc>
          <w:tcPr>
            <w:tcW w:w="2331" w:type="dxa"/>
            <w:noWrap/>
            <w:hideMark/>
          </w:tcPr>
          <w:p w14:paraId="618337B9" w14:textId="05E6A4D6" w:rsidR="0058650C" w:rsidRPr="005F1568" w:rsidRDefault="0058650C" w:rsidP="0058650C">
            <w:pPr>
              <w:jc w:val="right"/>
              <w:rPr>
                <w:rFonts w:ascii="Calibri" w:hAnsi="Calibri" w:cs="Calibri"/>
                <w:sz w:val="22"/>
                <w:szCs w:val="22"/>
              </w:rPr>
            </w:pPr>
            <w:r w:rsidRPr="005F1568">
              <w:rPr>
                <w:rFonts w:ascii="Calibri" w:hAnsi="Calibri" w:cs="Calibri"/>
                <w:sz w:val="22"/>
                <w:szCs w:val="22"/>
              </w:rPr>
              <w:t>54</w:t>
            </w:r>
            <w:r>
              <w:rPr>
                <w:rFonts w:ascii="Calibri" w:hAnsi="Calibri" w:cs="Calibri"/>
                <w:sz w:val="22"/>
                <w:szCs w:val="22"/>
              </w:rPr>
              <w:t xml:space="preserve"> (</w:t>
            </w:r>
            <w:r w:rsidRPr="005F1568">
              <w:rPr>
                <w:rFonts w:ascii="Calibri" w:hAnsi="Calibri" w:cs="Calibri"/>
                <w:sz w:val="22"/>
                <w:szCs w:val="22"/>
              </w:rPr>
              <w:t>60</w:t>
            </w:r>
            <w:r>
              <w:rPr>
                <w:rFonts w:ascii="Calibri" w:hAnsi="Calibri" w:cs="Calibri"/>
                <w:sz w:val="22"/>
                <w:szCs w:val="22"/>
              </w:rPr>
              <w:t>)</w:t>
            </w:r>
            <w:r w:rsidRPr="005F1568">
              <w:rPr>
                <w:rFonts w:ascii="Calibri" w:hAnsi="Calibri" w:cs="Calibri"/>
                <w:sz w:val="22"/>
                <w:szCs w:val="22"/>
              </w:rPr>
              <w:t xml:space="preserve"> </w:t>
            </w:r>
          </w:p>
        </w:tc>
        <w:tc>
          <w:tcPr>
            <w:tcW w:w="2015" w:type="dxa"/>
            <w:noWrap/>
            <w:hideMark/>
          </w:tcPr>
          <w:p w14:paraId="01FDAD85" w14:textId="320190C1" w:rsidR="0058650C" w:rsidRPr="005F1568" w:rsidRDefault="0058650C" w:rsidP="0058650C">
            <w:pPr>
              <w:jc w:val="right"/>
              <w:rPr>
                <w:rFonts w:ascii="Calibri" w:hAnsi="Calibri" w:cs="Calibri"/>
                <w:sz w:val="22"/>
                <w:szCs w:val="22"/>
              </w:rPr>
            </w:pPr>
            <w:r w:rsidRPr="005F1568">
              <w:rPr>
                <w:rFonts w:ascii="Calibri" w:hAnsi="Calibri" w:cs="Calibri"/>
                <w:sz w:val="22"/>
                <w:szCs w:val="22"/>
              </w:rPr>
              <w:t>11</w:t>
            </w:r>
            <w:r>
              <w:rPr>
                <w:rFonts w:ascii="Calibri" w:hAnsi="Calibri" w:cs="Calibri"/>
                <w:sz w:val="22"/>
                <w:szCs w:val="22"/>
              </w:rPr>
              <w:t xml:space="preserve"> (</w:t>
            </w:r>
            <w:r w:rsidRPr="005F1568">
              <w:rPr>
                <w:rFonts w:ascii="Calibri" w:hAnsi="Calibri" w:cs="Calibri"/>
                <w:sz w:val="22"/>
                <w:szCs w:val="22"/>
              </w:rPr>
              <w:t>12</w:t>
            </w:r>
            <w:r>
              <w:rPr>
                <w:rFonts w:ascii="Calibri" w:hAnsi="Calibri" w:cs="Calibri"/>
                <w:sz w:val="22"/>
                <w:szCs w:val="22"/>
              </w:rPr>
              <w:t>)</w:t>
            </w:r>
            <w:r w:rsidRPr="005F1568">
              <w:rPr>
                <w:rFonts w:ascii="Calibri" w:hAnsi="Calibri" w:cs="Calibri"/>
                <w:sz w:val="22"/>
                <w:szCs w:val="22"/>
              </w:rPr>
              <w:t xml:space="preserve"> </w:t>
            </w:r>
          </w:p>
        </w:tc>
      </w:tr>
    </w:tbl>
    <w:p w14:paraId="65AD0A09" w14:textId="77777777" w:rsidR="005F1568" w:rsidRPr="005F1568" w:rsidRDefault="005F1568" w:rsidP="005F1568">
      <w:pPr>
        <w:pStyle w:val="ListParagraph"/>
        <w:ind w:left="1080"/>
        <w:rPr>
          <w:rFonts w:ascii="Calibri" w:hAnsi="Calibri" w:cs="Calibri"/>
          <w:sz w:val="22"/>
          <w:szCs w:val="22"/>
        </w:rPr>
      </w:pPr>
    </w:p>
    <w:p w14:paraId="3A66D808" w14:textId="77777777" w:rsidR="005F1568" w:rsidRDefault="005F1568" w:rsidP="005F1568">
      <w:pPr>
        <w:pStyle w:val="ListParagraph"/>
        <w:ind w:left="0"/>
        <w:rPr>
          <w:rFonts w:ascii="Calibri" w:hAnsi="Calibri" w:cs="Calibri"/>
          <w:sz w:val="22"/>
          <w:szCs w:val="22"/>
        </w:rPr>
      </w:pPr>
      <w:r w:rsidRPr="005F1568">
        <w:rPr>
          <w:rFonts w:ascii="Calibri" w:hAnsi="Calibri" w:cs="Calibri"/>
          <w:sz w:val="22"/>
          <w:szCs w:val="22"/>
          <w:u w:val="single"/>
        </w:rPr>
        <w:t>Commercial hand-held equipment</w:t>
      </w:r>
      <w:r w:rsidRPr="005F1568">
        <w:rPr>
          <w:rFonts w:ascii="Calibri" w:hAnsi="Calibri" w:cs="Calibri"/>
          <w:sz w:val="22"/>
          <w:szCs w:val="22"/>
        </w:rPr>
        <w:t>: as with the all-residential equipment category, we summed the emissions for the units estimated by MOVES as commercial gasoline hand-held equipment. We defined hand-held equipment as the following MOVES equipment types:</w:t>
      </w:r>
      <w:r w:rsidRPr="005F1568">
        <w:rPr>
          <w:rFonts w:ascii="Calibri" w:hAnsi="Calibri" w:cs="Calibri"/>
          <w:color w:val="000000"/>
          <w:sz w:val="22"/>
          <w:szCs w:val="22"/>
        </w:rPr>
        <w:t xml:space="preserve"> 2-Str </w:t>
      </w:r>
      <w:proofErr w:type="spellStart"/>
      <w:r w:rsidRPr="005F1568">
        <w:rPr>
          <w:rFonts w:ascii="Calibri" w:hAnsi="Calibri" w:cs="Calibri"/>
          <w:color w:val="000000"/>
          <w:sz w:val="22"/>
          <w:szCs w:val="22"/>
        </w:rPr>
        <w:t>Leafblowers</w:t>
      </w:r>
      <w:proofErr w:type="spellEnd"/>
      <w:r w:rsidRPr="005F1568">
        <w:rPr>
          <w:rFonts w:ascii="Calibri" w:hAnsi="Calibri" w:cs="Calibri"/>
          <w:color w:val="000000"/>
          <w:sz w:val="22"/>
          <w:szCs w:val="22"/>
        </w:rPr>
        <w:t xml:space="preserve">/Vacuums (com), 2-Str Trimmers/Edgers/Brush Cutter (com), 2-Str Chain Saws &lt; 6 HP (com), 4-Str </w:t>
      </w:r>
      <w:proofErr w:type="spellStart"/>
      <w:r w:rsidRPr="005F1568">
        <w:rPr>
          <w:rFonts w:ascii="Calibri" w:hAnsi="Calibri" w:cs="Calibri"/>
          <w:color w:val="000000"/>
          <w:sz w:val="22"/>
          <w:szCs w:val="22"/>
        </w:rPr>
        <w:t>Leafblowers</w:t>
      </w:r>
      <w:proofErr w:type="spellEnd"/>
      <w:r w:rsidRPr="005F1568">
        <w:rPr>
          <w:rFonts w:ascii="Calibri" w:hAnsi="Calibri" w:cs="Calibri"/>
          <w:color w:val="000000"/>
          <w:sz w:val="22"/>
          <w:szCs w:val="22"/>
        </w:rPr>
        <w:t xml:space="preserve">/Vacuums (com). </w:t>
      </w:r>
      <w:r w:rsidRPr="005F1568">
        <w:rPr>
          <w:rFonts w:ascii="Calibri" w:hAnsi="Calibri" w:cs="Calibri"/>
          <w:sz w:val="22"/>
          <w:szCs w:val="22"/>
        </w:rPr>
        <w:t>The table below shows the estimates of baseline 2020 commercial hand-held LGE emissions, the cumulative 2025-2030 emissions reductions, and annual 2025-2030 emissions reductions for the seven Chicago area counties.</w:t>
      </w:r>
    </w:p>
    <w:p w14:paraId="74373C00" w14:textId="77777777" w:rsidR="0058650C" w:rsidRPr="005F1568" w:rsidRDefault="0058650C" w:rsidP="0058650C">
      <w:pPr>
        <w:pStyle w:val="ListParagraph"/>
        <w:ind w:left="0"/>
        <w:jc w:val="center"/>
        <w:rPr>
          <w:rFonts w:ascii="Calibri" w:hAnsi="Calibri" w:cs="Calibri"/>
          <w:sz w:val="22"/>
          <w:szCs w:val="22"/>
        </w:rPr>
      </w:pPr>
    </w:p>
    <w:tbl>
      <w:tblPr>
        <w:tblStyle w:val="TableGrid"/>
        <w:tblW w:w="7973" w:type="dxa"/>
        <w:jc w:val="center"/>
        <w:tblLook w:val="04A0" w:firstRow="1" w:lastRow="0" w:firstColumn="1" w:lastColumn="0" w:noHBand="0" w:noVBand="1"/>
      </w:tblPr>
      <w:tblGrid>
        <w:gridCol w:w="1170"/>
        <w:gridCol w:w="2555"/>
        <w:gridCol w:w="2294"/>
        <w:gridCol w:w="1954"/>
      </w:tblGrid>
      <w:tr w:rsidR="0058650C" w:rsidRPr="005F1568" w14:paraId="54C0F510" w14:textId="77777777" w:rsidTr="0058650C">
        <w:trPr>
          <w:trHeight w:val="310"/>
          <w:jc w:val="center"/>
        </w:trPr>
        <w:tc>
          <w:tcPr>
            <w:tcW w:w="7973" w:type="dxa"/>
            <w:gridSpan w:val="4"/>
            <w:shd w:val="clear" w:color="auto" w:fill="DAE9F7" w:themeFill="text2" w:themeFillTint="1A"/>
            <w:noWrap/>
          </w:tcPr>
          <w:p w14:paraId="5F0B6F7D" w14:textId="0732A2F3" w:rsidR="0058650C" w:rsidRPr="0058650C" w:rsidRDefault="0058650C" w:rsidP="0058650C">
            <w:pPr>
              <w:jc w:val="center"/>
              <w:rPr>
                <w:rFonts w:ascii="Calibri" w:hAnsi="Calibri" w:cs="Calibri"/>
                <w:b/>
                <w:bCs/>
                <w:sz w:val="22"/>
                <w:szCs w:val="22"/>
              </w:rPr>
            </w:pPr>
            <w:r>
              <w:rPr>
                <w:rFonts w:ascii="Calibri" w:hAnsi="Calibri" w:cs="Calibri"/>
                <w:b/>
                <w:bCs/>
                <w:sz w:val="22"/>
                <w:szCs w:val="22"/>
              </w:rPr>
              <w:t>Commercial Hand-Held LGE</w:t>
            </w:r>
          </w:p>
        </w:tc>
      </w:tr>
      <w:tr w:rsidR="0058650C" w:rsidRPr="005F1568" w14:paraId="230047E6" w14:textId="77777777" w:rsidTr="0058650C">
        <w:trPr>
          <w:trHeight w:val="310"/>
          <w:jc w:val="center"/>
        </w:trPr>
        <w:tc>
          <w:tcPr>
            <w:tcW w:w="1170" w:type="dxa"/>
            <w:noWrap/>
            <w:hideMark/>
          </w:tcPr>
          <w:p w14:paraId="7485AD97" w14:textId="0605C4CA" w:rsidR="0058650C" w:rsidRPr="005F1568" w:rsidRDefault="0058650C" w:rsidP="0058650C">
            <w:pPr>
              <w:jc w:val="center"/>
              <w:rPr>
                <w:rFonts w:ascii="Calibri" w:hAnsi="Calibri" w:cs="Calibri"/>
                <w:sz w:val="22"/>
                <w:szCs w:val="22"/>
              </w:rPr>
            </w:pPr>
            <w:r w:rsidRPr="0058650C">
              <w:rPr>
                <w:rFonts w:ascii="Calibri" w:hAnsi="Calibri" w:cs="Calibri"/>
                <w:b/>
                <w:bCs/>
                <w:sz w:val="22"/>
                <w:szCs w:val="22"/>
              </w:rPr>
              <w:t>Pollutant</w:t>
            </w:r>
          </w:p>
        </w:tc>
        <w:tc>
          <w:tcPr>
            <w:tcW w:w="2555" w:type="dxa"/>
            <w:noWrap/>
            <w:hideMark/>
          </w:tcPr>
          <w:p w14:paraId="27BC92C2" w14:textId="03DE0FBB" w:rsidR="0058650C" w:rsidRDefault="0058650C" w:rsidP="0058650C">
            <w:pPr>
              <w:jc w:val="center"/>
              <w:rPr>
                <w:rFonts w:ascii="Calibri" w:hAnsi="Calibri" w:cs="Calibri"/>
                <w:b/>
                <w:bCs/>
                <w:sz w:val="22"/>
                <w:szCs w:val="22"/>
              </w:rPr>
            </w:pPr>
            <w:r w:rsidRPr="0058650C">
              <w:rPr>
                <w:rFonts w:ascii="Calibri" w:hAnsi="Calibri" w:cs="Calibri"/>
                <w:b/>
                <w:bCs/>
                <w:sz w:val="22"/>
                <w:szCs w:val="22"/>
              </w:rPr>
              <w:t>Baseline 2020</w:t>
            </w:r>
            <w:r>
              <w:rPr>
                <w:rFonts w:ascii="Calibri" w:hAnsi="Calibri" w:cs="Calibri"/>
                <w:b/>
                <w:bCs/>
                <w:sz w:val="22"/>
                <w:szCs w:val="22"/>
              </w:rPr>
              <w:t xml:space="preserve"> Emissions</w:t>
            </w:r>
          </w:p>
          <w:p w14:paraId="47617D0E" w14:textId="0856DF2B" w:rsidR="0058650C" w:rsidRPr="005F1568" w:rsidRDefault="0058650C" w:rsidP="0058650C">
            <w:pPr>
              <w:jc w:val="center"/>
              <w:rPr>
                <w:rFonts w:ascii="Calibri" w:hAnsi="Calibri" w:cs="Calibri"/>
                <w:sz w:val="22"/>
                <w:szCs w:val="22"/>
              </w:rPr>
            </w:pPr>
            <w:r w:rsidRPr="0058650C">
              <w:rPr>
                <w:rFonts w:ascii="Calibri" w:hAnsi="Calibri" w:cs="Calibri"/>
                <w:b/>
                <w:bCs/>
                <w:sz w:val="22"/>
                <w:szCs w:val="22"/>
              </w:rPr>
              <w:t>metric tons (tons)</w:t>
            </w:r>
          </w:p>
        </w:tc>
        <w:tc>
          <w:tcPr>
            <w:tcW w:w="2294" w:type="dxa"/>
            <w:noWrap/>
            <w:hideMark/>
          </w:tcPr>
          <w:p w14:paraId="5666EF41" w14:textId="77777777" w:rsidR="0058650C" w:rsidRDefault="0058650C" w:rsidP="0058650C">
            <w:pPr>
              <w:jc w:val="center"/>
              <w:rPr>
                <w:rFonts w:ascii="Calibri" w:hAnsi="Calibri" w:cs="Calibri"/>
                <w:b/>
                <w:bCs/>
                <w:sz w:val="22"/>
                <w:szCs w:val="22"/>
              </w:rPr>
            </w:pPr>
            <w:r w:rsidRPr="0058650C">
              <w:rPr>
                <w:rFonts w:ascii="Calibri" w:hAnsi="Calibri" w:cs="Calibri"/>
                <w:b/>
                <w:bCs/>
                <w:sz w:val="22"/>
                <w:szCs w:val="22"/>
              </w:rPr>
              <w:t xml:space="preserve">Cumulative </w:t>
            </w:r>
            <w:r>
              <w:rPr>
                <w:rFonts w:ascii="Calibri" w:hAnsi="Calibri" w:cs="Calibri"/>
                <w:b/>
                <w:bCs/>
                <w:sz w:val="22"/>
                <w:szCs w:val="22"/>
              </w:rPr>
              <w:t>Emissions</w:t>
            </w:r>
          </w:p>
          <w:p w14:paraId="02075E07" w14:textId="45F58487" w:rsidR="0058650C" w:rsidRPr="005F1568" w:rsidRDefault="0058650C" w:rsidP="0058650C">
            <w:pPr>
              <w:jc w:val="center"/>
              <w:rPr>
                <w:rFonts w:ascii="Calibri" w:hAnsi="Calibri" w:cs="Calibri"/>
                <w:sz w:val="22"/>
                <w:szCs w:val="22"/>
              </w:rPr>
            </w:pPr>
            <w:r w:rsidRPr="0058650C">
              <w:rPr>
                <w:rFonts w:ascii="Calibri" w:hAnsi="Calibri" w:cs="Calibri"/>
                <w:b/>
                <w:bCs/>
                <w:sz w:val="22"/>
                <w:szCs w:val="22"/>
              </w:rPr>
              <w:t>metric tons (tons)</w:t>
            </w:r>
          </w:p>
        </w:tc>
        <w:tc>
          <w:tcPr>
            <w:tcW w:w="1954" w:type="dxa"/>
            <w:noWrap/>
            <w:hideMark/>
          </w:tcPr>
          <w:p w14:paraId="0B60B7E8" w14:textId="77777777" w:rsidR="0058650C" w:rsidRDefault="0058650C" w:rsidP="0058650C">
            <w:pPr>
              <w:jc w:val="center"/>
              <w:rPr>
                <w:rFonts w:ascii="Calibri" w:hAnsi="Calibri" w:cs="Calibri"/>
                <w:b/>
                <w:bCs/>
                <w:sz w:val="22"/>
                <w:szCs w:val="22"/>
              </w:rPr>
            </w:pPr>
            <w:r w:rsidRPr="0058650C">
              <w:rPr>
                <w:rFonts w:ascii="Calibri" w:hAnsi="Calibri" w:cs="Calibri"/>
                <w:b/>
                <w:bCs/>
                <w:sz w:val="22"/>
                <w:szCs w:val="22"/>
              </w:rPr>
              <w:t xml:space="preserve">Annual </w:t>
            </w:r>
            <w:r>
              <w:rPr>
                <w:rFonts w:ascii="Calibri" w:hAnsi="Calibri" w:cs="Calibri"/>
                <w:b/>
                <w:bCs/>
                <w:sz w:val="22"/>
                <w:szCs w:val="22"/>
              </w:rPr>
              <w:t>Emissions</w:t>
            </w:r>
          </w:p>
          <w:p w14:paraId="6FAEE125" w14:textId="187BF682" w:rsidR="0058650C" w:rsidRPr="005F1568" w:rsidRDefault="0058650C" w:rsidP="0058650C">
            <w:pPr>
              <w:jc w:val="center"/>
              <w:rPr>
                <w:rFonts w:ascii="Calibri" w:hAnsi="Calibri" w:cs="Calibri"/>
                <w:sz w:val="22"/>
                <w:szCs w:val="22"/>
              </w:rPr>
            </w:pPr>
            <w:r w:rsidRPr="0058650C">
              <w:rPr>
                <w:rFonts w:ascii="Calibri" w:hAnsi="Calibri" w:cs="Calibri"/>
                <w:b/>
                <w:bCs/>
                <w:sz w:val="22"/>
                <w:szCs w:val="22"/>
              </w:rPr>
              <w:t>metric tons (tons)</w:t>
            </w:r>
          </w:p>
        </w:tc>
      </w:tr>
      <w:tr w:rsidR="0058650C" w:rsidRPr="005F1568" w14:paraId="0F6BEB18" w14:textId="77777777" w:rsidTr="0058650C">
        <w:trPr>
          <w:trHeight w:val="290"/>
          <w:jc w:val="center"/>
        </w:trPr>
        <w:tc>
          <w:tcPr>
            <w:tcW w:w="1170" w:type="dxa"/>
            <w:noWrap/>
            <w:hideMark/>
          </w:tcPr>
          <w:p w14:paraId="277CBCD1"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CO2</w:t>
            </w:r>
          </w:p>
        </w:tc>
        <w:tc>
          <w:tcPr>
            <w:tcW w:w="2555" w:type="dxa"/>
            <w:noWrap/>
            <w:hideMark/>
          </w:tcPr>
          <w:p w14:paraId="7764693A" w14:textId="742BD48A" w:rsidR="0058650C" w:rsidRPr="005F1568" w:rsidRDefault="0058650C" w:rsidP="0058650C">
            <w:pPr>
              <w:jc w:val="right"/>
              <w:rPr>
                <w:rFonts w:ascii="Calibri" w:hAnsi="Calibri" w:cs="Calibri"/>
                <w:sz w:val="22"/>
                <w:szCs w:val="22"/>
              </w:rPr>
            </w:pPr>
            <w:r w:rsidRPr="005F1568">
              <w:rPr>
                <w:rFonts w:ascii="Calibri" w:hAnsi="Calibri" w:cs="Calibri"/>
                <w:sz w:val="22"/>
                <w:szCs w:val="22"/>
              </w:rPr>
              <w:t>93,286</w:t>
            </w:r>
            <w:r>
              <w:rPr>
                <w:rFonts w:ascii="Calibri" w:hAnsi="Calibri" w:cs="Calibri"/>
                <w:sz w:val="22"/>
                <w:szCs w:val="22"/>
              </w:rPr>
              <w:t xml:space="preserve"> (</w:t>
            </w:r>
            <w:r w:rsidRPr="005F1568">
              <w:rPr>
                <w:rFonts w:ascii="Calibri" w:hAnsi="Calibri" w:cs="Calibri"/>
                <w:sz w:val="22"/>
                <w:szCs w:val="22"/>
              </w:rPr>
              <w:t>102,830</w:t>
            </w:r>
            <w:r>
              <w:rPr>
                <w:rFonts w:ascii="Calibri" w:hAnsi="Calibri" w:cs="Calibri"/>
                <w:sz w:val="22"/>
                <w:szCs w:val="22"/>
              </w:rPr>
              <w:t>)</w:t>
            </w:r>
          </w:p>
        </w:tc>
        <w:tc>
          <w:tcPr>
            <w:tcW w:w="2294" w:type="dxa"/>
            <w:noWrap/>
            <w:hideMark/>
          </w:tcPr>
          <w:p w14:paraId="6225C4F6" w14:textId="327C5169" w:rsidR="0058650C" w:rsidRPr="005F1568" w:rsidRDefault="0058650C" w:rsidP="0058650C">
            <w:pPr>
              <w:jc w:val="right"/>
              <w:rPr>
                <w:rFonts w:ascii="Calibri" w:hAnsi="Calibri" w:cs="Calibri"/>
                <w:sz w:val="22"/>
                <w:szCs w:val="22"/>
              </w:rPr>
            </w:pPr>
            <w:r>
              <w:rPr>
                <w:rFonts w:ascii="Calibri" w:hAnsi="Calibri" w:cs="Calibri"/>
                <w:sz w:val="22"/>
                <w:szCs w:val="22"/>
              </w:rPr>
              <w:t>2,331 (</w:t>
            </w:r>
            <w:r w:rsidRPr="005F1568">
              <w:rPr>
                <w:rFonts w:ascii="Calibri" w:hAnsi="Calibri" w:cs="Calibri"/>
                <w:sz w:val="22"/>
                <w:szCs w:val="22"/>
              </w:rPr>
              <w:t>2,570</w:t>
            </w:r>
            <w:r>
              <w:rPr>
                <w:rFonts w:ascii="Calibri" w:hAnsi="Calibri" w:cs="Calibri"/>
                <w:sz w:val="22"/>
                <w:szCs w:val="22"/>
              </w:rPr>
              <w:t>)</w:t>
            </w:r>
          </w:p>
        </w:tc>
        <w:tc>
          <w:tcPr>
            <w:tcW w:w="1954" w:type="dxa"/>
            <w:noWrap/>
            <w:hideMark/>
          </w:tcPr>
          <w:p w14:paraId="5E020AF9" w14:textId="095E1A4A" w:rsidR="0058650C" w:rsidRPr="005F1568" w:rsidRDefault="0058650C" w:rsidP="0058650C">
            <w:pPr>
              <w:jc w:val="right"/>
              <w:rPr>
                <w:rFonts w:ascii="Calibri" w:hAnsi="Calibri" w:cs="Calibri"/>
                <w:sz w:val="22"/>
                <w:szCs w:val="22"/>
              </w:rPr>
            </w:pPr>
            <w:r>
              <w:rPr>
                <w:rFonts w:ascii="Calibri" w:hAnsi="Calibri" w:cs="Calibri"/>
                <w:sz w:val="22"/>
                <w:szCs w:val="22"/>
              </w:rPr>
              <w:t>466</w:t>
            </w:r>
            <w:r w:rsidRPr="005F1568">
              <w:rPr>
                <w:rFonts w:ascii="Calibri" w:hAnsi="Calibri" w:cs="Calibri"/>
                <w:sz w:val="22"/>
                <w:szCs w:val="22"/>
              </w:rPr>
              <w:t xml:space="preserve"> </w:t>
            </w:r>
            <w:r>
              <w:rPr>
                <w:rFonts w:ascii="Calibri" w:hAnsi="Calibri" w:cs="Calibri"/>
                <w:sz w:val="22"/>
                <w:szCs w:val="22"/>
              </w:rPr>
              <w:t>(</w:t>
            </w:r>
            <w:r w:rsidRPr="005F1568">
              <w:rPr>
                <w:rFonts w:ascii="Calibri" w:hAnsi="Calibri" w:cs="Calibri"/>
                <w:sz w:val="22"/>
                <w:szCs w:val="22"/>
              </w:rPr>
              <w:t>514</w:t>
            </w:r>
            <w:r>
              <w:rPr>
                <w:rFonts w:ascii="Calibri" w:hAnsi="Calibri" w:cs="Calibri"/>
                <w:sz w:val="22"/>
                <w:szCs w:val="22"/>
              </w:rPr>
              <w:t>)</w:t>
            </w:r>
          </w:p>
        </w:tc>
      </w:tr>
      <w:tr w:rsidR="0058650C" w:rsidRPr="005F1568" w14:paraId="7F6AA509" w14:textId="77777777" w:rsidTr="0058650C">
        <w:trPr>
          <w:trHeight w:val="290"/>
          <w:jc w:val="center"/>
        </w:trPr>
        <w:tc>
          <w:tcPr>
            <w:tcW w:w="1170" w:type="dxa"/>
            <w:noWrap/>
            <w:hideMark/>
          </w:tcPr>
          <w:p w14:paraId="7B0C119B"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NOx</w:t>
            </w:r>
          </w:p>
        </w:tc>
        <w:tc>
          <w:tcPr>
            <w:tcW w:w="2555" w:type="dxa"/>
            <w:noWrap/>
            <w:hideMark/>
          </w:tcPr>
          <w:p w14:paraId="190C5C6D" w14:textId="17DDFCA2" w:rsidR="0058650C" w:rsidRPr="005F1568" w:rsidRDefault="0058650C" w:rsidP="0058650C">
            <w:pPr>
              <w:jc w:val="right"/>
              <w:rPr>
                <w:rFonts w:ascii="Calibri" w:hAnsi="Calibri" w:cs="Calibri"/>
                <w:sz w:val="22"/>
                <w:szCs w:val="22"/>
              </w:rPr>
            </w:pPr>
            <w:r>
              <w:rPr>
                <w:rFonts w:ascii="Calibri" w:hAnsi="Calibri" w:cs="Calibri"/>
                <w:sz w:val="22"/>
                <w:szCs w:val="22"/>
              </w:rPr>
              <w:t>200 (</w:t>
            </w:r>
            <w:r w:rsidRPr="005F1568">
              <w:rPr>
                <w:rFonts w:ascii="Calibri" w:hAnsi="Calibri" w:cs="Calibri"/>
                <w:sz w:val="22"/>
                <w:szCs w:val="22"/>
              </w:rPr>
              <w:t>220</w:t>
            </w:r>
            <w:r>
              <w:rPr>
                <w:rFonts w:ascii="Calibri" w:hAnsi="Calibri" w:cs="Calibri"/>
                <w:sz w:val="22"/>
                <w:szCs w:val="22"/>
              </w:rPr>
              <w:t>)</w:t>
            </w:r>
          </w:p>
        </w:tc>
        <w:tc>
          <w:tcPr>
            <w:tcW w:w="2294" w:type="dxa"/>
            <w:noWrap/>
            <w:hideMark/>
          </w:tcPr>
          <w:p w14:paraId="0A42717B" w14:textId="1CE08950" w:rsidR="0058650C" w:rsidRPr="005F1568" w:rsidRDefault="0058650C" w:rsidP="0058650C">
            <w:pPr>
              <w:jc w:val="right"/>
              <w:rPr>
                <w:rFonts w:ascii="Calibri" w:hAnsi="Calibri" w:cs="Calibri"/>
                <w:sz w:val="22"/>
                <w:szCs w:val="22"/>
              </w:rPr>
            </w:pPr>
            <w:r>
              <w:rPr>
                <w:rFonts w:ascii="Calibri" w:hAnsi="Calibri" w:cs="Calibri"/>
                <w:sz w:val="22"/>
                <w:szCs w:val="22"/>
              </w:rPr>
              <w:t>5 (</w:t>
            </w:r>
            <w:r w:rsidRPr="005F1568">
              <w:rPr>
                <w:rFonts w:ascii="Calibri" w:hAnsi="Calibri" w:cs="Calibri"/>
                <w:sz w:val="22"/>
                <w:szCs w:val="22"/>
              </w:rPr>
              <w:t>6</w:t>
            </w:r>
            <w:r>
              <w:rPr>
                <w:rFonts w:ascii="Calibri" w:hAnsi="Calibri" w:cs="Calibri"/>
                <w:sz w:val="22"/>
                <w:szCs w:val="22"/>
              </w:rPr>
              <w:t>)</w:t>
            </w:r>
          </w:p>
        </w:tc>
        <w:tc>
          <w:tcPr>
            <w:tcW w:w="1954" w:type="dxa"/>
            <w:noWrap/>
            <w:hideMark/>
          </w:tcPr>
          <w:p w14:paraId="320831C8" w14:textId="49C3319A" w:rsidR="0058650C" w:rsidRPr="005F1568" w:rsidRDefault="0058650C" w:rsidP="0058650C">
            <w:pPr>
              <w:jc w:val="right"/>
              <w:rPr>
                <w:rFonts w:ascii="Calibri" w:hAnsi="Calibri" w:cs="Calibri"/>
                <w:sz w:val="22"/>
                <w:szCs w:val="22"/>
              </w:rPr>
            </w:pPr>
            <w:r>
              <w:rPr>
                <w:rFonts w:ascii="Calibri" w:hAnsi="Calibri" w:cs="Calibri"/>
                <w:sz w:val="22"/>
                <w:szCs w:val="22"/>
              </w:rPr>
              <w:t>1</w:t>
            </w:r>
            <w:r w:rsidRPr="005F1568">
              <w:rPr>
                <w:rFonts w:ascii="Calibri" w:hAnsi="Calibri" w:cs="Calibri"/>
                <w:sz w:val="22"/>
                <w:szCs w:val="22"/>
              </w:rPr>
              <w:t xml:space="preserve"> </w:t>
            </w:r>
            <w:r>
              <w:rPr>
                <w:rFonts w:ascii="Calibri" w:hAnsi="Calibri" w:cs="Calibri"/>
                <w:sz w:val="22"/>
                <w:szCs w:val="22"/>
              </w:rPr>
              <w:t>(</w:t>
            </w:r>
            <w:r w:rsidRPr="005F1568">
              <w:rPr>
                <w:rFonts w:ascii="Calibri" w:hAnsi="Calibri" w:cs="Calibri"/>
                <w:sz w:val="22"/>
                <w:szCs w:val="22"/>
              </w:rPr>
              <w:t>1</w:t>
            </w:r>
            <w:r>
              <w:rPr>
                <w:rFonts w:ascii="Calibri" w:hAnsi="Calibri" w:cs="Calibri"/>
                <w:sz w:val="22"/>
                <w:szCs w:val="22"/>
              </w:rPr>
              <w:t>)</w:t>
            </w:r>
          </w:p>
        </w:tc>
      </w:tr>
      <w:tr w:rsidR="0058650C" w:rsidRPr="005F1568" w14:paraId="405E0ABB" w14:textId="77777777" w:rsidTr="0058650C">
        <w:trPr>
          <w:trHeight w:val="290"/>
          <w:jc w:val="center"/>
        </w:trPr>
        <w:tc>
          <w:tcPr>
            <w:tcW w:w="1170" w:type="dxa"/>
            <w:noWrap/>
            <w:hideMark/>
          </w:tcPr>
          <w:p w14:paraId="7368267F"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VOCs</w:t>
            </w:r>
          </w:p>
        </w:tc>
        <w:tc>
          <w:tcPr>
            <w:tcW w:w="2555" w:type="dxa"/>
            <w:noWrap/>
            <w:hideMark/>
          </w:tcPr>
          <w:p w14:paraId="7D99C015" w14:textId="14D845F0" w:rsidR="0058650C" w:rsidRPr="005F1568" w:rsidRDefault="0058650C" w:rsidP="0058650C">
            <w:pPr>
              <w:jc w:val="right"/>
              <w:rPr>
                <w:rFonts w:ascii="Calibri" w:hAnsi="Calibri" w:cs="Calibri"/>
                <w:sz w:val="22"/>
                <w:szCs w:val="22"/>
              </w:rPr>
            </w:pPr>
            <w:r>
              <w:rPr>
                <w:rFonts w:ascii="Calibri" w:hAnsi="Calibri" w:cs="Calibri"/>
                <w:sz w:val="22"/>
                <w:szCs w:val="22"/>
              </w:rPr>
              <w:t>3,937 (</w:t>
            </w:r>
            <w:r w:rsidRPr="005F1568">
              <w:rPr>
                <w:rFonts w:ascii="Calibri" w:hAnsi="Calibri" w:cs="Calibri"/>
                <w:sz w:val="22"/>
                <w:szCs w:val="22"/>
              </w:rPr>
              <w:t>4,340</w:t>
            </w:r>
            <w:r>
              <w:rPr>
                <w:rFonts w:ascii="Calibri" w:hAnsi="Calibri" w:cs="Calibri"/>
                <w:sz w:val="22"/>
                <w:szCs w:val="22"/>
              </w:rPr>
              <w:t>)</w:t>
            </w:r>
          </w:p>
        </w:tc>
        <w:tc>
          <w:tcPr>
            <w:tcW w:w="2294" w:type="dxa"/>
            <w:noWrap/>
            <w:hideMark/>
          </w:tcPr>
          <w:p w14:paraId="0E6ADFD7" w14:textId="3C477278" w:rsidR="0058650C" w:rsidRPr="005F1568" w:rsidRDefault="0058650C" w:rsidP="0058650C">
            <w:pPr>
              <w:jc w:val="right"/>
              <w:rPr>
                <w:rFonts w:ascii="Calibri" w:hAnsi="Calibri" w:cs="Calibri"/>
                <w:sz w:val="22"/>
                <w:szCs w:val="22"/>
              </w:rPr>
            </w:pPr>
            <w:r>
              <w:rPr>
                <w:rFonts w:ascii="Calibri" w:hAnsi="Calibri" w:cs="Calibri"/>
                <w:sz w:val="22"/>
                <w:szCs w:val="22"/>
              </w:rPr>
              <w:t>100 (</w:t>
            </w:r>
            <w:r w:rsidRPr="005F1568">
              <w:rPr>
                <w:rFonts w:ascii="Calibri" w:hAnsi="Calibri" w:cs="Calibri"/>
                <w:sz w:val="22"/>
                <w:szCs w:val="22"/>
              </w:rPr>
              <w:t>110</w:t>
            </w:r>
            <w:r>
              <w:rPr>
                <w:rFonts w:ascii="Calibri" w:hAnsi="Calibri" w:cs="Calibri"/>
                <w:sz w:val="22"/>
                <w:szCs w:val="22"/>
              </w:rPr>
              <w:t>)</w:t>
            </w:r>
          </w:p>
        </w:tc>
        <w:tc>
          <w:tcPr>
            <w:tcW w:w="1954" w:type="dxa"/>
            <w:noWrap/>
            <w:hideMark/>
          </w:tcPr>
          <w:p w14:paraId="3519F879" w14:textId="29038494" w:rsidR="0058650C" w:rsidRPr="005F1568" w:rsidRDefault="0058650C" w:rsidP="0058650C">
            <w:pPr>
              <w:jc w:val="right"/>
              <w:rPr>
                <w:rFonts w:ascii="Calibri" w:hAnsi="Calibri" w:cs="Calibri"/>
                <w:sz w:val="22"/>
                <w:szCs w:val="22"/>
              </w:rPr>
            </w:pPr>
            <w:r>
              <w:rPr>
                <w:rFonts w:ascii="Calibri" w:hAnsi="Calibri" w:cs="Calibri"/>
                <w:sz w:val="22"/>
                <w:szCs w:val="22"/>
              </w:rPr>
              <w:t>20</w:t>
            </w:r>
            <w:r w:rsidRPr="005F1568">
              <w:rPr>
                <w:rFonts w:ascii="Calibri" w:hAnsi="Calibri" w:cs="Calibri"/>
                <w:sz w:val="22"/>
                <w:szCs w:val="22"/>
              </w:rPr>
              <w:t xml:space="preserve"> </w:t>
            </w:r>
            <w:r>
              <w:rPr>
                <w:rFonts w:ascii="Calibri" w:hAnsi="Calibri" w:cs="Calibri"/>
                <w:sz w:val="22"/>
                <w:szCs w:val="22"/>
              </w:rPr>
              <w:t>(</w:t>
            </w:r>
            <w:r w:rsidRPr="005F1568">
              <w:rPr>
                <w:rFonts w:ascii="Calibri" w:hAnsi="Calibri" w:cs="Calibri"/>
                <w:sz w:val="22"/>
                <w:szCs w:val="22"/>
              </w:rPr>
              <w:t>22</w:t>
            </w:r>
            <w:r>
              <w:rPr>
                <w:rFonts w:ascii="Calibri" w:hAnsi="Calibri" w:cs="Calibri"/>
                <w:sz w:val="22"/>
                <w:szCs w:val="22"/>
              </w:rPr>
              <w:t>)</w:t>
            </w:r>
          </w:p>
        </w:tc>
      </w:tr>
    </w:tbl>
    <w:p w14:paraId="0E9129AB" w14:textId="77777777" w:rsidR="005F1568" w:rsidRDefault="005F1568" w:rsidP="005F1568">
      <w:pPr>
        <w:pStyle w:val="ListParagraph"/>
        <w:ind w:left="0"/>
        <w:rPr>
          <w:rFonts w:ascii="Calibri" w:hAnsi="Calibri" w:cs="Calibri"/>
          <w:sz w:val="22"/>
          <w:szCs w:val="22"/>
          <w:u w:val="single"/>
        </w:rPr>
      </w:pPr>
    </w:p>
    <w:p w14:paraId="135E1EB6" w14:textId="7C817C79" w:rsidR="005F1568" w:rsidRDefault="005F1568" w:rsidP="005F1568">
      <w:pPr>
        <w:pStyle w:val="ListParagraph"/>
        <w:ind w:left="0"/>
        <w:rPr>
          <w:rFonts w:ascii="Calibri" w:hAnsi="Calibri" w:cs="Calibri"/>
          <w:sz w:val="22"/>
          <w:szCs w:val="22"/>
        </w:rPr>
      </w:pPr>
      <w:r w:rsidRPr="005F1568">
        <w:rPr>
          <w:rFonts w:ascii="Calibri" w:hAnsi="Calibri" w:cs="Calibri"/>
          <w:sz w:val="22"/>
          <w:szCs w:val="22"/>
          <w:u w:val="single"/>
        </w:rPr>
        <w:t>Commercial mowers and tractors</w:t>
      </w:r>
      <w:r w:rsidRPr="005F1568">
        <w:rPr>
          <w:rFonts w:ascii="Calibri" w:hAnsi="Calibri" w:cs="Calibri"/>
          <w:sz w:val="22"/>
          <w:szCs w:val="22"/>
        </w:rPr>
        <w:t xml:space="preserve">: as with the all-residential equipment category, we summed the emissions for the units estimated by MOVES as commercial gasoline mowers and tractors. We defined commercial mowers and tractors as the following MOVES equipment types: </w:t>
      </w:r>
      <w:r w:rsidRPr="005F1568">
        <w:rPr>
          <w:rFonts w:ascii="Calibri" w:hAnsi="Calibri" w:cs="Calibri"/>
          <w:color w:val="000000"/>
          <w:sz w:val="22"/>
          <w:szCs w:val="22"/>
        </w:rPr>
        <w:t>4-Str Rear Engine Riding Mowers (com), 4-Str Front Mowers (com), 4-Str Lawn mowers (Com), 4-Str Lawn &amp; Garden Tractors (com), 4-Str Commercial Turf Equipment (com)</w:t>
      </w:r>
      <w:r w:rsidRPr="005F1568">
        <w:rPr>
          <w:rFonts w:ascii="Calibri" w:hAnsi="Calibri" w:cs="Calibri"/>
          <w:sz w:val="22"/>
          <w:szCs w:val="22"/>
        </w:rPr>
        <w:t xml:space="preserve">. The table below shows the estimates of baseline 2020 </w:t>
      </w:r>
      <w:r w:rsidRPr="005F1568">
        <w:rPr>
          <w:rFonts w:ascii="Calibri" w:hAnsi="Calibri" w:cs="Calibri"/>
          <w:sz w:val="22"/>
          <w:szCs w:val="22"/>
        </w:rPr>
        <w:lastRenderedPageBreak/>
        <w:t>commercial tractor mowers LGE emissions, the cumulative 2025-2030 emissions reductions, and annual 2025-2030 emissions reductions for the seven Chicago area counties.</w:t>
      </w:r>
    </w:p>
    <w:p w14:paraId="2BDA5C08" w14:textId="77777777" w:rsidR="0058650C" w:rsidRDefault="0058650C" w:rsidP="005F1568">
      <w:pPr>
        <w:pStyle w:val="ListParagraph"/>
        <w:ind w:left="0"/>
        <w:rPr>
          <w:rFonts w:ascii="Calibri" w:hAnsi="Calibri" w:cs="Calibri"/>
          <w:sz w:val="22"/>
          <w:szCs w:val="22"/>
        </w:rPr>
      </w:pPr>
    </w:p>
    <w:tbl>
      <w:tblPr>
        <w:tblStyle w:val="TableGrid"/>
        <w:tblW w:w="7973" w:type="dxa"/>
        <w:jc w:val="center"/>
        <w:tblLook w:val="04A0" w:firstRow="1" w:lastRow="0" w:firstColumn="1" w:lastColumn="0" w:noHBand="0" w:noVBand="1"/>
      </w:tblPr>
      <w:tblGrid>
        <w:gridCol w:w="1170"/>
        <w:gridCol w:w="2555"/>
        <w:gridCol w:w="2294"/>
        <w:gridCol w:w="1954"/>
      </w:tblGrid>
      <w:tr w:rsidR="0058650C" w:rsidRPr="005F1568" w14:paraId="0D2BA9FD" w14:textId="77777777" w:rsidTr="00FC1397">
        <w:trPr>
          <w:trHeight w:val="310"/>
          <w:jc w:val="center"/>
        </w:trPr>
        <w:tc>
          <w:tcPr>
            <w:tcW w:w="7973" w:type="dxa"/>
            <w:gridSpan w:val="4"/>
            <w:shd w:val="clear" w:color="auto" w:fill="DAE9F7" w:themeFill="text2" w:themeFillTint="1A"/>
            <w:noWrap/>
          </w:tcPr>
          <w:p w14:paraId="25D8E73C" w14:textId="4B7A4994" w:rsidR="0058650C" w:rsidRPr="0058650C" w:rsidRDefault="0058650C" w:rsidP="00FC1397">
            <w:pPr>
              <w:jc w:val="center"/>
              <w:rPr>
                <w:rFonts w:ascii="Calibri" w:hAnsi="Calibri" w:cs="Calibri"/>
                <w:b/>
                <w:bCs/>
                <w:sz w:val="22"/>
                <w:szCs w:val="22"/>
              </w:rPr>
            </w:pPr>
            <w:r>
              <w:rPr>
                <w:rFonts w:ascii="Calibri" w:hAnsi="Calibri" w:cs="Calibri"/>
                <w:b/>
                <w:bCs/>
                <w:sz w:val="22"/>
                <w:szCs w:val="22"/>
              </w:rPr>
              <w:t>Commercial Mowers/Tractors LGE</w:t>
            </w:r>
          </w:p>
        </w:tc>
      </w:tr>
      <w:tr w:rsidR="0058650C" w:rsidRPr="005F1568" w14:paraId="3B116173" w14:textId="77777777" w:rsidTr="00FC1397">
        <w:trPr>
          <w:trHeight w:val="310"/>
          <w:jc w:val="center"/>
        </w:trPr>
        <w:tc>
          <w:tcPr>
            <w:tcW w:w="1170" w:type="dxa"/>
            <w:noWrap/>
            <w:hideMark/>
          </w:tcPr>
          <w:p w14:paraId="5F25036F" w14:textId="77777777" w:rsidR="0058650C" w:rsidRPr="005F1568" w:rsidRDefault="0058650C" w:rsidP="00FC1397">
            <w:pPr>
              <w:jc w:val="center"/>
              <w:rPr>
                <w:rFonts w:ascii="Calibri" w:hAnsi="Calibri" w:cs="Calibri"/>
                <w:sz w:val="22"/>
                <w:szCs w:val="22"/>
              </w:rPr>
            </w:pPr>
            <w:r w:rsidRPr="0058650C">
              <w:rPr>
                <w:rFonts w:ascii="Calibri" w:hAnsi="Calibri" w:cs="Calibri"/>
                <w:b/>
                <w:bCs/>
                <w:sz w:val="22"/>
                <w:szCs w:val="22"/>
              </w:rPr>
              <w:t>Pollutant</w:t>
            </w:r>
          </w:p>
        </w:tc>
        <w:tc>
          <w:tcPr>
            <w:tcW w:w="2555" w:type="dxa"/>
            <w:noWrap/>
            <w:hideMark/>
          </w:tcPr>
          <w:p w14:paraId="2A019FD4" w14:textId="77777777" w:rsidR="0058650C" w:rsidRDefault="0058650C" w:rsidP="00FC1397">
            <w:pPr>
              <w:jc w:val="center"/>
              <w:rPr>
                <w:rFonts w:ascii="Calibri" w:hAnsi="Calibri" w:cs="Calibri"/>
                <w:b/>
                <w:bCs/>
                <w:sz w:val="22"/>
                <w:szCs w:val="22"/>
              </w:rPr>
            </w:pPr>
            <w:r w:rsidRPr="0058650C">
              <w:rPr>
                <w:rFonts w:ascii="Calibri" w:hAnsi="Calibri" w:cs="Calibri"/>
                <w:b/>
                <w:bCs/>
                <w:sz w:val="22"/>
                <w:szCs w:val="22"/>
              </w:rPr>
              <w:t>Baseline 2020</w:t>
            </w:r>
            <w:r>
              <w:rPr>
                <w:rFonts w:ascii="Calibri" w:hAnsi="Calibri" w:cs="Calibri"/>
                <w:b/>
                <w:bCs/>
                <w:sz w:val="22"/>
                <w:szCs w:val="22"/>
              </w:rPr>
              <w:t xml:space="preserve"> Emissions</w:t>
            </w:r>
          </w:p>
          <w:p w14:paraId="1B5D4E13" w14:textId="77777777" w:rsidR="0058650C" w:rsidRPr="005F1568" w:rsidRDefault="0058650C" w:rsidP="00FC1397">
            <w:pPr>
              <w:jc w:val="center"/>
              <w:rPr>
                <w:rFonts w:ascii="Calibri" w:hAnsi="Calibri" w:cs="Calibri"/>
                <w:sz w:val="22"/>
                <w:szCs w:val="22"/>
              </w:rPr>
            </w:pPr>
            <w:r w:rsidRPr="0058650C">
              <w:rPr>
                <w:rFonts w:ascii="Calibri" w:hAnsi="Calibri" w:cs="Calibri"/>
                <w:b/>
                <w:bCs/>
                <w:sz w:val="22"/>
                <w:szCs w:val="22"/>
              </w:rPr>
              <w:t>metric tons (tons)</w:t>
            </w:r>
          </w:p>
        </w:tc>
        <w:tc>
          <w:tcPr>
            <w:tcW w:w="2294" w:type="dxa"/>
            <w:noWrap/>
            <w:hideMark/>
          </w:tcPr>
          <w:p w14:paraId="6589025F" w14:textId="77777777" w:rsidR="0058650C" w:rsidRDefault="0058650C" w:rsidP="00FC1397">
            <w:pPr>
              <w:jc w:val="center"/>
              <w:rPr>
                <w:rFonts w:ascii="Calibri" w:hAnsi="Calibri" w:cs="Calibri"/>
                <w:b/>
                <w:bCs/>
                <w:sz w:val="22"/>
                <w:szCs w:val="22"/>
              </w:rPr>
            </w:pPr>
            <w:r w:rsidRPr="0058650C">
              <w:rPr>
                <w:rFonts w:ascii="Calibri" w:hAnsi="Calibri" w:cs="Calibri"/>
                <w:b/>
                <w:bCs/>
                <w:sz w:val="22"/>
                <w:szCs w:val="22"/>
              </w:rPr>
              <w:t xml:space="preserve">Cumulative </w:t>
            </w:r>
            <w:r>
              <w:rPr>
                <w:rFonts w:ascii="Calibri" w:hAnsi="Calibri" w:cs="Calibri"/>
                <w:b/>
                <w:bCs/>
                <w:sz w:val="22"/>
                <w:szCs w:val="22"/>
              </w:rPr>
              <w:t>Emissions</w:t>
            </w:r>
          </w:p>
          <w:p w14:paraId="542CDDB0" w14:textId="77777777" w:rsidR="0058650C" w:rsidRPr="005F1568" w:rsidRDefault="0058650C" w:rsidP="00FC1397">
            <w:pPr>
              <w:jc w:val="center"/>
              <w:rPr>
                <w:rFonts w:ascii="Calibri" w:hAnsi="Calibri" w:cs="Calibri"/>
                <w:sz w:val="22"/>
                <w:szCs w:val="22"/>
              </w:rPr>
            </w:pPr>
            <w:r w:rsidRPr="0058650C">
              <w:rPr>
                <w:rFonts w:ascii="Calibri" w:hAnsi="Calibri" w:cs="Calibri"/>
                <w:b/>
                <w:bCs/>
                <w:sz w:val="22"/>
                <w:szCs w:val="22"/>
              </w:rPr>
              <w:t>metric tons (tons)</w:t>
            </w:r>
          </w:p>
        </w:tc>
        <w:tc>
          <w:tcPr>
            <w:tcW w:w="1954" w:type="dxa"/>
            <w:noWrap/>
            <w:hideMark/>
          </w:tcPr>
          <w:p w14:paraId="58418759" w14:textId="77777777" w:rsidR="0058650C" w:rsidRDefault="0058650C" w:rsidP="00FC1397">
            <w:pPr>
              <w:jc w:val="center"/>
              <w:rPr>
                <w:rFonts w:ascii="Calibri" w:hAnsi="Calibri" w:cs="Calibri"/>
                <w:b/>
                <w:bCs/>
                <w:sz w:val="22"/>
                <w:szCs w:val="22"/>
              </w:rPr>
            </w:pPr>
            <w:r w:rsidRPr="0058650C">
              <w:rPr>
                <w:rFonts w:ascii="Calibri" w:hAnsi="Calibri" w:cs="Calibri"/>
                <w:b/>
                <w:bCs/>
                <w:sz w:val="22"/>
                <w:szCs w:val="22"/>
              </w:rPr>
              <w:t xml:space="preserve">Annual </w:t>
            </w:r>
            <w:r>
              <w:rPr>
                <w:rFonts w:ascii="Calibri" w:hAnsi="Calibri" w:cs="Calibri"/>
                <w:b/>
                <w:bCs/>
                <w:sz w:val="22"/>
                <w:szCs w:val="22"/>
              </w:rPr>
              <w:t>Emissions</w:t>
            </w:r>
          </w:p>
          <w:p w14:paraId="64F23613" w14:textId="77777777" w:rsidR="0058650C" w:rsidRPr="005F1568" w:rsidRDefault="0058650C" w:rsidP="00FC1397">
            <w:pPr>
              <w:jc w:val="center"/>
              <w:rPr>
                <w:rFonts w:ascii="Calibri" w:hAnsi="Calibri" w:cs="Calibri"/>
                <w:sz w:val="22"/>
                <w:szCs w:val="22"/>
              </w:rPr>
            </w:pPr>
            <w:r w:rsidRPr="0058650C">
              <w:rPr>
                <w:rFonts w:ascii="Calibri" w:hAnsi="Calibri" w:cs="Calibri"/>
                <w:b/>
                <w:bCs/>
                <w:sz w:val="22"/>
                <w:szCs w:val="22"/>
              </w:rPr>
              <w:t>metric tons (tons)</w:t>
            </w:r>
          </w:p>
        </w:tc>
      </w:tr>
      <w:tr w:rsidR="0058650C" w:rsidRPr="005F1568" w14:paraId="73E79C0A" w14:textId="77777777" w:rsidTr="00FC1397">
        <w:trPr>
          <w:trHeight w:val="290"/>
          <w:jc w:val="center"/>
        </w:trPr>
        <w:tc>
          <w:tcPr>
            <w:tcW w:w="1170" w:type="dxa"/>
            <w:noWrap/>
            <w:hideMark/>
          </w:tcPr>
          <w:p w14:paraId="24D45DDC"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CO2</w:t>
            </w:r>
          </w:p>
        </w:tc>
        <w:tc>
          <w:tcPr>
            <w:tcW w:w="2555" w:type="dxa"/>
            <w:noWrap/>
            <w:hideMark/>
          </w:tcPr>
          <w:p w14:paraId="022175AD" w14:textId="0051C2E2" w:rsidR="0058650C" w:rsidRPr="005F1568" w:rsidRDefault="0058650C" w:rsidP="0058650C">
            <w:pPr>
              <w:jc w:val="right"/>
              <w:rPr>
                <w:rFonts w:ascii="Calibri" w:hAnsi="Calibri" w:cs="Calibri"/>
                <w:sz w:val="22"/>
                <w:szCs w:val="22"/>
              </w:rPr>
            </w:pPr>
            <w:r w:rsidRPr="005F1568">
              <w:rPr>
                <w:rFonts w:ascii="Calibri" w:hAnsi="Calibri" w:cs="Calibri"/>
                <w:sz w:val="22"/>
                <w:szCs w:val="22"/>
              </w:rPr>
              <w:t>434,950</w:t>
            </w:r>
            <w:r>
              <w:rPr>
                <w:rFonts w:ascii="Calibri" w:hAnsi="Calibri" w:cs="Calibri"/>
                <w:sz w:val="22"/>
                <w:szCs w:val="22"/>
              </w:rPr>
              <w:t xml:space="preserve"> (479,450)</w:t>
            </w:r>
            <w:r w:rsidRPr="005F1568">
              <w:rPr>
                <w:rFonts w:ascii="Calibri" w:hAnsi="Calibri" w:cs="Calibri"/>
                <w:sz w:val="22"/>
                <w:szCs w:val="22"/>
              </w:rPr>
              <w:t xml:space="preserve"> </w:t>
            </w:r>
          </w:p>
        </w:tc>
        <w:tc>
          <w:tcPr>
            <w:tcW w:w="2294" w:type="dxa"/>
            <w:noWrap/>
            <w:hideMark/>
          </w:tcPr>
          <w:p w14:paraId="58AC1C87" w14:textId="234BE64A" w:rsidR="0058650C" w:rsidRPr="005F1568" w:rsidRDefault="0058650C" w:rsidP="0058650C">
            <w:pPr>
              <w:jc w:val="right"/>
              <w:rPr>
                <w:rFonts w:ascii="Calibri" w:hAnsi="Calibri" w:cs="Calibri"/>
                <w:sz w:val="22"/>
                <w:szCs w:val="22"/>
              </w:rPr>
            </w:pPr>
            <w:r w:rsidRPr="005F1568">
              <w:rPr>
                <w:rFonts w:ascii="Calibri" w:hAnsi="Calibri" w:cs="Calibri"/>
                <w:sz w:val="22"/>
                <w:szCs w:val="22"/>
              </w:rPr>
              <w:t>3,175</w:t>
            </w:r>
            <w:r>
              <w:rPr>
                <w:rFonts w:ascii="Calibri" w:hAnsi="Calibri" w:cs="Calibri"/>
                <w:sz w:val="22"/>
                <w:szCs w:val="22"/>
              </w:rPr>
              <w:t xml:space="preserve"> (</w:t>
            </w:r>
            <w:r w:rsidR="00A95332">
              <w:rPr>
                <w:rFonts w:ascii="Calibri" w:hAnsi="Calibri" w:cs="Calibri"/>
                <w:sz w:val="22"/>
                <w:szCs w:val="22"/>
              </w:rPr>
              <w:t>3,500)</w:t>
            </w:r>
            <w:r w:rsidRPr="005F1568">
              <w:rPr>
                <w:rFonts w:ascii="Calibri" w:hAnsi="Calibri" w:cs="Calibri"/>
                <w:sz w:val="22"/>
                <w:szCs w:val="22"/>
              </w:rPr>
              <w:t xml:space="preserve"> </w:t>
            </w:r>
          </w:p>
        </w:tc>
        <w:tc>
          <w:tcPr>
            <w:tcW w:w="1954" w:type="dxa"/>
            <w:noWrap/>
            <w:hideMark/>
          </w:tcPr>
          <w:p w14:paraId="5DCF471A" w14:textId="41882FE9" w:rsidR="0058650C" w:rsidRPr="005F1568" w:rsidRDefault="0058650C" w:rsidP="0058650C">
            <w:pPr>
              <w:jc w:val="right"/>
              <w:rPr>
                <w:rFonts w:ascii="Calibri" w:hAnsi="Calibri" w:cs="Calibri"/>
                <w:sz w:val="22"/>
                <w:szCs w:val="22"/>
              </w:rPr>
            </w:pPr>
            <w:r w:rsidRPr="005F1568">
              <w:rPr>
                <w:rFonts w:ascii="Calibri" w:hAnsi="Calibri" w:cs="Calibri"/>
                <w:sz w:val="22"/>
                <w:szCs w:val="22"/>
              </w:rPr>
              <w:t>635</w:t>
            </w:r>
            <w:r w:rsidR="00A95332">
              <w:rPr>
                <w:rFonts w:ascii="Calibri" w:hAnsi="Calibri" w:cs="Calibri"/>
                <w:sz w:val="22"/>
                <w:szCs w:val="22"/>
              </w:rPr>
              <w:t xml:space="preserve"> (700)</w:t>
            </w:r>
            <w:r w:rsidRPr="005F1568">
              <w:rPr>
                <w:rFonts w:ascii="Calibri" w:hAnsi="Calibri" w:cs="Calibri"/>
                <w:sz w:val="22"/>
                <w:szCs w:val="22"/>
              </w:rPr>
              <w:t xml:space="preserve"> </w:t>
            </w:r>
          </w:p>
        </w:tc>
      </w:tr>
      <w:tr w:rsidR="0058650C" w:rsidRPr="005F1568" w14:paraId="44DAD7B1" w14:textId="77777777" w:rsidTr="00FC1397">
        <w:trPr>
          <w:trHeight w:val="290"/>
          <w:jc w:val="center"/>
        </w:trPr>
        <w:tc>
          <w:tcPr>
            <w:tcW w:w="1170" w:type="dxa"/>
            <w:noWrap/>
            <w:hideMark/>
          </w:tcPr>
          <w:p w14:paraId="175A258B"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NOx</w:t>
            </w:r>
          </w:p>
        </w:tc>
        <w:tc>
          <w:tcPr>
            <w:tcW w:w="2555" w:type="dxa"/>
            <w:noWrap/>
            <w:hideMark/>
          </w:tcPr>
          <w:p w14:paraId="785F0D59" w14:textId="6B47F50C"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1,080</w:t>
            </w:r>
            <w:r>
              <w:rPr>
                <w:rFonts w:ascii="Calibri" w:hAnsi="Calibri" w:cs="Calibri"/>
                <w:sz w:val="22"/>
                <w:szCs w:val="22"/>
              </w:rPr>
              <w:t xml:space="preserve"> (1,190)</w:t>
            </w:r>
            <w:r w:rsidRPr="005F1568">
              <w:rPr>
                <w:rFonts w:ascii="Calibri" w:hAnsi="Calibri" w:cs="Calibri"/>
                <w:sz w:val="22"/>
                <w:szCs w:val="22"/>
              </w:rPr>
              <w:t xml:space="preserve"> </w:t>
            </w:r>
          </w:p>
        </w:tc>
        <w:tc>
          <w:tcPr>
            <w:tcW w:w="2294" w:type="dxa"/>
            <w:noWrap/>
            <w:hideMark/>
          </w:tcPr>
          <w:p w14:paraId="719016F3" w14:textId="19E8EB5B"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8</w:t>
            </w:r>
            <w:r w:rsidR="00A95332">
              <w:rPr>
                <w:rFonts w:ascii="Calibri" w:hAnsi="Calibri" w:cs="Calibri"/>
                <w:sz w:val="22"/>
                <w:szCs w:val="22"/>
              </w:rPr>
              <w:t xml:space="preserve"> (9)</w:t>
            </w:r>
            <w:r w:rsidRPr="005F1568">
              <w:rPr>
                <w:rFonts w:ascii="Calibri" w:hAnsi="Calibri" w:cs="Calibri"/>
                <w:sz w:val="22"/>
                <w:szCs w:val="22"/>
              </w:rPr>
              <w:t xml:space="preserve"> </w:t>
            </w:r>
          </w:p>
        </w:tc>
        <w:tc>
          <w:tcPr>
            <w:tcW w:w="1954" w:type="dxa"/>
            <w:noWrap/>
            <w:hideMark/>
          </w:tcPr>
          <w:p w14:paraId="3FCD5FA3" w14:textId="4F34B0E7"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2</w:t>
            </w:r>
            <w:r w:rsidR="00A95332">
              <w:rPr>
                <w:rFonts w:ascii="Calibri" w:hAnsi="Calibri" w:cs="Calibri"/>
                <w:sz w:val="22"/>
                <w:szCs w:val="22"/>
              </w:rPr>
              <w:t xml:space="preserve"> (2)</w:t>
            </w:r>
            <w:r w:rsidRPr="005F1568">
              <w:rPr>
                <w:rFonts w:ascii="Calibri" w:hAnsi="Calibri" w:cs="Calibri"/>
                <w:sz w:val="22"/>
                <w:szCs w:val="22"/>
              </w:rPr>
              <w:t xml:space="preserve"> </w:t>
            </w:r>
          </w:p>
        </w:tc>
      </w:tr>
      <w:tr w:rsidR="0058650C" w:rsidRPr="005F1568" w14:paraId="2482DCF1" w14:textId="77777777" w:rsidTr="00FC1397">
        <w:trPr>
          <w:trHeight w:val="290"/>
          <w:jc w:val="center"/>
        </w:trPr>
        <w:tc>
          <w:tcPr>
            <w:tcW w:w="1170" w:type="dxa"/>
            <w:noWrap/>
            <w:hideMark/>
          </w:tcPr>
          <w:p w14:paraId="1A917539" w14:textId="77777777" w:rsidR="0058650C" w:rsidRPr="005F1568" w:rsidRDefault="0058650C" w:rsidP="0058650C">
            <w:pPr>
              <w:jc w:val="center"/>
              <w:rPr>
                <w:rFonts w:ascii="Calibri" w:hAnsi="Calibri" w:cs="Calibri"/>
                <w:sz w:val="22"/>
                <w:szCs w:val="22"/>
              </w:rPr>
            </w:pPr>
            <w:r w:rsidRPr="005F1568">
              <w:rPr>
                <w:rFonts w:ascii="Calibri" w:hAnsi="Calibri" w:cs="Calibri"/>
                <w:sz w:val="22"/>
                <w:szCs w:val="22"/>
              </w:rPr>
              <w:t>VOCs</w:t>
            </w:r>
          </w:p>
        </w:tc>
        <w:tc>
          <w:tcPr>
            <w:tcW w:w="2555" w:type="dxa"/>
            <w:noWrap/>
            <w:hideMark/>
          </w:tcPr>
          <w:p w14:paraId="594ACFF7" w14:textId="3229BDF1"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2,368</w:t>
            </w:r>
            <w:r>
              <w:rPr>
                <w:rFonts w:ascii="Calibri" w:hAnsi="Calibri" w:cs="Calibri"/>
                <w:sz w:val="22"/>
                <w:szCs w:val="22"/>
              </w:rPr>
              <w:t xml:space="preserve"> (2,610)</w:t>
            </w:r>
            <w:r w:rsidRPr="005F1568">
              <w:rPr>
                <w:rFonts w:ascii="Calibri" w:hAnsi="Calibri" w:cs="Calibri"/>
                <w:sz w:val="22"/>
                <w:szCs w:val="22"/>
              </w:rPr>
              <w:t xml:space="preserve"> </w:t>
            </w:r>
          </w:p>
        </w:tc>
        <w:tc>
          <w:tcPr>
            <w:tcW w:w="2294" w:type="dxa"/>
            <w:noWrap/>
            <w:hideMark/>
          </w:tcPr>
          <w:p w14:paraId="261922C7" w14:textId="0C8BA68A"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20</w:t>
            </w:r>
            <w:r w:rsidR="00A95332">
              <w:rPr>
                <w:rFonts w:ascii="Calibri" w:hAnsi="Calibri" w:cs="Calibri"/>
                <w:sz w:val="22"/>
                <w:szCs w:val="22"/>
              </w:rPr>
              <w:t xml:space="preserve"> (20)</w:t>
            </w:r>
            <w:r w:rsidRPr="005F1568">
              <w:rPr>
                <w:rFonts w:ascii="Calibri" w:hAnsi="Calibri" w:cs="Calibri"/>
                <w:sz w:val="22"/>
                <w:szCs w:val="22"/>
              </w:rPr>
              <w:t xml:space="preserve"> </w:t>
            </w:r>
          </w:p>
        </w:tc>
        <w:tc>
          <w:tcPr>
            <w:tcW w:w="1954" w:type="dxa"/>
            <w:noWrap/>
            <w:hideMark/>
          </w:tcPr>
          <w:p w14:paraId="2D580349" w14:textId="260E09E8" w:rsidR="0058650C" w:rsidRPr="005F1568" w:rsidRDefault="0058650C" w:rsidP="0058650C">
            <w:pPr>
              <w:jc w:val="right"/>
              <w:rPr>
                <w:rFonts w:ascii="Calibri" w:hAnsi="Calibri" w:cs="Calibri"/>
                <w:sz w:val="22"/>
                <w:szCs w:val="22"/>
              </w:rPr>
            </w:pPr>
            <w:r w:rsidRPr="005F1568">
              <w:rPr>
                <w:rFonts w:ascii="Calibri" w:hAnsi="Calibri" w:cs="Calibri"/>
                <w:sz w:val="22"/>
                <w:szCs w:val="22"/>
              </w:rPr>
              <w:t xml:space="preserve">    4</w:t>
            </w:r>
            <w:r w:rsidR="00A95332">
              <w:rPr>
                <w:rFonts w:ascii="Calibri" w:hAnsi="Calibri" w:cs="Calibri"/>
                <w:sz w:val="22"/>
                <w:szCs w:val="22"/>
              </w:rPr>
              <w:t xml:space="preserve"> (4) </w:t>
            </w:r>
            <w:r w:rsidRPr="005F1568">
              <w:rPr>
                <w:rFonts w:ascii="Calibri" w:hAnsi="Calibri" w:cs="Calibri"/>
                <w:sz w:val="22"/>
                <w:szCs w:val="22"/>
              </w:rPr>
              <w:t xml:space="preserve"> </w:t>
            </w:r>
          </w:p>
        </w:tc>
      </w:tr>
    </w:tbl>
    <w:p w14:paraId="26959E04" w14:textId="77777777" w:rsidR="00A95332" w:rsidRDefault="00A95332" w:rsidP="005F1568">
      <w:pPr>
        <w:pStyle w:val="ListParagraph"/>
        <w:rPr>
          <w:rFonts w:ascii="Calibri" w:hAnsi="Calibri" w:cs="Calibri"/>
          <w:sz w:val="22"/>
          <w:szCs w:val="22"/>
        </w:rPr>
      </w:pPr>
    </w:p>
    <w:p w14:paraId="11400304" w14:textId="79EC50D6" w:rsidR="00A95332" w:rsidRDefault="00A95332" w:rsidP="00A95332">
      <w:pPr>
        <w:pStyle w:val="ListParagraph"/>
        <w:ind w:left="0"/>
        <w:rPr>
          <w:rFonts w:ascii="Calibri" w:hAnsi="Calibri" w:cs="Calibri"/>
          <w:sz w:val="22"/>
          <w:szCs w:val="22"/>
        </w:rPr>
      </w:pPr>
      <w:r>
        <w:rPr>
          <w:rFonts w:ascii="Calibri" w:hAnsi="Calibri" w:cs="Calibri"/>
          <w:sz w:val="22"/>
          <w:szCs w:val="22"/>
        </w:rPr>
        <w:t xml:space="preserve">The table below shows the total emissions reductions for </w:t>
      </w:r>
      <w:proofErr w:type="gramStart"/>
      <w:r>
        <w:rPr>
          <w:rFonts w:ascii="Calibri" w:hAnsi="Calibri" w:cs="Calibri"/>
          <w:sz w:val="22"/>
          <w:szCs w:val="22"/>
        </w:rPr>
        <w:t>all of</w:t>
      </w:r>
      <w:proofErr w:type="gramEnd"/>
      <w:r>
        <w:rPr>
          <w:rFonts w:ascii="Calibri" w:hAnsi="Calibri" w:cs="Calibri"/>
          <w:sz w:val="22"/>
          <w:szCs w:val="22"/>
        </w:rPr>
        <w:t xml:space="preserve"> the LGE strategies proposed through LEEP. </w:t>
      </w:r>
    </w:p>
    <w:p w14:paraId="2189C000" w14:textId="77777777" w:rsidR="00A95332" w:rsidRDefault="00A95332" w:rsidP="00A95332">
      <w:pPr>
        <w:pStyle w:val="ListParagraph"/>
        <w:ind w:left="0"/>
        <w:rPr>
          <w:rFonts w:ascii="Calibri" w:hAnsi="Calibri" w:cs="Calibri"/>
          <w:sz w:val="22"/>
          <w:szCs w:val="22"/>
        </w:rPr>
      </w:pPr>
    </w:p>
    <w:tbl>
      <w:tblPr>
        <w:tblStyle w:val="TableGrid"/>
        <w:tblW w:w="7973" w:type="dxa"/>
        <w:jc w:val="center"/>
        <w:tblLook w:val="04A0" w:firstRow="1" w:lastRow="0" w:firstColumn="1" w:lastColumn="0" w:noHBand="0" w:noVBand="1"/>
      </w:tblPr>
      <w:tblGrid>
        <w:gridCol w:w="1170"/>
        <w:gridCol w:w="2555"/>
        <w:gridCol w:w="2294"/>
        <w:gridCol w:w="1954"/>
      </w:tblGrid>
      <w:tr w:rsidR="00A95332" w:rsidRPr="0058650C" w14:paraId="1C36718A" w14:textId="77777777" w:rsidTr="00FC1397">
        <w:trPr>
          <w:trHeight w:val="310"/>
          <w:jc w:val="center"/>
        </w:trPr>
        <w:tc>
          <w:tcPr>
            <w:tcW w:w="7973" w:type="dxa"/>
            <w:gridSpan w:val="4"/>
            <w:shd w:val="clear" w:color="auto" w:fill="DAE9F7" w:themeFill="text2" w:themeFillTint="1A"/>
            <w:noWrap/>
          </w:tcPr>
          <w:p w14:paraId="63B7C611" w14:textId="0F7D8C77" w:rsidR="00A95332" w:rsidRPr="0058650C" w:rsidRDefault="00A95332" w:rsidP="00FC1397">
            <w:pPr>
              <w:jc w:val="center"/>
              <w:rPr>
                <w:rFonts w:ascii="Calibri" w:hAnsi="Calibri" w:cs="Calibri"/>
                <w:b/>
                <w:bCs/>
                <w:sz w:val="22"/>
                <w:szCs w:val="22"/>
              </w:rPr>
            </w:pPr>
            <w:r>
              <w:rPr>
                <w:rFonts w:ascii="Calibri" w:hAnsi="Calibri" w:cs="Calibri"/>
                <w:b/>
                <w:bCs/>
                <w:sz w:val="22"/>
                <w:szCs w:val="22"/>
              </w:rPr>
              <w:t>Total LGE Emissions Impacts from LEEP</w:t>
            </w:r>
          </w:p>
        </w:tc>
      </w:tr>
      <w:tr w:rsidR="00A95332" w:rsidRPr="005F1568" w14:paraId="7BDCEA30" w14:textId="77777777" w:rsidTr="00FC1397">
        <w:trPr>
          <w:trHeight w:val="310"/>
          <w:jc w:val="center"/>
        </w:trPr>
        <w:tc>
          <w:tcPr>
            <w:tcW w:w="1170" w:type="dxa"/>
            <w:noWrap/>
            <w:hideMark/>
          </w:tcPr>
          <w:p w14:paraId="6FAE7C2B" w14:textId="77777777" w:rsidR="00A95332" w:rsidRPr="005F1568" w:rsidRDefault="00A95332" w:rsidP="00FC1397">
            <w:pPr>
              <w:jc w:val="center"/>
              <w:rPr>
                <w:rFonts w:ascii="Calibri" w:hAnsi="Calibri" w:cs="Calibri"/>
                <w:sz w:val="22"/>
                <w:szCs w:val="22"/>
              </w:rPr>
            </w:pPr>
            <w:r w:rsidRPr="0058650C">
              <w:rPr>
                <w:rFonts w:ascii="Calibri" w:hAnsi="Calibri" w:cs="Calibri"/>
                <w:b/>
                <w:bCs/>
                <w:sz w:val="22"/>
                <w:szCs w:val="22"/>
              </w:rPr>
              <w:t>Pollutant</w:t>
            </w:r>
          </w:p>
        </w:tc>
        <w:tc>
          <w:tcPr>
            <w:tcW w:w="2555" w:type="dxa"/>
            <w:noWrap/>
            <w:hideMark/>
          </w:tcPr>
          <w:p w14:paraId="13DE70F0" w14:textId="77777777" w:rsidR="00A95332" w:rsidRDefault="00A95332" w:rsidP="00FC1397">
            <w:pPr>
              <w:jc w:val="center"/>
              <w:rPr>
                <w:rFonts w:ascii="Calibri" w:hAnsi="Calibri" w:cs="Calibri"/>
                <w:b/>
                <w:bCs/>
                <w:sz w:val="22"/>
                <w:szCs w:val="22"/>
              </w:rPr>
            </w:pPr>
            <w:r w:rsidRPr="0058650C">
              <w:rPr>
                <w:rFonts w:ascii="Calibri" w:hAnsi="Calibri" w:cs="Calibri"/>
                <w:b/>
                <w:bCs/>
                <w:sz w:val="22"/>
                <w:szCs w:val="22"/>
              </w:rPr>
              <w:t>Baseline 2020</w:t>
            </w:r>
            <w:r>
              <w:rPr>
                <w:rFonts w:ascii="Calibri" w:hAnsi="Calibri" w:cs="Calibri"/>
                <w:b/>
                <w:bCs/>
                <w:sz w:val="22"/>
                <w:szCs w:val="22"/>
              </w:rPr>
              <w:t xml:space="preserve"> Emissions</w:t>
            </w:r>
          </w:p>
          <w:p w14:paraId="579F6FA4" w14:textId="77777777" w:rsidR="00A95332" w:rsidRPr="005F1568" w:rsidRDefault="00A95332" w:rsidP="00FC1397">
            <w:pPr>
              <w:jc w:val="center"/>
              <w:rPr>
                <w:rFonts w:ascii="Calibri" w:hAnsi="Calibri" w:cs="Calibri"/>
                <w:sz w:val="22"/>
                <w:szCs w:val="22"/>
              </w:rPr>
            </w:pPr>
            <w:r w:rsidRPr="0058650C">
              <w:rPr>
                <w:rFonts w:ascii="Calibri" w:hAnsi="Calibri" w:cs="Calibri"/>
                <w:b/>
                <w:bCs/>
                <w:sz w:val="22"/>
                <w:szCs w:val="22"/>
              </w:rPr>
              <w:t>metric tons (tons)</w:t>
            </w:r>
          </w:p>
        </w:tc>
        <w:tc>
          <w:tcPr>
            <w:tcW w:w="2294" w:type="dxa"/>
            <w:noWrap/>
            <w:hideMark/>
          </w:tcPr>
          <w:p w14:paraId="1A8AD939" w14:textId="77777777" w:rsidR="00A95332" w:rsidRDefault="00A95332" w:rsidP="00FC1397">
            <w:pPr>
              <w:jc w:val="center"/>
              <w:rPr>
                <w:rFonts w:ascii="Calibri" w:hAnsi="Calibri" w:cs="Calibri"/>
                <w:b/>
                <w:bCs/>
                <w:sz w:val="22"/>
                <w:szCs w:val="22"/>
              </w:rPr>
            </w:pPr>
            <w:r w:rsidRPr="0058650C">
              <w:rPr>
                <w:rFonts w:ascii="Calibri" w:hAnsi="Calibri" w:cs="Calibri"/>
                <w:b/>
                <w:bCs/>
                <w:sz w:val="22"/>
                <w:szCs w:val="22"/>
              </w:rPr>
              <w:t xml:space="preserve">Cumulative </w:t>
            </w:r>
            <w:r>
              <w:rPr>
                <w:rFonts w:ascii="Calibri" w:hAnsi="Calibri" w:cs="Calibri"/>
                <w:b/>
                <w:bCs/>
                <w:sz w:val="22"/>
                <w:szCs w:val="22"/>
              </w:rPr>
              <w:t>Emissions</w:t>
            </w:r>
          </w:p>
          <w:p w14:paraId="5BBC0FBC" w14:textId="77777777" w:rsidR="00A95332" w:rsidRPr="005F1568" w:rsidRDefault="00A95332" w:rsidP="00FC1397">
            <w:pPr>
              <w:jc w:val="center"/>
              <w:rPr>
                <w:rFonts w:ascii="Calibri" w:hAnsi="Calibri" w:cs="Calibri"/>
                <w:sz w:val="22"/>
                <w:szCs w:val="22"/>
              </w:rPr>
            </w:pPr>
            <w:r w:rsidRPr="0058650C">
              <w:rPr>
                <w:rFonts w:ascii="Calibri" w:hAnsi="Calibri" w:cs="Calibri"/>
                <w:b/>
                <w:bCs/>
                <w:sz w:val="22"/>
                <w:szCs w:val="22"/>
              </w:rPr>
              <w:t>metric tons (tons)</w:t>
            </w:r>
          </w:p>
        </w:tc>
        <w:tc>
          <w:tcPr>
            <w:tcW w:w="1954" w:type="dxa"/>
            <w:noWrap/>
            <w:hideMark/>
          </w:tcPr>
          <w:p w14:paraId="58B489B2" w14:textId="77777777" w:rsidR="00A95332" w:rsidRDefault="00A95332" w:rsidP="00FC1397">
            <w:pPr>
              <w:jc w:val="center"/>
              <w:rPr>
                <w:rFonts w:ascii="Calibri" w:hAnsi="Calibri" w:cs="Calibri"/>
                <w:b/>
                <w:bCs/>
                <w:sz w:val="22"/>
                <w:szCs w:val="22"/>
              </w:rPr>
            </w:pPr>
            <w:r w:rsidRPr="0058650C">
              <w:rPr>
                <w:rFonts w:ascii="Calibri" w:hAnsi="Calibri" w:cs="Calibri"/>
                <w:b/>
                <w:bCs/>
                <w:sz w:val="22"/>
                <w:szCs w:val="22"/>
              </w:rPr>
              <w:t xml:space="preserve">Annual </w:t>
            </w:r>
            <w:r>
              <w:rPr>
                <w:rFonts w:ascii="Calibri" w:hAnsi="Calibri" w:cs="Calibri"/>
                <w:b/>
                <w:bCs/>
                <w:sz w:val="22"/>
                <w:szCs w:val="22"/>
              </w:rPr>
              <w:t>Emissions</w:t>
            </w:r>
          </w:p>
          <w:p w14:paraId="211348CF" w14:textId="77777777" w:rsidR="00A95332" w:rsidRPr="005F1568" w:rsidRDefault="00A95332" w:rsidP="00FC1397">
            <w:pPr>
              <w:jc w:val="center"/>
              <w:rPr>
                <w:rFonts w:ascii="Calibri" w:hAnsi="Calibri" w:cs="Calibri"/>
                <w:sz w:val="22"/>
                <w:szCs w:val="22"/>
              </w:rPr>
            </w:pPr>
            <w:r w:rsidRPr="0058650C">
              <w:rPr>
                <w:rFonts w:ascii="Calibri" w:hAnsi="Calibri" w:cs="Calibri"/>
                <w:b/>
                <w:bCs/>
                <w:sz w:val="22"/>
                <w:szCs w:val="22"/>
              </w:rPr>
              <w:t>metric tons (tons)</w:t>
            </w:r>
          </w:p>
        </w:tc>
      </w:tr>
      <w:tr w:rsidR="00A95332" w:rsidRPr="005F1568" w14:paraId="4E74827C" w14:textId="77777777" w:rsidTr="00FC1397">
        <w:trPr>
          <w:trHeight w:val="290"/>
          <w:jc w:val="center"/>
        </w:trPr>
        <w:tc>
          <w:tcPr>
            <w:tcW w:w="1170" w:type="dxa"/>
            <w:noWrap/>
            <w:hideMark/>
          </w:tcPr>
          <w:p w14:paraId="65112E18" w14:textId="77777777" w:rsidR="00A95332" w:rsidRPr="005F1568" w:rsidRDefault="00A95332" w:rsidP="00A95332">
            <w:pPr>
              <w:jc w:val="center"/>
              <w:rPr>
                <w:rFonts w:ascii="Calibri" w:hAnsi="Calibri" w:cs="Calibri"/>
                <w:sz w:val="22"/>
                <w:szCs w:val="22"/>
              </w:rPr>
            </w:pPr>
            <w:r w:rsidRPr="005F1568">
              <w:rPr>
                <w:rFonts w:ascii="Calibri" w:hAnsi="Calibri" w:cs="Calibri"/>
                <w:sz w:val="22"/>
                <w:szCs w:val="22"/>
              </w:rPr>
              <w:t>CO2</w:t>
            </w:r>
          </w:p>
        </w:tc>
        <w:tc>
          <w:tcPr>
            <w:tcW w:w="2555" w:type="dxa"/>
            <w:noWrap/>
            <w:hideMark/>
          </w:tcPr>
          <w:p w14:paraId="5F2235E5" w14:textId="57E1B7FD"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663,643 (731,540) </w:t>
            </w:r>
          </w:p>
        </w:tc>
        <w:tc>
          <w:tcPr>
            <w:tcW w:w="2294" w:type="dxa"/>
            <w:noWrap/>
            <w:hideMark/>
          </w:tcPr>
          <w:p w14:paraId="3E7A709A" w14:textId="413D0F88"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9,734 (9,734) </w:t>
            </w:r>
          </w:p>
        </w:tc>
        <w:tc>
          <w:tcPr>
            <w:tcW w:w="1954" w:type="dxa"/>
            <w:noWrap/>
            <w:hideMark/>
          </w:tcPr>
          <w:p w14:paraId="7A3E98B0" w14:textId="09B444FD"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1,947 (2,146) </w:t>
            </w:r>
          </w:p>
        </w:tc>
      </w:tr>
      <w:tr w:rsidR="00A95332" w:rsidRPr="005F1568" w14:paraId="700DB65E" w14:textId="77777777" w:rsidTr="00FC1397">
        <w:trPr>
          <w:trHeight w:val="290"/>
          <w:jc w:val="center"/>
        </w:trPr>
        <w:tc>
          <w:tcPr>
            <w:tcW w:w="1170" w:type="dxa"/>
            <w:noWrap/>
            <w:hideMark/>
          </w:tcPr>
          <w:p w14:paraId="66BEB420" w14:textId="77777777" w:rsidR="00A95332" w:rsidRPr="005F1568" w:rsidRDefault="00A95332" w:rsidP="00A95332">
            <w:pPr>
              <w:jc w:val="center"/>
              <w:rPr>
                <w:rFonts w:ascii="Calibri" w:hAnsi="Calibri" w:cs="Calibri"/>
                <w:sz w:val="22"/>
                <w:szCs w:val="22"/>
              </w:rPr>
            </w:pPr>
            <w:r w:rsidRPr="005F1568">
              <w:rPr>
                <w:rFonts w:ascii="Calibri" w:hAnsi="Calibri" w:cs="Calibri"/>
                <w:sz w:val="22"/>
                <w:szCs w:val="22"/>
              </w:rPr>
              <w:t>NOx</w:t>
            </w:r>
          </w:p>
        </w:tc>
        <w:tc>
          <w:tcPr>
            <w:tcW w:w="2555" w:type="dxa"/>
            <w:noWrap/>
            <w:hideMark/>
          </w:tcPr>
          <w:p w14:paraId="3D110ABD" w14:textId="37572E3D"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1,551 (1,710) </w:t>
            </w:r>
          </w:p>
        </w:tc>
        <w:tc>
          <w:tcPr>
            <w:tcW w:w="2294" w:type="dxa"/>
            <w:noWrap/>
            <w:hideMark/>
          </w:tcPr>
          <w:p w14:paraId="51D5C9B4" w14:textId="78053E61"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21 (24) </w:t>
            </w:r>
          </w:p>
        </w:tc>
        <w:tc>
          <w:tcPr>
            <w:tcW w:w="1954" w:type="dxa"/>
            <w:noWrap/>
            <w:hideMark/>
          </w:tcPr>
          <w:p w14:paraId="11A7DE74" w14:textId="35C8A1AB"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4 (5) </w:t>
            </w:r>
          </w:p>
        </w:tc>
      </w:tr>
      <w:tr w:rsidR="00A95332" w:rsidRPr="005F1568" w14:paraId="074862D5" w14:textId="77777777" w:rsidTr="00FC1397">
        <w:trPr>
          <w:trHeight w:val="290"/>
          <w:jc w:val="center"/>
        </w:trPr>
        <w:tc>
          <w:tcPr>
            <w:tcW w:w="1170" w:type="dxa"/>
            <w:noWrap/>
            <w:hideMark/>
          </w:tcPr>
          <w:p w14:paraId="591A371F" w14:textId="77777777" w:rsidR="00A95332" w:rsidRPr="005F1568" w:rsidRDefault="00A95332" w:rsidP="00A95332">
            <w:pPr>
              <w:jc w:val="center"/>
              <w:rPr>
                <w:rFonts w:ascii="Calibri" w:hAnsi="Calibri" w:cs="Calibri"/>
                <w:sz w:val="22"/>
                <w:szCs w:val="22"/>
              </w:rPr>
            </w:pPr>
            <w:r w:rsidRPr="005F1568">
              <w:rPr>
                <w:rFonts w:ascii="Calibri" w:hAnsi="Calibri" w:cs="Calibri"/>
                <w:sz w:val="22"/>
                <w:szCs w:val="22"/>
              </w:rPr>
              <w:t>VOCs</w:t>
            </w:r>
          </w:p>
        </w:tc>
        <w:tc>
          <w:tcPr>
            <w:tcW w:w="2555" w:type="dxa"/>
            <w:noWrap/>
            <w:hideMark/>
          </w:tcPr>
          <w:p w14:paraId="5DC18D95" w14:textId="44F842A3"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8,092 (8,920) </w:t>
            </w:r>
          </w:p>
        </w:tc>
        <w:tc>
          <w:tcPr>
            <w:tcW w:w="2294" w:type="dxa"/>
            <w:noWrap/>
            <w:hideMark/>
          </w:tcPr>
          <w:p w14:paraId="6561677E" w14:textId="4CA0F4F7"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172 (190) </w:t>
            </w:r>
          </w:p>
        </w:tc>
        <w:tc>
          <w:tcPr>
            <w:tcW w:w="1954" w:type="dxa"/>
            <w:noWrap/>
            <w:hideMark/>
          </w:tcPr>
          <w:p w14:paraId="64CC28DC" w14:textId="5DDF0A44" w:rsidR="00A95332" w:rsidRPr="00A95332" w:rsidRDefault="00A95332" w:rsidP="00A95332">
            <w:pPr>
              <w:jc w:val="right"/>
              <w:rPr>
                <w:rFonts w:ascii="Calibri" w:hAnsi="Calibri" w:cs="Calibri"/>
                <w:sz w:val="22"/>
                <w:szCs w:val="22"/>
              </w:rPr>
            </w:pPr>
            <w:r w:rsidRPr="00A95332">
              <w:rPr>
                <w:rFonts w:ascii="Calibri" w:hAnsi="Calibri" w:cs="Calibri"/>
                <w:sz w:val="22"/>
                <w:szCs w:val="22"/>
              </w:rPr>
              <w:t xml:space="preserve">               3</w:t>
            </w:r>
            <w:r>
              <w:rPr>
                <w:rFonts w:ascii="Calibri" w:hAnsi="Calibri" w:cs="Calibri"/>
                <w:sz w:val="22"/>
                <w:szCs w:val="22"/>
              </w:rPr>
              <w:t>4</w:t>
            </w:r>
            <w:r w:rsidRPr="00A95332">
              <w:rPr>
                <w:rFonts w:ascii="Calibri" w:hAnsi="Calibri" w:cs="Calibri"/>
                <w:sz w:val="22"/>
                <w:szCs w:val="22"/>
              </w:rPr>
              <w:t xml:space="preserve"> (38) </w:t>
            </w:r>
          </w:p>
        </w:tc>
      </w:tr>
    </w:tbl>
    <w:p w14:paraId="293C2317" w14:textId="77777777" w:rsidR="005F1568" w:rsidRPr="005F1568" w:rsidRDefault="005F1568" w:rsidP="005F1568">
      <w:pPr>
        <w:rPr>
          <w:rFonts w:ascii="Calibri" w:hAnsi="Calibri" w:cs="Calibri"/>
          <w:sz w:val="22"/>
          <w:szCs w:val="22"/>
        </w:rPr>
      </w:pPr>
    </w:p>
    <w:p w14:paraId="031AF2B7" w14:textId="77777777" w:rsidR="005F1568" w:rsidRPr="005F1568" w:rsidRDefault="005F1568" w:rsidP="005F1568">
      <w:pPr>
        <w:pStyle w:val="Heading2"/>
        <w:rPr>
          <w:rFonts w:ascii="Calibri" w:hAnsi="Calibri" w:cs="Calibri"/>
          <w:color w:val="F1A983" w:themeColor="accent2" w:themeTint="99"/>
          <w:sz w:val="22"/>
          <w:szCs w:val="22"/>
        </w:rPr>
      </w:pPr>
      <w:r w:rsidRPr="005F1568">
        <w:rPr>
          <w:rFonts w:ascii="Calibri" w:hAnsi="Calibri" w:cs="Calibri"/>
          <w:sz w:val="22"/>
          <w:szCs w:val="22"/>
        </w:rPr>
        <w:t xml:space="preserve">C. Magnitude of GHG Reductions from 2025-2050 </w:t>
      </w:r>
    </w:p>
    <w:p w14:paraId="3BDE034A" w14:textId="77777777" w:rsidR="005F1568" w:rsidRPr="005F1568" w:rsidRDefault="005F1568" w:rsidP="005F1568">
      <w:pPr>
        <w:rPr>
          <w:rFonts w:ascii="Calibri" w:hAnsi="Calibri" w:cs="Calibri"/>
          <w:sz w:val="22"/>
          <w:szCs w:val="22"/>
        </w:rPr>
      </w:pPr>
      <w:r w:rsidRPr="005F1568">
        <w:rPr>
          <w:rFonts w:ascii="Calibri" w:hAnsi="Calibri" w:cs="Calibri"/>
          <w:sz w:val="22"/>
          <w:szCs w:val="22"/>
        </w:rPr>
        <w:t xml:space="preserve">The cumulative impacts of the LGE program for the 2025-2050 period can only be forecast qualitatively due to the uncertainty of funding and market forces that will prevail after the incentives from LEEP end in 2029. The market for electric LGE is already rapidly evolving. Representatives of the outdoor power equipment industry were unable to provide ZEE adoption forecasts for the period requested. But the </w:t>
      </w:r>
      <w:bookmarkStart w:id="0" w:name="_Hlk162560578"/>
      <w:r w:rsidRPr="005F1568">
        <w:rPr>
          <w:rFonts w:ascii="Calibri" w:hAnsi="Calibri" w:cs="Calibri"/>
          <w:sz w:val="22"/>
          <w:szCs w:val="22"/>
        </w:rPr>
        <w:t xml:space="preserve">Outdoor Power Equipment Institute </w:t>
      </w:r>
      <w:bookmarkEnd w:id="0"/>
      <w:r w:rsidRPr="005F1568">
        <w:rPr>
          <w:rFonts w:ascii="Calibri" w:hAnsi="Calibri" w:cs="Calibri"/>
          <w:sz w:val="22"/>
          <w:szCs w:val="22"/>
        </w:rPr>
        <w:t>(OPEI) reports new product shipments of hand-held equipment (leaf blowers, etc.) were 63% electric in 2021. According to OPEI U.S. shipments of 5-6 million units of residential walk-behind (push) lawn mowers, have transitioned from 11% ZEE in 2016 to 37% in 2021.</w:t>
      </w:r>
      <w:r w:rsidRPr="005F1568">
        <w:rPr>
          <w:rStyle w:val="FootnoteReference"/>
          <w:rFonts w:ascii="Calibri" w:hAnsi="Calibri" w:cs="Calibri"/>
          <w:sz w:val="22"/>
          <w:szCs w:val="22"/>
        </w:rPr>
        <w:footnoteReference w:id="1"/>
      </w:r>
    </w:p>
    <w:p w14:paraId="4F30F930" w14:textId="77777777" w:rsidR="005F1568" w:rsidRPr="005F1568" w:rsidRDefault="005F1568" w:rsidP="005F1568">
      <w:pPr>
        <w:rPr>
          <w:rFonts w:ascii="Calibri" w:hAnsi="Calibri" w:cs="Calibri"/>
          <w:sz w:val="22"/>
          <w:szCs w:val="22"/>
        </w:rPr>
      </w:pPr>
    </w:p>
    <w:p w14:paraId="24D485F9" w14:textId="77777777" w:rsidR="005F1568" w:rsidRPr="005F1568" w:rsidRDefault="005F1568" w:rsidP="005F1568">
      <w:pPr>
        <w:rPr>
          <w:rFonts w:ascii="Calibri" w:hAnsi="Calibri" w:cs="Calibri"/>
          <w:sz w:val="22"/>
          <w:szCs w:val="22"/>
        </w:rPr>
      </w:pPr>
      <w:r w:rsidRPr="005F1568">
        <w:rPr>
          <w:rFonts w:ascii="Calibri" w:hAnsi="Calibri" w:cs="Calibri"/>
          <w:sz w:val="22"/>
          <w:szCs w:val="22"/>
        </w:rPr>
        <w:t xml:space="preserve">The stimulus that the LEEP buy-back program will bring to the Chicago area LGE market during 2025-2030 will likely have the effect of increasing the pace of adoption and demand in the region. We anticipate that the incentives from this program will motivate operators to change over their equipment more rapidly than without the available funding. This program will thus provide demand stimulus that will signal original equipment manufacturers (OEMs) and suppliers of both residential and commercial electric LGE to ensure that sufficient supply is available to meet the rising pace of demand. We can expect that a competitive supply market will extend into the 2030-2050 period, and that the competition for sales will drive down prices and make adoption of ZEE more appealing to buyers. </w:t>
      </w:r>
    </w:p>
    <w:p w14:paraId="08246BA4" w14:textId="77777777" w:rsidR="005F1568" w:rsidRPr="005F1568" w:rsidRDefault="005F1568" w:rsidP="005F1568">
      <w:pPr>
        <w:rPr>
          <w:rFonts w:ascii="Calibri" w:hAnsi="Calibri" w:cs="Calibri"/>
          <w:sz w:val="22"/>
          <w:szCs w:val="22"/>
        </w:rPr>
      </w:pPr>
    </w:p>
    <w:p w14:paraId="78421F4F" w14:textId="37038E0D" w:rsidR="005F1568" w:rsidRPr="005F1568" w:rsidRDefault="00A95332" w:rsidP="005F1568">
      <w:pPr>
        <w:rPr>
          <w:rFonts w:ascii="Calibri" w:hAnsi="Calibri" w:cs="Calibri"/>
          <w:sz w:val="22"/>
          <w:szCs w:val="22"/>
        </w:rPr>
      </w:pPr>
      <w:r>
        <w:rPr>
          <w:rFonts w:ascii="Calibri" w:hAnsi="Calibri" w:cs="Calibri"/>
          <w:sz w:val="22"/>
          <w:szCs w:val="22"/>
        </w:rPr>
        <w:t>T</w:t>
      </w:r>
      <w:r w:rsidR="005F1568" w:rsidRPr="005F1568">
        <w:rPr>
          <w:rFonts w:ascii="Calibri" w:hAnsi="Calibri" w:cs="Calibri"/>
          <w:sz w:val="22"/>
          <w:szCs w:val="22"/>
        </w:rPr>
        <w:t>he gasoline equipment scrappage component of LEEP will produce CO</w:t>
      </w:r>
      <w:r w:rsidR="005F1568" w:rsidRPr="005F1568">
        <w:rPr>
          <w:rFonts w:ascii="Calibri" w:hAnsi="Calibri" w:cs="Calibri"/>
          <w:sz w:val="22"/>
          <w:szCs w:val="22"/>
          <w:vertAlign w:val="subscript"/>
        </w:rPr>
        <w:t>2</w:t>
      </w:r>
      <w:r w:rsidR="005F1568" w:rsidRPr="005F1568">
        <w:rPr>
          <w:rFonts w:ascii="Calibri" w:hAnsi="Calibri" w:cs="Calibri"/>
          <w:sz w:val="22"/>
          <w:szCs w:val="22"/>
        </w:rPr>
        <w:t xml:space="preserve"> emissions reduction impacts that extend beyond the end of the initial grant period by ensuring that old gasoline LGE is permanently taken out of service. A buy-back program without scrappage would likely lead to a secondary market for the used gasoline equipment. Keeping the old gasoline equipment in-service would offset the CO</w:t>
      </w:r>
      <w:r w:rsidR="005F1568" w:rsidRPr="005F1568">
        <w:rPr>
          <w:rFonts w:ascii="Calibri" w:hAnsi="Calibri" w:cs="Calibri"/>
          <w:sz w:val="22"/>
          <w:szCs w:val="22"/>
          <w:vertAlign w:val="subscript"/>
        </w:rPr>
        <w:t>2</w:t>
      </w:r>
      <w:r w:rsidR="005F1568" w:rsidRPr="005F1568">
        <w:rPr>
          <w:rFonts w:ascii="Calibri" w:hAnsi="Calibri" w:cs="Calibri"/>
          <w:sz w:val="22"/>
          <w:szCs w:val="22"/>
        </w:rPr>
        <w:t xml:space="preserve"> </w:t>
      </w:r>
      <w:r w:rsidR="005F1568" w:rsidRPr="005F1568">
        <w:rPr>
          <w:rFonts w:ascii="Calibri" w:hAnsi="Calibri" w:cs="Calibri"/>
          <w:sz w:val="22"/>
          <w:szCs w:val="22"/>
        </w:rPr>
        <w:lastRenderedPageBreak/>
        <w:t>emissions reductions from the new electric LGE. The scrappage component of LEEP will eliminate the CO</w:t>
      </w:r>
      <w:r w:rsidR="005F1568" w:rsidRPr="005F1568">
        <w:rPr>
          <w:rFonts w:ascii="Calibri" w:hAnsi="Calibri" w:cs="Calibri"/>
          <w:sz w:val="22"/>
          <w:szCs w:val="22"/>
          <w:vertAlign w:val="subscript"/>
        </w:rPr>
        <w:t>2</w:t>
      </w:r>
      <w:r w:rsidR="005F1568" w:rsidRPr="005F1568">
        <w:rPr>
          <w:rFonts w:ascii="Calibri" w:hAnsi="Calibri" w:cs="Calibri"/>
          <w:sz w:val="22"/>
          <w:szCs w:val="22"/>
        </w:rPr>
        <w:t xml:space="preserve"> emissions from the old equipment, some of which would be in-service for many years after 2030. </w:t>
      </w:r>
    </w:p>
    <w:p w14:paraId="1BB80466" w14:textId="77777777" w:rsidR="005F1568" w:rsidRPr="005F1568" w:rsidRDefault="005F1568" w:rsidP="005F1568">
      <w:pPr>
        <w:rPr>
          <w:rFonts w:ascii="Calibri" w:hAnsi="Calibri" w:cs="Calibri"/>
          <w:sz w:val="22"/>
          <w:szCs w:val="22"/>
        </w:rPr>
      </w:pPr>
    </w:p>
    <w:p w14:paraId="7D8D89B4" w14:textId="77777777" w:rsidR="005F1568" w:rsidRPr="005F1568" w:rsidRDefault="005F1568" w:rsidP="005F1568">
      <w:pPr>
        <w:rPr>
          <w:rFonts w:ascii="Calibri" w:hAnsi="Calibri" w:cs="Calibri"/>
          <w:sz w:val="22"/>
          <w:szCs w:val="22"/>
        </w:rPr>
      </w:pPr>
      <w:r w:rsidRPr="005F1568">
        <w:rPr>
          <w:rFonts w:ascii="Calibri" w:hAnsi="Calibri" w:cs="Calibri"/>
          <w:sz w:val="22"/>
          <w:szCs w:val="22"/>
        </w:rPr>
        <w:t xml:space="preserve">Other factors to consider in forecasting LEEP emissions reduction impacts into 2050 are the long life of the lithium-ion phosphate batteries to be supplied through LEEP.  Conservatively, these batteries are rated for approximately 4500 to 5000 charge cycles with an impressive 80% depth of charge. Batteries in seasonal use for landscape LGE can be expected to be charged 200 cycles year. Therefore, batteries purchased through LEEP can be expected to last 20 years. By comparison, gasoline powered commercial lawnmowers have median life expectancy of 2 years and residential mowers have a median life expectancy of 5.9 years. </w:t>
      </w:r>
      <w:r w:rsidRPr="005F1568">
        <w:rPr>
          <w:rStyle w:val="FootnoteReference"/>
          <w:rFonts w:ascii="Calibri" w:hAnsi="Calibri" w:cs="Calibri"/>
          <w:sz w:val="22"/>
          <w:szCs w:val="22"/>
        </w:rPr>
        <w:footnoteReference w:id="2"/>
      </w:r>
    </w:p>
    <w:p w14:paraId="39E8B7A0" w14:textId="77777777" w:rsidR="005F1568" w:rsidRPr="005F1568" w:rsidRDefault="005F1568" w:rsidP="005F1568">
      <w:pPr>
        <w:rPr>
          <w:rFonts w:ascii="Calibri" w:hAnsi="Calibri" w:cs="Calibri"/>
          <w:sz w:val="22"/>
          <w:szCs w:val="22"/>
        </w:rPr>
      </w:pPr>
    </w:p>
    <w:p w14:paraId="2FD94B12" w14:textId="104922E3" w:rsidR="005F1568" w:rsidRPr="005F1568" w:rsidRDefault="00A95332" w:rsidP="005F1568">
      <w:pPr>
        <w:rPr>
          <w:rFonts w:ascii="Calibri" w:hAnsi="Calibri" w:cs="Calibri"/>
          <w:sz w:val="22"/>
          <w:szCs w:val="22"/>
        </w:rPr>
      </w:pPr>
      <w:r>
        <w:rPr>
          <w:rFonts w:ascii="Calibri" w:hAnsi="Calibri" w:cs="Calibri"/>
          <w:sz w:val="22"/>
          <w:szCs w:val="22"/>
        </w:rPr>
        <w:t>If</w:t>
      </w:r>
      <w:r w:rsidR="005F1568" w:rsidRPr="005F1568">
        <w:rPr>
          <w:rFonts w:ascii="Calibri" w:hAnsi="Calibri" w:cs="Calibri"/>
          <w:sz w:val="22"/>
          <w:szCs w:val="22"/>
        </w:rPr>
        <w:t xml:space="preserve"> components of ZEE LGE purchased through LEEP will last for at least 15 years, cumulative emissions reductions expected through LEEP are projected below. </w:t>
      </w:r>
    </w:p>
    <w:p w14:paraId="3E21B221" w14:textId="77777777" w:rsidR="005F1568" w:rsidRPr="005F1568" w:rsidRDefault="005F1568" w:rsidP="005F1568">
      <w:pPr>
        <w:rPr>
          <w:rFonts w:ascii="Calibri" w:hAnsi="Calibri" w:cs="Calibri"/>
          <w:sz w:val="22"/>
          <w:szCs w:val="22"/>
        </w:rPr>
      </w:pPr>
    </w:p>
    <w:tbl>
      <w:tblPr>
        <w:tblStyle w:val="TableGrid"/>
        <w:tblW w:w="8560" w:type="dxa"/>
        <w:jc w:val="center"/>
        <w:tblLook w:val="04A0" w:firstRow="1" w:lastRow="0" w:firstColumn="1" w:lastColumn="0" w:noHBand="0" w:noVBand="1"/>
      </w:tblPr>
      <w:tblGrid>
        <w:gridCol w:w="1200"/>
        <w:gridCol w:w="2555"/>
        <w:gridCol w:w="2015"/>
        <w:gridCol w:w="2790"/>
      </w:tblGrid>
      <w:tr w:rsidR="005F1568" w:rsidRPr="005F1568" w14:paraId="6DA3DC89" w14:textId="77777777" w:rsidTr="00A95332">
        <w:trPr>
          <w:trHeight w:val="290"/>
          <w:jc w:val="center"/>
        </w:trPr>
        <w:tc>
          <w:tcPr>
            <w:tcW w:w="1200" w:type="dxa"/>
            <w:vMerge w:val="restart"/>
            <w:noWrap/>
            <w:hideMark/>
          </w:tcPr>
          <w:p w14:paraId="2DBB657F" w14:textId="77777777" w:rsidR="005F1568" w:rsidRPr="00A95332" w:rsidRDefault="005F1568" w:rsidP="00890550">
            <w:pPr>
              <w:rPr>
                <w:rFonts w:ascii="Calibri" w:hAnsi="Calibri" w:cs="Calibri"/>
                <w:b/>
                <w:bCs/>
                <w:sz w:val="22"/>
                <w:szCs w:val="22"/>
              </w:rPr>
            </w:pPr>
            <w:r w:rsidRPr="00A95332">
              <w:rPr>
                <w:rFonts w:ascii="Calibri" w:hAnsi="Calibri" w:cs="Calibri"/>
                <w:b/>
                <w:bCs/>
                <w:sz w:val="22"/>
                <w:szCs w:val="22"/>
              </w:rPr>
              <w:t xml:space="preserve">Pollutant </w:t>
            </w:r>
          </w:p>
        </w:tc>
        <w:tc>
          <w:tcPr>
            <w:tcW w:w="2555" w:type="dxa"/>
            <w:vMerge w:val="restart"/>
            <w:noWrap/>
            <w:hideMark/>
          </w:tcPr>
          <w:p w14:paraId="3434D492" w14:textId="69CBB67C" w:rsidR="00A95332" w:rsidRDefault="005F1568" w:rsidP="00A95332">
            <w:pPr>
              <w:jc w:val="center"/>
              <w:rPr>
                <w:rFonts w:ascii="Calibri" w:hAnsi="Calibri" w:cs="Calibri"/>
                <w:b/>
                <w:bCs/>
                <w:sz w:val="22"/>
                <w:szCs w:val="22"/>
              </w:rPr>
            </w:pPr>
            <w:r w:rsidRPr="00A95332">
              <w:rPr>
                <w:rFonts w:ascii="Calibri" w:hAnsi="Calibri" w:cs="Calibri"/>
                <w:b/>
                <w:bCs/>
                <w:sz w:val="22"/>
                <w:szCs w:val="22"/>
              </w:rPr>
              <w:t>Baseline 2020</w:t>
            </w:r>
            <w:r w:rsidR="00A95332">
              <w:rPr>
                <w:rFonts w:ascii="Calibri" w:hAnsi="Calibri" w:cs="Calibri"/>
                <w:b/>
                <w:bCs/>
                <w:sz w:val="22"/>
                <w:szCs w:val="22"/>
              </w:rPr>
              <w:t xml:space="preserve"> Emissions</w:t>
            </w:r>
          </w:p>
          <w:p w14:paraId="093173E2" w14:textId="2C93912A" w:rsidR="005F1568" w:rsidRPr="00A95332" w:rsidRDefault="00A95332" w:rsidP="00A95332">
            <w:pPr>
              <w:jc w:val="center"/>
              <w:rPr>
                <w:rFonts w:ascii="Calibri" w:hAnsi="Calibri" w:cs="Calibri"/>
                <w:b/>
                <w:bCs/>
                <w:sz w:val="22"/>
                <w:szCs w:val="22"/>
              </w:rPr>
            </w:pPr>
            <w:r>
              <w:rPr>
                <w:rFonts w:ascii="Calibri" w:hAnsi="Calibri" w:cs="Calibri"/>
                <w:b/>
                <w:bCs/>
                <w:sz w:val="22"/>
                <w:szCs w:val="22"/>
              </w:rPr>
              <w:t>(metric tons)</w:t>
            </w:r>
          </w:p>
        </w:tc>
        <w:tc>
          <w:tcPr>
            <w:tcW w:w="4805" w:type="dxa"/>
            <w:gridSpan w:val="2"/>
            <w:noWrap/>
            <w:hideMark/>
          </w:tcPr>
          <w:p w14:paraId="62CA34C7" w14:textId="77777777" w:rsidR="00A95332" w:rsidRDefault="005F1568" w:rsidP="00A95332">
            <w:pPr>
              <w:jc w:val="center"/>
              <w:rPr>
                <w:rFonts w:ascii="Calibri" w:hAnsi="Calibri" w:cs="Calibri"/>
                <w:b/>
                <w:bCs/>
                <w:sz w:val="22"/>
                <w:szCs w:val="22"/>
              </w:rPr>
            </w:pPr>
            <w:r w:rsidRPr="00A95332">
              <w:rPr>
                <w:rFonts w:ascii="Calibri" w:hAnsi="Calibri" w:cs="Calibri"/>
                <w:b/>
                <w:bCs/>
                <w:sz w:val="22"/>
                <w:szCs w:val="22"/>
              </w:rPr>
              <w:t>2026-2050 Emissions Reductions</w:t>
            </w:r>
          </w:p>
          <w:p w14:paraId="4937682A" w14:textId="0257A74A" w:rsidR="005F1568" w:rsidRPr="00A95332" w:rsidRDefault="005F1568" w:rsidP="00A95332">
            <w:pPr>
              <w:jc w:val="center"/>
              <w:rPr>
                <w:rFonts w:ascii="Calibri" w:hAnsi="Calibri" w:cs="Calibri"/>
                <w:b/>
                <w:bCs/>
                <w:sz w:val="22"/>
                <w:szCs w:val="22"/>
              </w:rPr>
            </w:pPr>
            <w:r w:rsidRPr="00A95332">
              <w:rPr>
                <w:rFonts w:ascii="Calibri" w:hAnsi="Calibri" w:cs="Calibri"/>
                <w:b/>
                <w:bCs/>
                <w:sz w:val="22"/>
                <w:szCs w:val="22"/>
              </w:rPr>
              <w:t>(metric tons)</w:t>
            </w:r>
          </w:p>
        </w:tc>
      </w:tr>
      <w:tr w:rsidR="005F1568" w:rsidRPr="005F1568" w14:paraId="433F5F07" w14:textId="77777777" w:rsidTr="00A95332">
        <w:trPr>
          <w:trHeight w:val="290"/>
          <w:jc w:val="center"/>
        </w:trPr>
        <w:tc>
          <w:tcPr>
            <w:tcW w:w="1200" w:type="dxa"/>
            <w:vMerge/>
            <w:hideMark/>
          </w:tcPr>
          <w:p w14:paraId="42506656" w14:textId="77777777" w:rsidR="005F1568" w:rsidRPr="00A95332" w:rsidRDefault="005F1568" w:rsidP="00890550">
            <w:pPr>
              <w:rPr>
                <w:rFonts w:ascii="Calibri" w:hAnsi="Calibri" w:cs="Calibri"/>
                <w:b/>
                <w:bCs/>
                <w:sz w:val="22"/>
                <w:szCs w:val="22"/>
              </w:rPr>
            </w:pPr>
          </w:p>
        </w:tc>
        <w:tc>
          <w:tcPr>
            <w:tcW w:w="2555" w:type="dxa"/>
            <w:vMerge/>
            <w:hideMark/>
          </w:tcPr>
          <w:p w14:paraId="2172C0BE" w14:textId="77777777" w:rsidR="005F1568" w:rsidRPr="00A95332" w:rsidRDefault="005F1568" w:rsidP="00890550">
            <w:pPr>
              <w:rPr>
                <w:rFonts w:ascii="Calibri" w:hAnsi="Calibri" w:cs="Calibri"/>
                <w:b/>
                <w:bCs/>
                <w:sz w:val="22"/>
                <w:szCs w:val="22"/>
              </w:rPr>
            </w:pPr>
          </w:p>
        </w:tc>
        <w:tc>
          <w:tcPr>
            <w:tcW w:w="2015" w:type="dxa"/>
            <w:noWrap/>
            <w:hideMark/>
          </w:tcPr>
          <w:p w14:paraId="4A590826" w14:textId="77777777" w:rsidR="005F1568" w:rsidRPr="00A95332" w:rsidRDefault="005F1568" w:rsidP="00890550">
            <w:pPr>
              <w:jc w:val="center"/>
              <w:rPr>
                <w:rFonts w:ascii="Calibri" w:hAnsi="Calibri" w:cs="Calibri"/>
                <w:b/>
                <w:bCs/>
                <w:sz w:val="22"/>
                <w:szCs w:val="22"/>
              </w:rPr>
            </w:pPr>
            <w:r w:rsidRPr="00A95332">
              <w:rPr>
                <w:rFonts w:ascii="Calibri" w:hAnsi="Calibri" w:cs="Calibri"/>
                <w:b/>
                <w:bCs/>
                <w:sz w:val="22"/>
                <w:szCs w:val="22"/>
              </w:rPr>
              <w:t>Cumulative</w:t>
            </w:r>
          </w:p>
        </w:tc>
        <w:tc>
          <w:tcPr>
            <w:tcW w:w="2790" w:type="dxa"/>
            <w:noWrap/>
            <w:hideMark/>
          </w:tcPr>
          <w:p w14:paraId="549A6C73" w14:textId="77777777" w:rsidR="005F1568" w:rsidRPr="00A95332" w:rsidRDefault="005F1568" w:rsidP="00890550">
            <w:pPr>
              <w:jc w:val="center"/>
              <w:rPr>
                <w:rFonts w:ascii="Calibri" w:hAnsi="Calibri" w:cs="Calibri"/>
                <w:b/>
                <w:bCs/>
                <w:sz w:val="22"/>
                <w:szCs w:val="22"/>
              </w:rPr>
            </w:pPr>
            <w:r w:rsidRPr="00A95332">
              <w:rPr>
                <w:rFonts w:ascii="Calibri" w:hAnsi="Calibri" w:cs="Calibri"/>
                <w:b/>
                <w:bCs/>
                <w:sz w:val="22"/>
                <w:szCs w:val="22"/>
              </w:rPr>
              <w:t>Annual</w:t>
            </w:r>
          </w:p>
        </w:tc>
      </w:tr>
      <w:tr w:rsidR="005F1568" w:rsidRPr="005F1568" w14:paraId="55D23467" w14:textId="77777777" w:rsidTr="00A95332">
        <w:trPr>
          <w:trHeight w:val="290"/>
          <w:jc w:val="center"/>
        </w:trPr>
        <w:tc>
          <w:tcPr>
            <w:tcW w:w="1200" w:type="dxa"/>
            <w:noWrap/>
            <w:hideMark/>
          </w:tcPr>
          <w:p w14:paraId="712D74EB" w14:textId="77777777" w:rsidR="005F1568" w:rsidRPr="005F1568" w:rsidRDefault="005F1568" w:rsidP="00890550">
            <w:pPr>
              <w:jc w:val="center"/>
              <w:rPr>
                <w:rFonts w:ascii="Calibri" w:hAnsi="Calibri" w:cs="Calibri"/>
                <w:sz w:val="22"/>
                <w:szCs w:val="22"/>
              </w:rPr>
            </w:pPr>
            <w:r w:rsidRPr="005F1568">
              <w:rPr>
                <w:rFonts w:ascii="Calibri" w:hAnsi="Calibri" w:cs="Calibri"/>
                <w:sz w:val="22"/>
                <w:szCs w:val="22"/>
              </w:rPr>
              <w:t>CO2</w:t>
            </w:r>
          </w:p>
        </w:tc>
        <w:tc>
          <w:tcPr>
            <w:tcW w:w="2555" w:type="dxa"/>
            <w:noWrap/>
            <w:hideMark/>
          </w:tcPr>
          <w:p w14:paraId="77EB525B"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9,954,641 </w:t>
            </w:r>
          </w:p>
        </w:tc>
        <w:tc>
          <w:tcPr>
            <w:tcW w:w="2015" w:type="dxa"/>
            <w:noWrap/>
            <w:hideMark/>
          </w:tcPr>
          <w:p w14:paraId="19C357FC"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146,012 </w:t>
            </w:r>
          </w:p>
        </w:tc>
        <w:tc>
          <w:tcPr>
            <w:tcW w:w="2790" w:type="dxa"/>
            <w:noWrap/>
            <w:hideMark/>
          </w:tcPr>
          <w:p w14:paraId="761319D0"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29,202 </w:t>
            </w:r>
          </w:p>
        </w:tc>
      </w:tr>
      <w:tr w:rsidR="005F1568" w:rsidRPr="005F1568" w14:paraId="41AF3D6A" w14:textId="77777777" w:rsidTr="00A95332">
        <w:trPr>
          <w:trHeight w:val="290"/>
          <w:jc w:val="center"/>
        </w:trPr>
        <w:tc>
          <w:tcPr>
            <w:tcW w:w="1200" w:type="dxa"/>
            <w:noWrap/>
            <w:hideMark/>
          </w:tcPr>
          <w:p w14:paraId="7C31265C" w14:textId="77777777" w:rsidR="005F1568" w:rsidRPr="005F1568" w:rsidRDefault="005F1568" w:rsidP="00890550">
            <w:pPr>
              <w:jc w:val="center"/>
              <w:rPr>
                <w:rFonts w:ascii="Calibri" w:hAnsi="Calibri" w:cs="Calibri"/>
                <w:sz w:val="22"/>
                <w:szCs w:val="22"/>
              </w:rPr>
            </w:pPr>
            <w:r w:rsidRPr="005F1568">
              <w:rPr>
                <w:rFonts w:ascii="Calibri" w:hAnsi="Calibri" w:cs="Calibri"/>
                <w:sz w:val="22"/>
                <w:szCs w:val="22"/>
              </w:rPr>
              <w:t>NOx</w:t>
            </w:r>
          </w:p>
        </w:tc>
        <w:tc>
          <w:tcPr>
            <w:tcW w:w="2555" w:type="dxa"/>
            <w:noWrap/>
            <w:hideMark/>
          </w:tcPr>
          <w:p w14:paraId="04999A8D"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23,269 </w:t>
            </w:r>
          </w:p>
        </w:tc>
        <w:tc>
          <w:tcPr>
            <w:tcW w:w="2015" w:type="dxa"/>
            <w:noWrap/>
            <w:hideMark/>
          </w:tcPr>
          <w:p w14:paraId="13CAC1E8"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321 </w:t>
            </w:r>
          </w:p>
        </w:tc>
        <w:tc>
          <w:tcPr>
            <w:tcW w:w="2790" w:type="dxa"/>
            <w:noWrap/>
            <w:hideMark/>
          </w:tcPr>
          <w:p w14:paraId="647D9AF9"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64 </w:t>
            </w:r>
          </w:p>
        </w:tc>
      </w:tr>
      <w:tr w:rsidR="005F1568" w:rsidRPr="005F1568" w14:paraId="3BBEE5E7" w14:textId="77777777" w:rsidTr="00A95332">
        <w:trPr>
          <w:trHeight w:val="290"/>
          <w:jc w:val="center"/>
        </w:trPr>
        <w:tc>
          <w:tcPr>
            <w:tcW w:w="1200" w:type="dxa"/>
            <w:noWrap/>
            <w:hideMark/>
          </w:tcPr>
          <w:p w14:paraId="7AD3E81E" w14:textId="77777777" w:rsidR="005F1568" w:rsidRPr="005F1568" w:rsidRDefault="005F1568" w:rsidP="00890550">
            <w:pPr>
              <w:jc w:val="center"/>
              <w:rPr>
                <w:rFonts w:ascii="Calibri" w:hAnsi="Calibri" w:cs="Calibri"/>
                <w:sz w:val="22"/>
                <w:szCs w:val="22"/>
              </w:rPr>
            </w:pPr>
            <w:r w:rsidRPr="005F1568">
              <w:rPr>
                <w:rFonts w:ascii="Calibri" w:hAnsi="Calibri" w:cs="Calibri"/>
                <w:sz w:val="22"/>
                <w:szCs w:val="22"/>
              </w:rPr>
              <w:t>VOCs</w:t>
            </w:r>
          </w:p>
        </w:tc>
        <w:tc>
          <w:tcPr>
            <w:tcW w:w="2555" w:type="dxa"/>
            <w:noWrap/>
            <w:hideMark/>
          </w:tcPr>
          <w:p w14:paraId="2E7CB438"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121,381 </w:t>
            </w:r>
          </w:p>
        </w:tc>
        <w:tc>
          <w:tcPr>
            <w:tcW w:w="2015" w:type="dxa"/>
            <w:noWrap/>
            <w:hideMark/>
          </w:tcPr>
          <w:p w14:paraId="011AA2C9"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2,585 </w:t>
            </w:r>
          </w:p>
        </w:tc>
        <w:tc>
          <w:tcPr>
            <w:tcW w:w="2790" w:type="dxa"/>
            <w:noWrap/>
            <w:hideMark/>
          </w:tcPr>
          <w:p w14:paraId="75E3B5B5" w14:textId="77777777" w:rsidR="005F1568" w:rsidRPr="005F1568" w:rsidRDefault="005F1568" w:rsidP="00890550">
            <w:pPr>
              <w:jc w:val="right"/>
              <w:rPr>
                <w:rFonts w:ascii="Calibri" w:hAnsi="Calibri" w:cs="Calibri"/>
                <w:sz w:val="22"/>
                <w:szCs w:val="22"/>
              </w:rPr>
            </w:pPr>
            <w:r w:rsidRPr="005F1568">
              <w:rPr>
                <w:rFonts w:ascii="Calibri" w:hAnsi="Calibri" w:cs="Calibri"/>
                <w:sz w:val="22"/>
                <w:szCs w:val="22"/>
              </w:rPr>
              <w:t xml:space="preserve">517 </w:t>
            </w:r>
          </w:p>
        </w:tc>
      </w:tr>
    </w:tbl>
    <w:p w14:paraId="03C87ABF" w14:textId="77777777" w:rsidR="005F1568" w:rsidRPr="005F1568" w:rsidRDefault="005F1568">
      <w:pPr>
        <w:rPr>
          <w:rFonts w:ascii="Calibri" w:hAnsi="Calibri" w:cs="Calibri"/>
          <w:b/>
          <w:bCs/>
          <w:sz w:val="22"/>
          <w:szCs w:val="22"/>
        </w:rPr>
      </w:pPr>
    </w:p>
    <w:p w14:paraId="3FA2BB13" w14:textId="77777777" w:rsidR="005F1568" w:rsidRPr="005F1568" w:rsidRDefault="005F1568">
      <w:pPr>
        <w:rPr>
          <w:rFonts w:ascii="Calibri" w:hAnsi="Calibri" w:cs="Calibri"/>
          <w:b/>
          <w:bCs/>
          <w:sz w:val="22"/>
          <w:szCs w:val="22"/>
        </w:rPr>
      </w:pPr>
    </w:p>
    <w:p w14:paraId="6A01C262" w14:textId="58CAC1E8" w:rsidR="007D2DD2" w:rsidRPr="00D047B5" w:rsidRDefault="00CC5188">
      <w:pPr>
        <w:rPr>
          <w:rFonts w:ascii="Calibri" w:hAnsi="Calibri" w:cs="Calibri"/>
          <w:b/>
          <w:bCs/>
          <w:sz w:val="22"/>
          <w:szCs w:val="22"/>
        </w:rPr>
      </w:pPr>
      <w:r w:rsidRPr="00D047B5">
        <w:rPr>
          <w:rFonts w:ascii="Calibri" w:hAnsi="Calibri" w:cs="Calibri"/>
          <w:b/>
          <w:bCs/>
          <w:sz w:val="22"/>
          <w:szCs w:val="22"/>
        </w:rPr>
        <w:t>Cost Effectiveness</w:t>
      </w:r>
    </w:p>
    <w:p w14:paraId="3498D56A" w14:textId="77777777" w:rsidR="00CC5188" w:rsidRPr="00D047B5" w:rsidRDefault="00CC5188">
      <w:pPr>
        <w:rPr>
          <w:rFonts w:ascii="Calibri" w:hAnsi="Calibri" w:cs="Calibri"/>
          <w:sz w:val="22"/>
          <w:szCs w:val="22"/>
        </w:rPr>
      </w:pPr>
    </w:p>
    <w:p w14:paraId="0F089469" w14:textId="470B6A85" w:rsidR="006B7E18" w:rsidRPr="00D047B5" w:rsidRDefault="00CC5188">
      <w:pPr>
        <w:rPr>
          <w:rFonts w:ascii="Calibri" w:hAnsi="Calibri" w:cs="Calibri"/>
          <w:sz w:val="22"/>
          <w:szCs w:val="22"/>
        </w:rPr>
      </w:pPr>
      <w:r w:rsidRPr="00D047B5">
        <w:rPr>
          <w:rFonts w:ascii="Calibri" w:hAnsi="Calibri" w:cs="Calibri"/>
          <w:sz w:val="22"/>
          <w:szCs w:val="22"/>
        </w:rPr>
        <w:t>The cost effectiveness</w:t>
      </w:r>
      <w:r w:rsidR="000A4DFB" w:rsidRPr="00D047B5">
        <w:rPr>
          <w:rFonts w:ascii="Calibri" w:hAnsi="Calibri" w:cs="Calibri"/>
          <w:sz w:val="22"/>
          <w:szCs w:val="22"/>
        </w:rPr>
        <w:t xml:space="preserve"> (CE)</w:t>
      </w:r>
      <w:r w:rsidRPr="00D047B5">
        <w:rPr>
          <w:rFonts w:ascii="Calibri" w:hAnsi="Calibri" w:cs="Calibri"/>
          <w:sz w:val="22"/>
          <w:szCs w:val="22"/>
        </w:rPr>
        <w:t xml:space="preserve"> of the proposed lawn and garden equipment (LGE) buy-back program is about $</w:t>
      </w:r>
      <w:r w:rsidR="006B7E18" w:rsidRPr="00D047B5">
        <w:rPr>
          <w:rFonts w:ascii="Calibri" w:hAnsi="Calibri" w:cs="Calibri"/>
          <w:sz w:val="22"/>
          <w:szCs w:val="22"/>
        </w:rPr>
        <w:t>3,841.04/metric ton reduced</w:t>
      </w:r>
      <w:r w:rsidR="00A95332">
        <w:rPr>
          <w:rFonts w:ascii="Calibri" w:hAnsi="Calibri" w:cs="Calibri"/>
          <w:sz w:val="22"/>
          <w:szCs w:val="22"/>
        </w:rPr>
        <w:t xml:space="preserve"> </w:t>
      </w:r>
      <w:r w:rsidRPr="00D047B5">
        <w:rPr>
          <w:rFonts w:ascii="Calibri" w:hAnsi="Calibri" w:cs="Calibri"/>
          <w:sz w:val="22"/>
          <w:szCs w:val="22"/>
        </w:rPr>
        <w:t>CO</w:t>
      </w:r>
      <w:r w:rsidRPr="00D047B5">
        <w:rPr>
          <w:rFonts w:ascii="Calibri" w:hAnsi="Calibri" w:cs="Calibri"/>
          <w:sz w:val="22"/>
          <w:szCs w:val="22"/>
          <w:vertAlign w:val="subscript"/>
        </w:rPr>
        <w:t>2</w:t>
      </w:r>
      <w:r w:rsidRPr="00D047B5">
        <w:rPr>
          <w:rFonts w:ascii="Calibri" w:hAnsi="Calibri" w:cs="Calibri"/>
          <w:sz w:val="22"/>
          <w:szCs w:val="22"/>
        </w:rPr>
        <w:t xml:space="preserve">. </w:t>
      </w:r>
      <w:r w:rsidR="00D047B5" w:rsidRPr="00D047B5">
        <w:rPr>
          <w:rFonts w:ascii="Calibri" w:hAnsi="Calibri" w:cs="Calibri"/>
          <w:sz w:val="22"/>
          <w:szCs w:val="22"/>
        </w:rPr>
        <w:t>($37,407,000</w:t>
      </w:r>
      <w:r w:rsidR="00FB7F2B">
        <w:rPr>
          <w:rFonts w:ascii="Calibri" w:hAnsi="Calibri" w:cs="Calibri"/>
          <w:sz w:val="22"/>
          <w:szCs w:val="22"/>
        </w:rPr>
        <w:t xml:space="preserve">/10,735 tons </w:t>
      </w:r>
      <w:r w:rsidR="00D047B5" w:rsidRPr="00D047B5">
        <w:rPr>
          <w:rFonts w:ascii="Calibri" w:hAnsi="Calibri" w:cs="Calibri"/>
          <w:sz w:val="22"/>
          <w:szCs w:val="22"/>
        </w:rPr>
        <w:t>= $3,484.54/ton CO2 reduced)</w:t>
      </w:r>
    </w:p>
    <w:p w14:paraId="3D1E1EFC" w14:textId="77777777" w:rsidR="006B7E18" w:rsidRPr="00D047B5" w:rsidRDefault="006B7E18">
      <w:pPr>
        <w:rPr>
          <w:rFonts w:ascii="Calibri" w:hAnsi="Calibri" w:cs="Calibri"/>
          <w:sz w:val="22"/>
          <w:szCs w:val="22"/>
        </w:rPr>
      </w:pPr>
    </w:p>
    <w:p w14:paraId="43905E11" w14:textId="501731D5" w:rsidR="00CC5188" w:rsidRPr="00D047B5" w:rsidRDefault="00CC5188">
      <w:pPr>
        <w:rPr>
          <w:rFonts w:ascii="Calibri" w:hAnsi="Calibri" w:cs="Calibri"/>
          <w:sz w:val="22"/>
          <w:szCs w:val="22"/>
        </w:rPr>
      </w:pPr>
      <w:r w:rsidRPr="00D047B5">
        <w:rPr>
          <w:rFonts w:ascii="Calibri" w:hAnsi="Calibri" w:cs="Calibri"/>
          <w:sz w:val="22"/>
          <w:szCs w:val="22"/>
        </w:rPr>
        <w:t xml:space="preserve">The </w:t>
      </w:r>
      <w:r w:rsidR="000A4DFB" w:rsidRPr="00D047B5">
        <w:rPr>
          <w:rFonts w:ascii="Calibri" w:hAnsi="Calibri" w:cs="Calibri"/>
          <w:sz w:val="22"/>
          <w:szCs w:val="22"/>
        </w:rPr>
        <w:t>CE</w:t>
      </w:r>
      <w:r w:rsidRPr="00D047B5">
        <w:rPr>
          <w:rFonts w:ascii="Calibri" w:hAnsi="Calibri" w:cs="Calibri"/>
          <w:sz w:val="22"/>
          <w:szCs w:val="22"/>
        </w:rPr>
        <w:t xml:space="preserve"> calculation is based on the program cost ($</w:t>
      </w:r>
      <w:r w:rsidR="006B7E18" w:rsidRPr="00D047B5">
        <w:rPr>
          <w:rFonts w:ascii="Calibri" w:hAnsi="Calibri" w:cs="Calibri"/>
          <w:sz w:val="22"/>
          <w:szCs w:val="22"/>
        </w:rPr>
        <w:t>37,407,000</w:t>
      </w:r>
      <w:r w:rsidRPr="00D047B5">
        <w:rPr>
          <w:rFonts w:ascii="Calibri" w:hAnsi="Calibri" w:cs="Calibri"/>
          <w:sz w:val="22"/>
          <w:szCs w:val="22"/>
        </w:rPr>
        <w:t>,) divided the mass of CO</w:t>
      </w:r>
      <w:r w:rsidRPr="00D047B5">
        <w:rPr>
          <w:rFonts w:ascii="Calibri" w:hAnsi="Calibri" w:cs="Calibri"/>
          <w:sz w:val="22"/>
          <w:szCs w:val="22"/>
          <w:vertAlign w:val="subscript"/>
        </w:rPr>
        <w:t>2</w:t>
      </w:r>
      <w:r w:rsidRPr="00D047B5">
        <w:rPr>
          <w:rFonts w:ascii="Calibri" w:hAnsi="Calibri" w:cs="Calibri"/>
          <w:sz w:val="22"/>
          <w:szCs w:val="22"/>
        </w:rPr>
        <w:t xml:space="preserve"> reduced (</w:t>
      </w:r>
      <w:r w:rsidR="006B7E18" w:rsidRPr="00D047B5">
        <w:rPr>
          <w:rFonts w:ascii="Calibri" w:hAnsi="Calibri" w:cs="Calibri"/>
          <w:sz w:val="22"/>
          <w:szCs w:val="22"/>
        </w:rPr>
        <w:t>9,739.76 metric tons</w:t>
      </w:r>
      <w:r w:rsidRPr="00D047B5">
        <w:rPr>
          <w:rFonts w:ascii="Calibri" w:hAnsi="Calibri" w:cs="Calibri"/>
          <w:sz w:val="22"/>
          <w:szCs w:val="22"/>
        </w:rPr>
        <w:t xml:space="preserve">) from replacing gasoline powered equipment with battery-electric equipment. This </w:t>
      </w:r>
      <w:r w:rsidR="000A4DFB" w:rsidRPr="00D047B5">
        <w:rPr>
          <w:rFonts w:ascii="Calibri" w:hAnsi="Calibri" w:cs="Calibri"/>
          <w:sz w:val="22"/>
          <w:szCs w:val="22"/>
        </w:rPr>
        <w:t xml:space="preserve">CE </w:t>
      </w:r>
      <w:r w:rsidRPr="00D047B5">
        <w:rPr>
          <w:rFonts w:ascii="Calibri" w:hAnsi="Calibri" w:cs="Calibri"/>
          <w:sz w:val="22"/>
          <w:szCs w:val="22"/>
        </w:rPr>
        <w:t>estimate only considers the scope 1 emissions from electrifying LGE in Chicago. As this program results in a reduction of gasoline use, it will also yield greenhouse gas reductions along the entire “well to engine” gasoline supply chain</w:t>
      </w:r>
      <w:r w:rsidR="000A4DFB" w:rsidRPr="00D047B5">
        <w:rPr>
          <w:rFonts w:ascii="Calibri" w:hAnsi="Calibri" w:cs="Calibri"/>
          <w:sz w:val="22"/>
          <w:szCs w:val="22"/>
        </w:rPr>
        <w:t>. While we did not estimate the scope 2 and scope 3 impacts of this program, qualitatively, this CE for this strategy is likely lower than the $</w:t>
      </w:r>
      <w:r w:rsidR="00D047B5" w:rsidRPr="00D047B5">
        <w:rPr>
          <w:rFonts w:ascii="Calibri" w:hAnsi="Calibri" w:cs="Calibri"/>
          <w:sz w:val="22"/>
          <w:szCs w:val="22"/>
        </w:rPr>
        <w:t>3,484.54</w:t>
      </w:r>
      <w:r w:rsidR="000A4DFB" w:rsidRPr="00D047B5">
        <w:rPr>
          <w:rFonts w:ascii="Calibri" w:hAnsi="Calibri" w:cs="Calibri"/>
          <w:sz w:val="22"/>
          <w:szCs w:val="22"/>
        </w:rPr>
        <w:t>/ton estimated here because of the CO</w:t>
      </w:r>
      <w:r w:rsidR="000A4DFB" w:rsidRPr="00D047B5">
        <w:rPr>
          <w:rFonts w:ascii="Calibri" w:hAnsi="Calibri" w:cs="Calibri"/>
          <w:sz w:val="22"/>
          <w:szCs w:val="22"/>
          <w:vertAlign w:val="subscript"/>
        </w:rPr>
        <w:t>2</w:t>
      </w:r>
      <w:r w:rsidR="000A4DFB" w:rsidRPr="00D047B5">
        <w:rPr>
          <w:rFonts w:ascii="Calibri" w:hAnsi="Calibri" w:cs="Calibri"/>
          <w:sz w:val="22"/>
          <w:szCs w:val="22"/>
        </w:rPr>
        <w:t xml:space="preserve"> reductions along the entire gasoline supply chain. </w:t>
      </w:r>
    </w:p>
    <w:p w14:paraId="7207256E" w14:textId="77777777" w:rsidR="00A1236D" w:rsidRPr="00F41F08" w:rsidRDefault="00A1236D">
      <w:pPr>
        <w:rPr>
          <w:rFonts w:ascii="Calibri" w:hAnsi="Calibri" w:cs="Calibri"/>
        </w:rPr>
      </w:pPr>
    </w:p>
    <w:p w14:paraId="7193D18C" w14:textId="77777777" w:rsidR="00087E8A" w:rsidRPr="00087E8A" w:rsidRDefault="00087E8A" w:rsidP="00087E8A">
      <w:pPr>
        <w:rPr>
          <w:rFonts w:ascii="Calibri" w:hAnsi="Calibri" w:cs="Calibri"/>
          <w:b/>
          <w:bCs/>
          <w:sz w:val="22"/>
          <w:szCs w:val="22"/>
        </w:rPr>
      </w:pPr>
      <w:r w:rsidRPr="00087E8A">
        <w:rPr>
          <w:rFonts w:ascii="Calibri" w:hAnsi="Calibri" w:cs="Calibri"/>
          <w:b/>
          <w:bCs/>
          <w:sz w:val="22"/>
          <w:szCs w:val="22"/>
        </w:rPr>
        <w:t>Outcomes</w:t>
      </w:r>
    </w:p>
    <w:p w14:paraId="4EDAC9F1" w14:textId="77777777" w:rsidR="00087E8A" w:rsidRPr="00087E8A" w:rsidRDefault="00087E8A" w:rsidP="00087E8A">
      <w:pPr>
        <w:rPr>
          <w:rFonts w:ascii="Calibri" w:hAnsi="Calibri" w:cs="Calibri"/>
          <w:sz w:val="22"/>
          <w:szCs w:val="22"/>
        </w:rPr>
      </w:pPr>
    </w:p>
    <w:p w14:paraId="3A81F38D" w14:textId="39407653" w:rsidR="00087E8A" w:rsidRPr="00087E8A" w:rsidRDefault="00087E8A" w:rsidP="00087E8A">
      <w:pPr>
        <w:rPr>
          <w:rFonts w:ascii="Calibri" w:hAnsi="Calibri" w:cs="Calibri"/>
          <w:sz w:val="22"/>
          <w:szCs w:val="22"/>
        </w:rPr>
      </w:pPr>
      <w:r w:rsidRPr="00087E8A">
        <w:rPr>
          <w:rFonts w:ascii="Calibri" w:hAnsi="Calibri" w:cs="Calibri"/>
          <w:sz w:val="22"/>
          <w:szCs w:val="22"/>
        </w:rPr>
        <w:t xml:space="preserve">The MMC buy-back program to incentivize a more rapid transition from gasoline to electric-powered LGE will reduce GHG, CAP, and HAP emissions in the Chicago area. The table below shows the annual and cumulative impacts from 2025-2030 to CO2, NOx, total VOCs, and gasoline-related HAPs from this program. We </w:t>
      </w:r>
      <w:r w:rsidR="00FB7F2B">
        <w:rPr>
          <w:rFonts w:ascii="Calibri" w:hAnsi="Calibri" w:cs="Calibri"/>
          <w:sz w:val="22"/>
          <w:szCs w:val="22"/>
        </w:rPr>
        <w:t xml:space="preserve">estimated HAP emissions from the total VOC inventory </w:t>
      </w:r>
      <w:r w:rsidRPr="00087E8A">
        <w:rPr>
          <w:rFonts w:ascii="Calibri" w:hAnsi="Calibri" w:cs="Calibri"/>
          <w:sz w:val="22"/>
          <w:szCs w:val="22"/>
        </w:rPr>
        <w:t>us</w:t>
      </w:r>
      <w:r w:rsidR="00FB7F2B">
        <w:rPr>
          <w:rFonts w:ascii="Calibri" w:hAnsi="Calibri" w:cs="Calibri"/>
          <w:sz w:val="22"/>
          <w:szCs w:val="22"/>
        </w:rPr>
        <w:t>ing</w:t>
      </w:r>
      <w:r w:rsidRPr="00087E8A">
        <w:rPr>
          <w:rFonts w:ascii="Calibri" w:hAnsi="Calibri" w:cs="Calibri"/>
          <w:sz w:val="22"/>
          <w:szCs w:val="22"/>
        </w:rPr>
        <w:t xml:space="preserve"> weight fractions from SPECIATE5.3 </w:t>
      </w:r>
      <w:r w:rsidR="00FB7F2B">
        <w:rPr>
          <w:rFonts w:ascii="Calibri" w:hAnsi="Calibri" w:cs="Calibri"/>
          <w:sz w:val="22"/>
          <w:szCs w:val="22"/>
        </w:rPr>
        <w:t>(</w:t>
      </w:r>
      <w:r w:rsidRPr="00087E8A">
        <w:rPr>
          <w:rFonts w:ascii="Calibri" w:hAnsi="Calibri" w:cs="Calibri"/>
          <w:sz w:val="22"/>
          <w:szCs w:val="22"/>
        </w:rPr>
        <w:t>profile</w:t>
      </w:r>
      <w:r w:rsidR="00FB7F2B">
        <w:rPr>
          <w:rFonts w:ascii="Calibri" w:hAnsi="Calibri" w:cs="Calibri"/>
          <w:sz w:val="22"/>
          <w:szCs w:val="22"/>
        </w:rPr>
        <w:t xml:space="preserve"> 95330)</w:t>
      </w:r>
      <w:r w:rsidRPr="00087E8A">
        <w:rPr>
          <w:rFonts w:ascii="Calibri" w:hAnsi="Calibri" w:cs="Calibri"/>
          <w:sz w:val="22"/>
          <w:szCs w:val="22"/>
        </w:rPr>
        <w:t xml:space="preserve"> for </w:t>
      </w:r>
      <w:r w:rsidR="00FB7F2B">
        <w:rPr>
          <w:rFonts w:ascii="Calibri" w:hAnsi="Calibri" w:cs="Calibri"/>
          <w:sz w:val="22"/>
          <w:szCs w:val="22"/>
        </w:rPr>
        <w:t xml:space="preserve">a </w:t>
      </w:r>
      <w:r w:rsidRPr="00087E8A">
        <w:rPr>
          <w:rFonts w:ascii="Calibri" w:hAnsi="Calibri" w:cs="Calibri"/>
          <w:sz w:val="22"/>
          <w:szCs w:val="22"/>
        </w:rPr>
        <w:t>4 Stroke</w:t>
      </w:r>
      <w:r w:rsidR="00FB7F2B">
        <w:rPr>
          <w:rFonts w:ascii="Calibri" w:hAnsi="Calibri" w:cs="Calibri"/>
          <w:sz w:val="22"/>
          <w:szCs w:val="22"/>
        </w:rPr>
        <w:t xml:space="preserve"> engine burning E90</w:t>
      </w:r>
      <w:r w:rsidRPr="00087E8A">
        <w:rPr>
          <w:rFonts w:ascii="Calibri" w:hAnsi="Calibri" w:cs="Calibri"/>
          <w:sz w:val="22"/>
          <w:szCs w:val="22"/>
        </w:rPr>
        <w:t xml:space="preserve"> gasoline. </w:t>
      </w:r>
    </w:p>
    <w:p w14:paraId="26692943" w14:textId="77777777" w:rsidR="00087E8A" w:rsidRPr="00087E8A" w:rsidRDefault="00087E8A" w:rsidP="00087E8A">
      <w:pPr>
        <w:rPr>
          <w:rFonts w:ascii="Calibri" w:hAnsi="Calibri" w:cs="Calibri"/>
          <w:sz w:val="22"/>
          <w:szCs w:val="22"/>
        </w:rPr>
      </w:pPr>
    </w:p>
    <w:tbl>
      <w:tblPr>
        <w:tblStyle w:val="TableGrid"/>
        <w:tblW w:w="0" w:type="auto"/>
        <w:jc w:val="center"/>
        <w:tblLook w:val="04A0" w:firstRow="1" w:lastRow="0" w:firstColumn="1" w:lastColumn="0" w:noHBand="0" w:noVBand="1"/>
      </w:tblPr>
      <w:tblGrid>
        <w:gridCol w:w="2085"/>
        <w:gridCol w:w="1870"/>
        <w:gridCol w:w="1870"/>
        <w:gridCol w:w="2485"/>
      </w:tblGrid>
      <w:tr w:rsidR="00087E8A" w:rsidRPr="00087E8A" w14:paraId="0DE136A0" w14:textId="77777777" w:rsidTr="00890550">
        <w:trPr>
          <w:jc w:val="center"/>
        </w:trPr>
        <w:tc>
          <w:tcPr>
            <w:tcW w:w="2085" w:type="dxa"/>
            <w:vMerge w:val="restart"/>
          </w:tcPr>
          <w:p w14:paraId="2B60BC4B" w14:textId="77777777" w:rsidR="00087E8A" w:rsidRPr="00087E8A" w:rsidRDefault="00087E8A" w:rsidP="00890550">
            <w:pPr>
              <w:jc w:val="center"/>
              <w:rPr>
                <w:rFonts w:ascii="Calibri" w:hAnsi="Calibri" w:cs="Calibri"/>
                <w:b/>
                <w:bCs/>
                <w:sz w:val="22"/>
                <w:szCs w:val="22"/>
              </w:rPr>
            </w:pPr>
            <w:r w:rsidRPr="00087E8A">
              <w:rPr>
                <w:rFonts w:ascii="Calibri" w:hAnsi="Calibri" w:cs="Calibri"/>
                <w:b/>
                <w:bCs/>
                <w:sz w:val="22"/>
                <w:szCs w:val="22"/>
              </w:rPr>
              <w:lastRenderedPageBreak/>
              <w:t>Pollutant</w:t>
            </w:r>
          </w:p>
        </w:tc>
        <w:tc>
          <w:tcPr>
            <w:tcW w:w="1870" w:type="dxa"/>
            <w:vMerge w:val="restart"/>
          </w:tcPr>
          <w:p w14:paraId="392451A1" w14:textId="77777777" w:rsidR="00087E8A" w:rsidRPr="00087E8A" w:rsidRDefault="00087E8A" w:rsidP="00890550">
            <w:pPr>
              <w:jc w:val="center"/>
              <w:rPr>
                <w:rFonts w:ascii="Calibri" w:hAnsi="Calibri" w:cs="Calibri"/>
                <w:b/>
                <w:bCs/>
                <w:sz w:val="22"/>
                <w:szCs w:val="22"/>
              </w:rPr>
            </w:pPr>
            <w:r w:rsidRPr="00087E8A">
              <w:rPr>
                <w:rFonts w:ascii="Calibri" w:hAnsi="Calibri" w:cs="Calibri"/>
                <w:b/>
                <w:bCs/>
                <w:sz w:val="22"/>
                <w:szCs w:val="22"/>
              </w:rPr>
              <w:t>Baseline 2020 (tons)</w:t>
            </w:r>
          </w:p>
        </w:tc>
        <w:tc>
          <w:tcPr>
            <w:tcW w:w="4355" w:type="dxa"/>
            <w:gridSpan w:val="2"/>
          </w:tcPr>
          <w:p w14:paraId="415C52CC" w14:textId="77777777" w:rsidR="00087E8A" w:rsidRPr="00087E8A" w:rsidRDefault="00087E8A" w:rsidP="00890550">
            <w:pPr>
              <w:jc w:val="center"/>
              <w:rPr>
                <w:rFonts w:ascii="Calibri" w:hAnsi="Calibri" w:cs="Calibri"/>
                <w:b/>
                <w:bCs/>
                <w:sz w:val="22"/>
                <w:szCs w:val="22"/>
              </w:rPr>
            </w:pPr>
            <w:r w:rsidRPr="00087E8A">
              <w:rPr>
                <w:rFonts w:ascii="Calibri" w:hAnsi="Calibri" w:cs="Calibri"/>
                <w:b/>
                <w:bCs/>
                <w:sz w:val="22"/>
                <w:szCs w:val="22"/>
              </w:rPr>
              <w:t>2025-2030 Emissions Reductions (tons)</w:t>
            </w:r>
          </w:p>
        </w:tc>
      </w:tr>
      <w:tr w:rsidR="00087E8A" w:rsidRPr="00087E8A" w14:paraId="043BB522" w14:textId="77777777" w:rsidTr="00890550">
        <w:trPr>
          <w:jc w:val="center"/>
        </w:trPr>
        <w:tc>
          <w:tcPr>
            <w:tcW w:w="2085" w:type="dxa"/>
            <w:vMerge/>
          </w:tcPr>
          <w:p w14:paraId="13F95BCA" w14:textId="77777777" w:rsidR="00087E8A" w:rsidRPr="00087E8A" w:rsidRDefault="00087E8A" w:rsidP="00890550">
            <w:pPr>
              <w:jc w:val="center"/>
              <w:rPr>
                <w:rFonts w:ascii="Calibri" w:hAnsi="Calibri" w:cs="Calibri"/>
                <w:b/>
                <w:bCs/>
                <w:sz w:val="22"/>
                <w:szCs w:val="22"/>
              </w:rPr>
            </w:pPr>
          </w:p>
        </w:tc>
        <w:tc>
          <w:tcPr>
            <w:tcW w:w="1870" w:type="dxa"/>
            <w:vMerge/>
          </w:tcPr>
          <w:p w14:paraId="604308AE" w14:textId="77777777" w:rsidR="00087E8A" w:rsidRPr="00087E8A" w:rsidRDefault="00087E8A" w:rsidP="00890550">
            <w:pPr>
              <w:jc w:val="center"/>
              <w:rPr>
                <w:rFonts w:ascii="Calibri" w:hAnsi="Calibri" w:cs="Calibri"/>
                <w:b/>
                <w:bCs/>
                <w:sz w:val="22"/>
                <w:szCs w:val="22"/>
              </w:rPr>
            </w:pPr>
          </w:p>
        </w:tc>
        <w:tc>
          <w:tcPr>
            <w:tcW w:w="1870" w:type="dxa"/>
          </w:tcPr>
          <w:p w14:paraId="06B0F32D" w14:textId="77777777" w:rsidR="00087E8A" w:rsidRPr="00087E8A" w:rsidRDefault="00087E8A" w:rsidP="00890550">
            <w:pPr>
              <w:jc w:val="center"/>
              <w:rPr>
                <w:rFonts w:ascii="Calibri" w:hAnsi="Calibri" w:cs="Calibri"/>
                <w:b/>
                <w:bCs/>
                <w:sz w:val="22"/>
                <w:szCs w:val="22"/>
              </w:rPr>
            </w:pPr>
            <w:r w:rsidRPr="00087E8A">
              <w:rPr>
                <w:rFonts w:ascii="Calibri" w:hAnsi="Calibri" w:cs="Calibri"/>
                <w:b/>
                <w:bCs/>
                <w:sz w:val="22"/>
                <w:szCs w:val="22"/>
              </w:rPr>
              <w:t xml:space="preserve">Cumulative </w:t>
            </w:r>
          </w:p>
        </w:tc>
        <w:tc>
          <w:tcPr>
            <w:tcW w:w="2485" w:type="dxa"/>
          </w:tcPr>
          <w:p w14:paraId="4D6DB168" w14:textId="77777777" w:rsidR="00087E8A" w:rsidRPr="00087E8A" w:rsidRDefault="00087E8A" w:rsidP="00890550">
            <w:pPr>
              <w:jc w:val="center"/>
              <w:rPr>
                <w:rFonts w:ascii="Calibri" w:hAnsi="Calibri" w:cs="Calibri"/>
                <w:b/>
                <w:bCs/>
                <w:sz w:val="22"/>
                <w:szCs w:val="22"/>
              </w:rPr>
            </w:pPr>
            <w:r w:rsidRPr="00087E8A">
              <w:rPr>
                <w:rFonts w:ascii="Calibri" w:hAnsi="Calibri" w:cs="Calibri"/>
                <w:b/>
                <w:bCs/>
                <w:sz w:val="22"/>
                <w:szCs w:val="22"/>
              </w:rPr>
              <w:t xml:space="preserve">Annual </w:t>
            </w:r>
          </w:p>
        </w:tc>
      </w:tr>
      <w:tr w:rsidR="00087E8A" w:rsidRPr="00087E8A" w14:paraId="740743BD" w14:textId="77777777" w:rsidTr="00890550">
        <w:trPr>
          <w:jc w:val="center"/>
        </w:trPr>
        <w:tc>
          <w:tcPr>
            <w:tcW w:w="2085" w:type="dxa"/>
          </w:tcPr>
          <w:p w14:paraId="01A07E5F"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CO</w:t>
            </w:r>
            <w:r w:rsidRPr="00087E8A">
              <w:rPr>
                <w:rFonts w:ascii="Calibri" w:hAnsi="Calibri" w:cs="Calibri"/>
                <w:sz w:val="22"/>
                <w:szCs w:val="22"/>
                <w:vertAlign w:val="subscript"/>
              </w:rPr>
              <w:t>2</w:t>
            </w:r>
          </w:p>
        </w:tc>
        <w:tc>
          <w:tcPr>
            <w:tcW w:w="1870" w:type="dxa"/>
            <w:vAlign w:val="bottom"/>
          </w:tcPr>
          <w:p w14:paraId="051CABA7"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731,540 </w:t>
            </w:r>
          </w:p>
        </w:tc>
        <w:tc>
          <w:tcPr>
            <w:tcW w:w="1870" w:type="dxa"/>
            <w:vAlign w:val="bottom"/>
          </w:tcPr>
          <w:p w14:paraId="37F1CE6E"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37,620 </w:t>
            </w:r>
          </w:p>
        </w:tc>
        <w:tc>
          <w:tcPr>
            <w:tcW w:w="2485" w:type="dxa"/>
            <w:vAlign w:val="bottom"/>
          </w:tcPr>
          <w:p w14:paraId="5289301A"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7,524 </w:t>
            </w:r>
          </w:p>
        </w:tc>
      </w:tr>
      <w:tr w:rsidR="00087E8A" w:rsidRPr="00087E8A" w14:paraId="73B4013F" w14:textId="77777777" w:rsidTr="00890550">
        <w:trPr>
          <w:jc w:val="center"/>
        </w:trPr>
        <w:tc>
          <w:tcPr>
            <w:tcW w:w="2085" w:type="dxa"/>
          </w:tcPr>
          <w:p w14:paraId="55BE91E2"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NOx</w:t>
            </w:r>
          </w:p>
        </w:tc>
        <w:tc>
          <w:tcPr>
            <w:tcW w:w="1870" w:type="dxa"/>
            <w:vAlign w:val="bottom"/>
          </w:tcPr>
          <w:p w14:paraId="0AEF7E6B"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1,710 </w:t>
            </w:r>
          </w:p>
        </w:tc>
        <w:tc>
          <w:tcPr>
            <w:tcW w:w="1870" w:type="dxa"/>
            <w:vAlign w:val="bottom"/>
          </w:tcPr>
          <w:p w14:paraId="20D19741"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83 </w:t>
            </w:r>
          </w:p>
        </w:tc>
        <w:tc>
          <w:tcPr>
            <w:tcW w:w="2485" w:type="dxa"/>
            <w:vAlign w:val="bottom"/>
          </w:tcPr>
          <w:p w14:paraId="23A45DED"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17 </w:t>
            </w:r>
          </w:p>
        </w:tc>
      </w:tr>
      <w:tr w:rsidR="00087E8A" w:rsidRPr="00087E8A" w14:paraId="713B1B74" w14:textId="77777777" w:rsidTr="00890550">
        <w:trPr>
          <w:jc w:val="center"/>
        </w:trPr>
        <w:tc>
          <w:tcPr>
            <w:tcW w:w="2085" w:type="dxa"/>
          </w:tcPr>
          <w:p w14:paraId="5BA0B7E9" w14:textId="77777777" w:rsidR="00087E8A" w:rsidRPr="00087E8A" w:rsidRDefault="00087E8A" w:rsidP="00890550">
            <w:pPr>
              <w:jc w:val="center"/>
              <w:rPr>
                <w:rFonts w:ascii="Calibri" w:hAnsi="Calibri" w:cs="Calibri"/>
                <w:sz w:val="22"/>
                <w:szCs w:val="22"/>
              </w:rPr>
            </w:pPr>
          </w:p>
        </w:tc>
        <w:tc>
          <w:tcPr>
            <w:tcW w:w="1870" w:type="dxa"/>
            <w:vAlign w:val="bottom"/>
          </w:tcPr>
          <w:p w14:paraId="3FBC4062" w14:textId="77777777" w:rsidR="00087E8A" w:rsidRPr="00087E8A" w:rsidRDefault="00087E8A" w:rsidP="00890550">
            <w:pPr>
              <w:jc w:val="right"/>
              <w:rPr>
                <w:rFonts w:ascii="Calibri" w:hAnsi="Calibri" w:cs="Calibri"/>
                <w:color w:val="000000"/>
                <w:sz w:val="22"/>
                <w:szCs w:val="22"/>
              </w:rPr>
            </w:pPr>
          </w:p>
        </w:tc>
        <w:tc>
          <w:tcPr>
            <w:tcW w:w="1870" w:type="dxa"/>
            <w:vAlign w:val="bottom"/>
          </w:tcPr>
          <w:p w14:paraId="33FEC82B" w14:textId="77777777" w:rsidR="00087E8A" w:rsidRPr="00087E8A" w:rsidRDefault="00087E8A" w:rsidP="00890550">
            <w:pPr>
              <w:jc w:val="right"/>
              <w:rPr>
                <w:rFonts w:ascii="Calibri" w:hAnsi="Calibri" w:cs="Calibri"/>
                <w:color w:val="000000"/>
                <w:sz w:val="22"/>
                <w:szCs w:val="22"/>
              </w:rPr>
            </w:pPr>
          </w:p>
        </w:tc>
        <w:tc>
          <w:tcPr>
            <w:tcW w:w="2485" w:type="dxa"/>
            <w:vAlign w:val="bottom"/>
          </w:tcPr>
          <w:p w14:paraId="5051E7EC" w14:textId="77777777" w:rsidR="00087E8A" w:rsidRPr="00087E8A" w:rsidRDefault="00087E8A" w:rsidP="00890550">
            <w:pPr>
              <w:jc w:val="right"/>
              <w:rPr>
                <w:rFonts w:ascii="Calibri" w:hAnsi="Calibri" w:cs="Calibri"/>
                <w:color w:val="000000"/>
                <w:sz w:val="22"/>
                <w:szCs w:val="22"/>
              </w:rPr>
            </w:pPr>
          </w:p>
        </w:tc>
      </w:tr>
      <w:tr w:rsidR="00087E8A" w:rsidRPr="00087E8A" w14:paraId="16C26730" w14:textId="77777777" w:rsidTr="00890550">
        <w:trPr>
          <w:trHeight w:val="79"/>
          <w:jc w:val="center"/>
        </w:trPr>
        <w:tc>
          <w:tcPr>
            <w:tcW w:w="2085" w:type="dxa"/>
          </w:tcPr>
          <w:p w14:paraId="03991F5D"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VOCs</w:t>
            </w:r>
          </w:p>
        </w:tc>
        <w:tc>
          <w:tcPr>
            <w:tcW w:w="1870" w:type="dxa"/>
            <w:vAlign w:val="bottom"/>
          </w:tcPr>
          <w:p w14:paraId="2454EDC1"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8,920 </w:t>
            </w:r>
          </w:p>
        </w:tc>
        <w:tc>
          <w:tcPr>
            <w:tcW w:w="1870" w:type="dxa"/>
            <w:vAlign w:val="bottom"/>
          </w:tcPr>
          <w:p w14:paraId="6931DD14"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1,020 </w:t>
            </w:r>
          </w:p>
        </w:tc>
        <w:tc>
          <w:tcPr>
            <w:tcW w:w="2485" w:type="dxa"/>
            <w:vAlign w:val="bottom"/>
          </w:tcPr>
          <w:p w14:paraId="38FB2B8C" w14:textId="77777777" w:rsidR="00087E8A" w:rsidRPr="00087E8A" w:rsidRDefault="00087E8A" w:rsidP="00890550">
            <w:pPr>
              <w:jc w:val="right"/>
              <w:rPr>
                <w:rFonts w:ascii="Calibri" w:hAnsi="Calibri" w:cs="Calibri"/>
                <w:sz w:val="22"/>
                <w:szCs w:val="22"/>
              </w:rPr>
            </w:pPr>
            <w:r w:rsidRPr="00087E8A">
              <w:rPr>
                <w:rFonts w:ascii="Calibri" w:hAnsi="Calibri" w:cs="Calibri"/>
                <w:color w:val="000000"/>
                <w:sz w:val="22"/>
                <w:szCs w:val="22"/>
              </w:rPr>
              <w:t xml:space="preserve">204 </w:t>
            </w:r>
          </w:p>
        </w:tc>
      </w:tr>
      <w:tr w:rsidR="00087E8A" w:rsidRPr="00087E8A" w14:paraId="184CE059" w14:textId="77777777" w:rsidTr="00890550">
        <w:trPr>
          <w:trHeight w:val="79"/>
          <w:jc w:val="center"/>
        </w:trPr>
        <w:tc>
          <w:tcPr>
            <w:tcW w:w="2085" w:type="dxa"/>
          </w:tcPr>
          <w:p w14:paraId="3AFD614C"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Benzene</w:t>
            </w:r>
          </w:p>
        </w:tc>
        <w:tc>
          <w:tcPr>
            <w:tcW w:w="1870" w:type="dxa"/>
          </w:tcPr>
          <w:p w14:paraId="258A77AE" w14:textId="77777777" w:rsidR="00087E8A" w:rsidRPr="00087E8A" w:rsidRDefault="00087E8A" w:rsidP="00890550">
            <w:pPr>
              <w:jc w:val="right"/>
              <w:rPr>
                <w:rFonts w:ascii="Calibri" w:hAnsi="Calibri" w:cs="Calibri"/>
                <w:sz w:val="22"/>
                <w:szCs w:val="22"/>
              </w:rPr>
            </w:pPr>
            <w:r w:rsidRPr="00087E8A">
              <w:rPr>
                <w:rFonts w:ascii="Calibri" w:hAnsi="Calibri" w:cs="Calibri"/>
                <w:sz w:val="22"/>
                <w:szCs w:val="22"/>
              </w:rPr>
              <w:t>1129</w:t>
            </w:r>
          </w:p>
        </w:tc>
        <w:tc>
          <w:tcPr>
            <w:tcW w:w="1870" w:type="dxa"/>
            <w:vAlign w:val="bottom"/>
          </w:tcPr>
          <w:p w14:paraId="4C1E043C"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129</w:t>
            </w:r>
          </w:p>
        </w:tc>
        <w:tc>
          <w:tcPr>
            <w:tcW w:w="2485" w:type="dxa"/>
            <w:vAlign w:val="bottom"/>
          </w:tcPr>
          <w:p w14:paraId="36954A37"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26</w:t>
            </w:r>
          </w:p>
        </w:tc>
      </w:tr>
      <w:tr w:rsidR="00087E8A" w:rsidRPr="00087E8A" w14:paraId="5B00983A" w14:textId="77777777" w:rsidTr="00890550">
        <w:trPr>
          <w:trHeight w:val="79"/>
          <w:jc w:val="center"/>
        </w:trPr>
        <w:tc>
          <w:tcPr>
            <w:tcW w:w="2085" w:type="dxa"/>
          </w:tcPr>
          <w:p w14:paraId="58476AEE"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Toluene</w:t>
            </w:r>
          </w:p>
        </w:tc>
        <w:tc>
          <w:tcPr>
            <w:tcW w:w="1870" w:type="dxa"/>
          </w:tcPr>
          <w:p w14:paraId="46DE19EE" w14:textId="77777777" w:rsidR="00087E8A" w:rsidRPr="00087E8A" w:rsidRDefault="00087E8A" w:rsidP="00890550">
            <w:pPr>
              <w:jc w:val="right"/>
              <w:rPr>
                <w:rFonts w:ascii="Calibri" w:hAnsi="Calibri" w:cs="Calibri"/>
                <w:sz w:val="22"/>
                <w:szCs w:val="22"/>
              </w:rPr>
            </w:pPr>
            <w:r w:rsidRPr="00087E8A">
              <w:rPr>
                <w:rFonts w:ascii="Calibri" w:hAnsi="Calibri" w:cs="Calibri"/>
                <w:sz w:val="22"/>
                <w:szCs w:val="22"/>
              </w:rPr>
              <w:t>1062</w:t>
            </w:r>
          </w:p>
        </w:tc>
        <w:tc>
          <w:tcPr>
            <w:tcW w:w="1870" w:type="dxa"/>
            <w:vAlign w:val="bottom"/>
          </w:tcPr>
          <w:p w14:paraId="5195A7C3"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121</w:t>
            </w:r>
          </w:p>
        </w:tc>
        <w:tc>
          <w:tcPr>
            <w:tcW w:w="2485" w:type="dxa"/>
            <w:vAlign w:val="bottom"/>
          </w:tcPr>
          <w:p w14:paraId="7551B7AF"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24</w:t>
            </w:r>
          </w:p>
        </w:tc>
      </w:tr>
      <w:tr w:rsidR="00087E8A" w:rsidRPr="00087E8A" w14:paraId="551A7090" w14:textId="77777777" w:rsidTr="00890550">
        <w:trPr>
          <w:trHeight w:val="79"/>
          <w:jc w:val="center"/>
        </w:trPr>
        <w:tc>
          <w:tcPr>
            <w:tcW w:w="2085" w:type="dxa"/>
          </w:tcPr>
          <w:p w14:paraId="40DCD963"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Xylenes</w:t>
            </w:r>
          </w:p>
        </w:tc>
        <w:tc>
          <w:tcPr>
            <w:tcW w:w="1870" w:type="dxa"/>
          </w:tcPr>
          <w:p w14:paraId="738C8F84" w14:textId="77777777" w:rsidR="00087E8A" w:rsidRPr="00087E8A" w:rsidRDefault="00087E8A" w:rsidP="00890550">
            <w:pPr>
              <w:jc w:val="right"/>
              <w:rPr>
                <w:rFonts w:ascii="Calibri" w:hAnsi="Calibri" w:cs="Calibri"/>
                <w:sz w:val="22"/>
                <w:szCs w:val="22"/>
              </w:rPr>
            </w:pPr>
            <w:r w:rsidRPr="00087E8A">
              <w:rPr>
                <w:rFonts w:ascii="Calibri" w:hAnsi="Calibri" w:cs="Calibri"/>
                <w:sz w:val="22"/>
                <w:szCs w:val="22"/>
              </w:rPr>
              <w:t>1073</w:t>
            </w:r>
          </w:p>
        </w:tc>
        <w:tc>
          <w:tcPr>
            <w:tcW w:w="1870" w:type="dxa"/>
            <w:vAlign w:val="bottom"/>
          </w:tcPr>
          <w:p w14:paraId="726AB203"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123</w:t>
            </w:r>
          </w:p>
        </w:tc>
        <w:tc>
          <w:tcPr>
            <w:tcW w:w="2485" w:type="dxa"/>
            <w:vAlign w:val="bottom"/>
          </w:tcPr>
          <w:p w14:paraId="023C0F0F"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25</w:t>
            </w:r>
          </w:p>
        </w:tc>
      </w:tr>
      <w:tr w:rsidR="00087E8A" w:rsidRPr="00087E8A" w14:paraId="77895C07" w14:textId="77777777" w:rsidTr="00890550">
        <w:trPr>
          <w:trHeight w:val="79"/>
          <w:jc w:val="center"/>
        </w:trPr>
        <w:tc>
          <w:tcPr>
            <w:tcW w:w="2085" w:type="dxa"/>
          </w:tcPr>
          <w:p w14:paraId="725D3468" w14:textId="77777777" w:rsidR="00087E8A" w:rsidRPr="00087E8A" w:rsidRDefault="00087E8A" w:rsidP="00890550">
            <w:pPr>
              <w:jc w:val="center"/>
              <w:rPr>
                <w:rFonts w:ascii="Calibri" w:hAnsi="Calibri" w:cs="Calibri"/>
                <w:sz w:val="22"/>
                <w:szCs w:val="22"/>
              </w:rPr>
            </w:pPr>
            <w:r w:rsidRPr="00087E8A">
              <w:rPr>
                <w:rFonts w:ascii="Calibri" w:hAnsi="Calibri" w:cs="Calibri"/>
                <w:sz w:val="22"/>
                <w:szCs w:val="22"/>
              </w:rPr>
              <w:t>Acetaldehyde</w:t>
            </w:r>
          </w:p>
        </w:tc>
        <w:tc>
          <w:tcPr>
            <w:tcW w:w="1870" w:type="dxa"/>
          </w:tcPr>
          <w:p w14:paraId="7CB0606E" w14:textId="77777777" w:rsidR="00087E8A" w:rsidRPr="00087E8A" w:rsidRDefault="00087E8A" w:rsidP="00890550">
            <w:pPr>
              <w:jc w:val="right"/>
              <w:rPr>
                <w:rFonts w:ascii="Calibri" w:hAnsi="Calibri" w:cs="Calibri"/>
                <w:sz w:val="22"/>
                <w:szCs w:val="22"/>
              </w:rPr>
            </w:pPr>
            <w:r w:rsidRPr="00087E8A">
              <w:rPr>
                <w:rFonts w:ascii="Calibri" w:hAnsi="Calibri" w:cs="Calibri"/>
                <w:sz w:val="22"/>
                <w:szCs w:val="22"/>
              </w:rPr>
              <w:t>9</w:t>
            </w:r>
          </w:p>
        </w:tc>
        <w:tc>
          <w:tcPr>
            <w:tcW w:w="1870" w:type="dxa"/>
            <w:vAlign w:val="bottom"/>
          </w:tcPr>
          <w:p w14:paraId="15705679" w14:textId="77777777" w:rsidR="00087E8A" w:rsidRPr="00087E8A" w:rsidRDefault="00087E8A" w:rsidP="00890550">
            <w:pPr>
              <w:jc w:val="right"/>
              <w:rPr>
                <w:rFonts w:ascii="Calibri" w:hAnsi="Calibri" w:cs="Calibri"/>
                <w:color w:val="000000"/>
                <w:sz w:val="22"/>
                <w:szCs w:val="22"/>
              </w:rPr>
            </w:pPr>
            <w:r w:rsidRPr="00087E8A">
              <w:rPr>
                <w:rFonts w:ascii="Calibri" w:hAnsi="Calibri" w:cs="Calibri"/>
                <w:color w:val="000000"/>
                <w:sz w:val="22"/>
                <w:szCs w:val="22"/>
              </w:rPr>
              <w:t>1</w:t>
            </w:r>
          </w:p>
        </w:tc>
        <w:tc>
          <w:tcPr>
            <w:tcW w:w="2485" w:type="dxa"/>
            <w:vAlign w:val="bottom"/>
          </w:tcPr>
          <w:p w14:paraId="11B212D6" w14:textId="698E4353" w:rsidR="00087E8A" w:rsidRPr="00087E8A" w:rsidRDefault="00FB7F2B" w:rsidP="00890550">
            <w:pPr>
              <w:jc w:val="right"/>
              <w:rPr>
                <w:rFonts w:ascii="Calibri" w:hAnsi="Calibri" w:cs="Calibri"/>
                <w:color w:val="000000"/>
                <w:sz w:val="22"/>
                <w:szCs w:val="22"/>
              </w:rPr>
            </w:pPr>
            <w:r>
              <w:rPr>
                <w:rFonts w:ascii="Calibri" w:hAnsi="Calibri" w:cs="Calibri"/>
                <w:color w:val="000000"/>
                <w:sz w:val="22"/>
                <w:szCs w:val="22"/>
              </w:rPr>
              <w:t>-</w:t>
            </w:r>
          </w:p>
        </w:tc>
      </w:tr>
    </w:tbl>
    <w:p w14:paraId="5FC13096" w14:textId="77777777" w:rsidR="00087E8A" w:rsidRDefault="00087E8A" w:rsidP="00087E8A">
      <w:pPr>
        <w:rPr>
          <w:rFonts w:ascii="Calibri" w:hAnsi="Calibri" w:cs="Calibri"/>
        </w:rPr>
      </w:pPr>
    </w:p>
    <w:p w14:paraId="79039EDD" w14:textId="77777777" w:rsidR="00FB7F2B" w:rsidRDefault="00FB7F2B" w:rsidP="002F1070">
      <w:pPr>
        <w:rPr>
          <w:rFonts w:ascii="Calibri" w:hAnsi="Calibri" w:cs="Calibri"/>
          <w:b/>
          <w:bCs/>
        </w:rPr>
      </w:pPr>
    </w:p>
    <w:p w14:paraId="57297A87" w14:textId="3A055110" w:rsidR="004E5EAD" w:rsidRPr="00FB7F2B" w:rsidRDefault="0044377E" w:rsidP="002F1070">
      <w:pPr>
        <w:rPr>
          <w:rFonts w:ascii="Calibri" w:hAnsi="Calibri" w:cs="Calibri"/>
          <w:b/>
          <w:bCs/>
        </w:rPr>
      </w:pPr>
      <w:r>
        <w:rPr>
          <w:rFonts w:ascii="Calibri" w:hAnsi="Calibri" w:cs="Calibri"/>
        </w:rPr>
        <w:t xml:space="preserve"> </w:t>
      </w:r>
    </w:p>
    <w:sectPr w:rsidR="004E5EAD" w:rsidRPr="00FB7F2B" w:rsidSect="00451E85">
      <w:headerReference w:type="default" r:id="rId7"/>
      <w:footerReference w:type="default" r:id="rId8"/>
      <w:pgSz w:w="12240" w:h="15840"/>
      <w:pgMar w:top="186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8C54E" w14:textId="77777777" w:rsidR="00451E85" w:rsidRDefault="00451E85" w:rsidP="0041757A">
      <w:r>
        <w:separator/>
      </w:r>
    </w:p>
  </w:endnote>
  <w:endnote w:type="continuationSeparator" w:id="0">
    <w:p w14:paraId="79072D4C" w14:textId="77777777" w:rsidR="00451E85" w:rsidRDefault="00451E85" w:rsidP="0041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544997"/>
      <w:docPartObj>
        <w:docPartGallery w:val="Page Numbers (Bottom of Page)"/>
        <w:docPartUnique/>
      </w:docPartObj>
    </w:sdtPr>
    <w:sdtEndPr>
      <w:rPr>
        <w:noProof/>
      </w:rPr>
    </w:sdtEndPr>
    <w:sdtContent>
      <w:p w14:paraId="7E096489" w14:textId="51C11007" w:rsidR="006B7E18" w:rsidRDefault="006B7E1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12874F" w14:textId="77777777" w:rsidR="006B7E18" w:rsidRDefault="006B7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1F2DC" w14:textId="77777777" w:rsidR="00451E85" w:rsidRDefault="00451E85" w:rsidP="0041757A">
      <w:r>
        <w:separator/>
      </w:r>
    </w:p>
  </w:footnote>
  <w:footnote w:type="continuationSeparator" w:id="0">
    <w:p w14:paraId="1B1D6EDB" w14:textId="77777777" w:rsidR="00451E85" w:rsidRDefault="00451E85" w:rsidP="0041757A">
      <w:r>
        <w:continuationSeparator/>
      </w:r>
    </w:p>
  </w:footnote>
  <w:footnote w:id="1">
    <w:p w14:paraId="2586ABC2" w14:textId="77777777" w:rsidR="005F1568" w:rsidRPr="00EE16C7" w:rsidRDefault="005F1568" w:rsidP="005F1568">
      <w:pPr>
        <w:pStyle w:val="FootnoteText"/>
        <w:rPr>
          <w:rFonts w:asciiTheme="minorHAnsi" w:hAnsiTheme="minorHAnsi" w:cstheme="minorHAnsi"/>
        </w:rPr>
      </w:pPr>
      <w:r w:rsidRPr="00EE16C7">
        <w:rPr>
          <w:rStyle w:val="FootnoteReference"/>
          <w:rFonts w:asciiTheme="minorHAnsi" w:hAnsiTheme="minorHAnsi" w:cstheme="minorHAnsi"/>
        </w:rPr>
        <w:footnoteRef/>
      </w:r>
      <w:r w:rsidRPr="00EE16C7">
        <w:rPr>
          <w:rFonts w:asciiTheme="minorHAnsi" w:hAnsiTheme="minorHAnsi" w:cstheme="minorHAnsi"/>
        </w:rPr>
        <w:t xml:space="preserve"> Outdoor Power Equipment Institute </w:t>
      </w:r>
      <w:hyperlink r:id="rId1" w:history="1">
        <w:r w:rsidRPr="00EE16C7">
          <w:rPr>
            <w:rStyle w:val="Hyperlink"/>
            <w:rFonts w:asciiTheme="minorHAnsi" w:eastAsiaTheme="majorEastAsia" w:hAnsiTheme="minorHAnsi" w:cstheme="minorHAnsi"/>
          </w:rPr>
          <w:t>https://www.opei.org/zero-emission-equipment/</w:t>
        </w:r>
      </w:hyperlink>
      <w:r w:rsidRPr="00EE16C7">
        <w:rPr>
          <w:rFonts w:asciiTheme="minorHAnsi" w:hAnsiTheme="minorHAnsi" w:cstheme="minorHAnsi"/>
        </w:rPr>
        <w:t xml:space="preserve"> March 28, 2024</w:t>
      </w:r>
    </w:p>
  </w:footnote>
  <w:footnote w:id="2">
    <w:p w14:paraId="3A77E6FA" w14:textId="77777777" w:rsidR="005F1568" w:rsidRDefault="005F1568" w:rsidP="005F1568">
      <w:pPr>
        <w:pStyle w:val="FootnoteText"/>
      </w:pPr>
      <w:r w:rsidRPr="00EE16C7">
        <w:rPr>
          <w:rStyle w:val="FootnoteReference"/>
          <w:rFonts w:asciiTheme="minorHAnsi" w:hAnsiTheme="minorHAnsi" w:cstheme="minorHAnsi"/>
        </w:rPr>
        <w:footnoteRef/>
      </w:r>
      <w:r w:rsidRPr="00EE16C7">
        <w:rPr>
          <w:rFonts w:asciiTheme="minorHAnsi" w:hAnsiTheme="minorHAnsi" w:cstheme="minorHAnsi"/>
        </w:rPr>
        <w:t xml:space="preserve"> USEPA </w:t>
      </w:r>
      <w:hyperlink r:id="rId2" w:history="1">
        <w:r w:rsidRPr="00EE16C7">
          <w:rPr>
            <w:rStyle w:val="Hyperlink"/>
            <w:rFonts w:asciiTheme="minorHAnsi" w:eastAsiaTheme="majorEastAsia" w:hAnsiTheme="minorHAnsi" w:cstheme="minorHAnsi"/>
          </w:rPr>
          <w:t>Median Life, Annual Activity, and Load Factor Values for Nonroad Engine Emissions Modeling NR-005c</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D1F30" w14:textId="5DE7D7D6" w:rsidR="00E06F68" w:rsidRDefault="00E06F68">
    <w:pPr>
      <w:pStyle w:val="Header"/>
    </w:pPr>
    <w:r>
      <w:rPr>
        <w:noProof/>
      </w:rPr>
      <w:drawing>
        <wp:anchor distT="0" distB="0" distL="114300" distR="114300" simplePos="0" relativeHeight="251658240" behindDoc="1" locked="0" layoutInCell="1" allowOverlap="1" wp14:anchorId="22502228" wp14:editId="18BFBE69">
          <wp:simplePos x="0" y="0"/>
          <wp:positionH relativeFrom="column">
            <wp:posOffset>-110490</wp:posOffset>
          </wp:positionH>
          <wp:positionV relativeFrom="paragraph">
            <wp:posOffset>-135660</wp:posOffset>
          </wp:positionV>
          <wp:extent cx="2743200" cy="825500"/>
          <wp:effectExtent l="0" t="0" r="0" b="0"/>
          <wp:wrapNone/>
          <wp:docPr id="255134805"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134805" name="Picture 1" descr="A close-up of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7432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4DC5"/>
    <w:multiLevelType w:val="hybridMultilevel"/>
    <w:tmpl w:val="2F506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5102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A1A"/>
    <w:rsid w:val="00016E30"/>
    <w:rsid w:val="00071BD6"/>
    <w:rsid w:val="00087E8A"/>
    <w:rsid w:val="000A4DFB"/>
    <w:rsid w:val="000C42CF"/>
    <w:rsid w:val="000D6C89"/>
    <w:rsid w:val="000E1602"/>
    <w:rsid w:val="00122FBE"/>
    <w:rsid w:val="00162FDB"/>
    <w:rsid w:val="001761FC"/>
    <w:rsid w:val="00193164"/>
    <w:rsid w:val="001B2686"/>
    <w:rsid w:val="001B30A7"/>
    <w:rsid w:val="001F0F55"/>
    <w:rsid w:val="002166C5"/>
    <w:rsid w:val="002455FC"/>
    <w:rsid w:val="002943EC"/>
    <w:rsid w:val="002B7569"/>
    <w:rsid w:val="002E081C"/>
    <w:rsid w:val="002F1070"/>
    <w:rsid w:val="0041757A"/>
    <w:rsid w:val="00440532"/>
    <w:rsid w:val="0044377E"/>
    <w:rsid w:val="004458EE"/>
    <w:rsid w:val="00451E85"/>
    <w:rsid w:val="004C5E1D"/>
    <w:rsid w:val="004E5EAD"/>
    <w:rsid w:val="00516019"/>
    <w:rsid w:val="00554CD7"/>
    <w:rsid w:val="0058650C"/>
    <w:rsid w:val="005D054A"/>
    <w:rsid w:val="005D5082"/>
    <w:rsid w:val="005F1568"/>
    <w:rsid w:val="006062EC"/>
    <w:rsid w:val="00624957"/>
    <w:rsid w:val="00633420"/>
    <w:rsid w:val="00666BE7"/>
    <w:rsid w:val="006B7E18"/>
    <w:rsid w:val="006F6566"/>
    <w:rsid w:val="007B4879"/>
    <w:rsid w:val="007D2DD2"/>
    <w:rsid w:val="00813A1A"/>
    <w:rsid w:val="00814567"/>
    <w:rsid w:val="00861F7E"/>
    <w:rsid w:val="00897FA4"/>
    <w:rsid w:val="008A7D62"/>
    <w:rsid w:val="008C1B84"/>
    <w:rsid w:val="008D416E"/>
    <w:rsid w:val="008F625A"/>
    <w:rsid w:val="009867FB"/>
    <w:rsid w:val="00993A9D"/>
    <w:rsid w:val="00997018"/>
    <w:rsid w:val="00A0468D"/>
    <w:rsid w:val="00A1236D"/>
    <w:rsid w:val="00A95332"/>
    <w:rsid w:val="00AF5A32"/>
    <w:rsid w:val="00AF6D78"/>
    <w:rsid w:val="00B37DEB"/>
    <w:rsid w:val="00B86349"/>
    <w:rsid w:val="00BC5DC9"/>
    <w:rsid w:val="00BE097E"/>
    <w:rsid w:val="00C23F85"/>
    <w:rsid w:val="00C35F45"/>
    <w:rsid w:val="00C80F3F"/>
    <w:rsid w:val="00CC5188"/>
    <w:rsid w:val="00CD4BF4"/>
    <w:rsid w:val="00D047B5"/>
    <w:rsid w:val="00D905B5"/>
    <w:rsid w:val="00DA680E"/>
    <w:rsid w:val="00DE4710"/>
    <w:rsid w:val="00E005D4"/>
    <w:rsid w:val="00E06F68"/>
    <w:rsid w:val="00E32B3C"/>
    <w:rsid w:val="00ED63A9"/>
    <w:rsid w:val="00F41F08"/>
    <w:rsid w:val="00F43251"/>
    <w:rsid w:val="00F80C24"/>
    <w:rsid w:val="00F96A86"/>
    <w:rsid w:val="00FB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FAEA9"/>
  <w15:chartTrackingRefBased/>
  <w15:docId w15:val="{187DF5A9-66B3-0848-A085-55E04196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F08"/>
    <w:rPr>
      <w:rFonts w:ascii="Times New Roman" w:eastAsia="Times New Roman" w:hAnsi="Times New Roman" w:cs="Times New Roman"/>
    </w:rPr>
  </w:style>
  <w:style w:type="paragraph" w:styleId="Heading1">
    <w:name w:val="heading 1"/>
    <w:basedOn w:val="Normal"/>
    <w:next w:val="Normal"/>
    <w:link w:val="Heading1Char"/>
    <w:uiPriority w:val="9"/>
    <w:qFormat/>
    <w:rsid w:val="00813A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3A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3A1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3A1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813A1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813A1A"/>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813A1A"/>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813A1A"/>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13A1A"/>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3A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3A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3A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3A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3A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3A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3A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3A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3A1A"/>
    <w:rPr>
      <w:rFonts w:eastAsiaTheme="majorEastAsia" w:cstheme="majorBidi"/>
      <w:color w:val="272727" w:themeColor="text1" w:themeTint="D8"/>
    </w:rPr>
  </w:style>
  <w:style w:type="paragraph" w:styleId="Title">
    <w:name w:val="Title"/>
    <w:basedOn w:val="Normal"/>
    <w:next w:val="Normal"/>
    <w:link w:val="TitleChar"/>
    <w:uiPriority w:val="10"/>
    <w:qFormat/>
    <w:rsid w:val="00813A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3A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3A1A"/>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3A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3A1A"/>
    <w:pPr>
      <w:spacing w:before="160" w:after="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813A1A"/>
    <w:rPr>
      <w:i/>
      <w:iCs/>
      <w:color w:val="404040" w:themeColor="text1" w:themeTint="BF"/>
    </w:rPr>
  </w:style>
  <w:style w:type="paragraph" w:styleId="ListParagraph">
    <w:name w:val="List Paragraph"/>
    <w:basedOn w:val="Normal"/>
    <w:uiPriority w:val="34"/>
    <w:qFormat/>
    <w:rsid w:val="00813A1A"/>
    <w:pPr>
      <w:ind w:left="720"/>
      <w:contextualSpacing/>
    </w:pPr>
    <w:rPr>
      <w:rFonts w:asciiTheme="minorHAnsi" w:eastAsiaTheme="minorHAnsi" w:hAnsiTheme="minorHAnsi" w:cstheme="minorBidi"/>
    </w:rPr>
  </w:style>
  <w:style w:type="character" w:styleId="IntenseEmphasis">
    <w:name w:val="Intense Emphasis"/>
    <w:basedOn w:val="DefaultParagraphFont"/>
    <w:uiPriority w:val="21"/>
    <w:qFormat/>
    <w:rsid w:val="00813A1A"/>
    <w:rPr>
      <w:i/>
      <w:iCs/>
      <w:color w:val="0F4761" w:themeColor="accent1" w:themeShade="BF"/>
    </w:rPr>
  </w:style>
  <w:style w:type="paragraph" w:styleId="IntenseQuote">
    <w:name w:val="Intense Quote"/>
    <w:basedOn w:val="Normal"/>
    <w:next w:val="Normal"/>
    <w:link w:val="IntenseQuoteChar"/>
    <w:uiPriority w:val="30"/>
    <w:qFormat/>
    <w:rsid w:val="00813A1A"/>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rPr>
  </w:style>
  <w:style w:type="character" w:customStyle="1" w:styleId="IntenseQuoteChar">
    <w:name w:val="Intense Quote Char"/>
    <w:basedOn w:val="DefaultParagraphFont"/>
    <w:link w:val="IntenseQuote"/>
    <w:uiPriority w:val="30"/>
    <w:rsid w:val="00813A1A"/>
    <w:rPr>
      <w:i/>
      <w:iCs/>
      <w:color w:val="0F4761" w:themeColor="accent1" w:themeShade="BF"/>
    </w:rPr>
  </w:style>
  <w:style w:type="character" w:styleId="IntenseReference">
    <w:name w:val="Intense Reference"/>
    <w:basedOn w:val="DefaultParagraphFont"/>
    <w:uiPriority w:val="32"/>
    <w:qFormat/>
    <w:rsid w:val="00813A1A"/>
    <w:rPr>
      <w:b/>
      <w:bCs/>
      <w:smallCaps/>
      <w:color w:val="0F4761" w:themeColor="accent1" w:themeShade="BF"/>
      <w:spacing w:val="5"/>
    </w:rPr>
  </w:style>
  <w:style w:type="character" w:styleId="CommentReference">
    <w:name w:val="annotation reference"/>
    <w:basedOn w:val="DefaultParagraphFont"/>
    <w:uiPriority w:val="99"/>
    <w:semiHidden/>
    <w:unhideWhenUsed/>
    <w:rsid w:val="007B4879"/>
    <w:rPr>
      <w:sz w:val="16"/>
      <w:szCs w:val="16"/>
    </w:rPr>
  </w:style>
  <w:style w:type="paragraph" w:styleId="CommentText">
    <w:name w:val="annotation text"/>
    <w:basedOn w:val="Normal"/>
    <w:link w:val="CommentTextChar"/>
    <w:uiPriority w:val="99"/>
    <w:unhideWhenUsed/>
    <w:rsid w:val="007B4879"/>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B4879"/>
    <w:rPr>
      <w:sz w:val="20"/>
      <w:szCs w:val="20"/>
    </w:rPr>
  </w:style>
  <w:style w:type="paragraph" w:styleId="CommentSubject">
    <w:name w:val="annotation subject"/>
    <w:basedOn w:val="CommentText"/>
    <w:next w:val="CommentText"/>
    <w:link w:val="CommentSubjectChar"/>
    <w:uiPriority w:val="99"/>
    <w:semiHidden/>
    <w:unhideWhenUsed/>
    <w:rsid w:val="007B4879"/>
    <w:rPr>
      <w:b/>
      <w:bCs/>
    </w:rPr>
  </w:style>
  <w:style w:type="character" w:customStyle="1" w:styleId="CommentSubjectChar">
    <w:name w:val="Comment Subject Char"/>
    <w:basedOn w:val="CommentTextChar"/>
    <w:link w:val="CommentSubject"/>
    <w:uiPriority w:val="99"/>
    <w:semiHidden/>
    <w:rsid w:val="007B4879"/>
    <w:rPr>
      <w:b/>
      <w:bCs/>
      <w:sz w:val="20"/>
      <w:szCs w:val="20"/>
    </w:rPr>
  </w:style>
  <w:style w:type="table" w:styleId="TableGrid">
    <w:name w:val="Table Grid"/>
    <w:basedOn w:val="TableNormal"/>
    <w:uiPriority w:val="39"/>
    <w:rsid w:val="00C80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1757A"/>
    <w:rPr>
      <w:sz w:val="20"/>
      <w:szCs w:val="20"/>
    </w:rPr>
  </w:style>
  <w:style w:type="character" w:customStyle="1" w:styleId="FootnoteTextChar">
    <w:name w:val="Footnote Text Char"/>
    <w:basedOn w:val="DefaultParagraphFont"/>
    <w:link w:val="FootnoteText"/>
    <w:uiPriority w:val="99"/>
    <w:semiHidden/>
    <w:rsid w:val="0041757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1757A"/>
    <w:rPr>
      <w:vertAlign w:val="superscript"/>
    </w:rPr>
  </w:style>
  <w:style w:type="paragraph" w:styleId="BalloonText">
    <w:name w:val="Balloon Text"/>
    <w:basedOn w:val="Normal"/>
    <w:link w:val="BalloonTextChar"/>
    <w:uiPriority w:val="99"/>
    <w:semiHidden/>
    <w:unhideWhenUsed/>
    <w:rsid w:val="00016E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E30"/>
    <w:rPr>
      <w:rFonts w:ascii="Segoe UI" w:eastAsia="Times New Roman" w:hAnsi="Segoe UI" w:cs="Segoe UI"/>
      <w:sz w:val="18"/>
      <w:szCs w:val="18"/>
    </w:rPr>
  </w:style>
  <w:style w:type="character" w:styleId="Hyperlink">
    <w:name w:val="Hyperlink"/>
    <w:basedOn w:val="DefaultParagraphFont"/>
    <w:uiPriority w:val="99"/>
    <w:unhideWhenUsed/>
    <w:rsid w:val="005F1568"/>
    <w:rPr>
      <w:color w:val="467886" w:themeColor="hyperlink"/>
      <w:u w:val="single"/>
    </w:rPr>
  </w:style>
  <w:style w:type="paragraph" w:styleId="Header">
    <w:name w:val="header"/>
    <w:basedOn w:val="Normal"/>
    <w:link w:val="HeaderChar"/>
    <w:uiPriority w:val="99"/>
    <w:unhideWhenUsed/>
    <w:rsid w:val="006B7E18"/>
    <w:pPr>
      <w:tabs>
        <w:tab w:val="center" w:pos="4680"/>
        <w:tab w:val="right" w:pos="9360"/>
      </w:tabs>
    </w:pPr>
  </w:style>
  <w:style w:type="character" w:customStyle="1" w:styleId="HeaderChar">
    <w:name w:val="Header Char"/>
    <w:basedOn w:val="DefaultParagraphFont"/>
    <w:link w:val="Header"/>
    <w:uiPriority w:val="99"/>
    <w:rsid w:val="006B7E18"/>
    <w:rPr>
      <w:rFonts w:ascii="Times New Roman" w:eastAsia="Times New Roman" w:hAnsi="Times New Roman" w:cs="Times New Roman"/>
    </w:rPr>
  </w:style>
  <w:style w:type="paragraph" w:styleId="Footer">
    <w:name w:val="footer"/>
    <w:basedOn w:val="Normal"/>
    <w:link w:val="FooterChar"/>
    <w:uiPriority w:val="99"/>
    <w:unhideWhenUsed/>
    <w:rsid w:val="006B7E18"/>
    <w:pPr>
      <w:tabs>
        <w:tab w:val="center" w:pos="4680"/>
        <w:tab w:val="right" w:pos="9360"/>
      </w:tabs>
    </w:pPr>
  </w:style>
  <w:style w:type="character" w:customStyle="1" w:styleId="FooterChar">
    <w:name w:val="Footer Char"/>
    <w:basedOn w:val="DefaultParagraphFont"/>
    <w:link w:val="Footer"/>
    <w:uiPriority w:val="99"/>
    <w:rsid w:val="006B7E1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29803">
      <w:bodyDiv w:val="1"/>
      <w:marLeft w:val="0"/>
      <w:marRight w:val="0"/>
      <w:marTop w:val="0"/>
      <w:marBottom w:val="0"/>
      <w:divBdr>
        <w:top w:val="none" w:sz="0" w:space="0" w:color="auto"/>
        <w:left w:val="none" w:sz="0" w:space="0" w:color="auto"/>
        <w:bottom w:val="none" w:sz="0" w:space="0" w:color="auto"/>
        <w:right w:val="none" w:sz="0" w:space="0" w:color="auto"/>
      </w:divBdr>
    </w:div>
    <w:div w:id="1222670277">
      <w:bodyDiv w:val="1"/>
      <w:marLeft w:val="0"/>
      <w:marRight w:val="0"/>
      <w:marTop w:val="0"/>
      <w:marBottom w:val="0"/>
      <w:divBdr>
        <w:top w:val="none" w:sz="0" w:space="0" w:color="auto"/>
        <w:left w:val="none" w:sz="0" w:space="0" w:color="auto"/>
        <w:bottom w:val="none" w:sz="0" w:space="0" w:color="auto"/>
        <w:right w:val="none" w:sz="0" w:space="0" w:color="auto"/>
      </w:divBdr>
    </w:div>
    <w:div w:id="1650750279">
      <w:bodyDiv w:val="1"/>
      <w:marLeft w:val="0"/>
      <w:marRight w:val="0"/>
      <w:marTop w:val="0"/>
      <w:marBottom w:val="0"/>
      <w:divBdr>
        <w:top w:val="none" w:sz="0" w:space="0" w:color="auto"/>
        <w:left w:val="none" w:sz="0" w:space="0" w:color="auto"/>
        <w:bottom w:val="none" w:sz="0" w:space="0" w:color="auto"/>
        <w:right w:val="none" w:sz="0" w:space="0" w:color="auto"/>
      </w:divBdr>
    </w:div>
    <w:div w:id="1709329743">
      <w:bodyDiv w:val="1"/>
      <w:marLeft w:val="0"/>
      <w:marRight w:val="0"/>
      <w:marTop w:val="0"/>
      <w:marBottom w:val="0"/>
      <w:divBdr>
        <w:top w:val="none" w:sz="0" w:space="0" w:color="auto"/>
        <w:left w:val="none" w:sz="0" w:space="0" w:color="auto"/>
        <w:bottom w:val="none" w:sz="0" w:space="0" w:color="auto"/>
        <w:right w:val="none" w:sz="0" w:space="0" w:color="auto"/>
      </w:divBdr>
    </w:div>
    <w:div w:id="1861626784">
      <w:bodyDiv w:val="1"/>
      <w:marLeft w:val="0"/>
      <w:marRight w:val="0"/>
      <w:marTop w:val="0"/>
      <w:marBottom w:val="0"/>
      <w:divBdr>
        <w:top w:val="none" w:sz="0" w:space="0" w:color="auto"/>
        <w:left w:val="none" w:sz="0" w:space="0" w:color="auto"/>
        <w:bottom w:val="none" w:sz="0" w:space="0" w:color="auto"/>
        <w:right w:val="none" w:sz="0" w:space="0" w:color="auto"/>
      </w:divBdr>
    </w:div>
    <w:div w:id="1863131147">
      <w:bodyDiv w:val="1"/>
      <w:marLeft w:val="0"/>
      <w:marRight w:val="0"/>
      <w:marTop w:val="0"/>
      <w:marBottom w:val="0"/>
      <w:divBdr>
        <w:top w:val="none" w:sz="0" w:space="0" w:color="auto"/>
        <w:left w:val="none" w:sz="0" w:space="0" w:color="auto"/>
        <w:bottom w:val="none" w:sz="0" w:space="0" w:color="auto"/>
        <w:right w:val="none" w:sz="0" w:space="0" w:color="auto"/>
      </w:divBdr>
    </w:div>
    <w:div w:id="209134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nepis.epa.gov/Exe/ZyNET.exe/P10001T3.txt?ZyActionD=ZyDocument&amp;Client=EPA&amp;Index=2000%20Thru%202005&amp;Docs=&amp;Query=&amp;Time=&amp;EndTime=&amp;SearchMethod=1&amp;TocRestrict=n&amp;Toc=&amp;TocEntry=&amp;QField=&amp;QFieldYear=&amp;QFieldMonth=&amp;QFieldDay=&amp;UseQField=&amp;IntQFieldOp=0&amp;ExtQFieldOp=0&amp;XmlQuery=&amp;File=D%3A%5CZYFILES%5CINDEX%20DATA%5C00THRU05%5CTXT%5C00000013%5CP10001T3.txt&amp;User=ANONYMOUS&amp;Password=anonymous&amp;SortMethod=h%7C-&amp;MaximumDocuments=1&amp;FuzzyDegree=0&amp;ImageQuality=r75g8/r75g8/x150y150g16/i425&amp;Display=hpfr&amp;DefSeekPage=x&amp;SearchBack=ZyActionL&amp;Back=ZyActionS&amp;BackDesc=Results%20page&amp;MaximumPages=1&amp;ZyEntry=7&amp;slide" TargetMode="External"/><Relationship Id="rId1" Type="http://schemas.openxmlformats.org/officeDocument/2006/relationships/hyperlink" Target="https://www.opei.org/zero-emission-equi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 Adelman</dc:creator>
  <cp:keywords/>
  <dc:description/>
  <cp:lastModifiedBy>Edith Makra</cp:lastModifiedBy>
  <cp:revision>2</cp:revision>
  <dcterms:created xsi:type="dcterms:W3CDTF">2024-04-01T21:37:00Z</dcterms:created>
  <dcterms:modified xsi:type="dcterms:W3CDTF">2024-04-01T21:37:00Z</dcterms:modified>
</cp:coreProperties>
</file>