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C9774" w14:textId="4E16144C" w:rsidR="00161E6A" w:rsidRDefault="00405E8A" w:rsidP="0025672C">
      <w:pPr>
        <w:pStyle w:val="Heading1"/>
        <w:spacing w:before="0"/>
      </w:pPr>
      <w:r w:rsidRPr="00405E8A">
        <w:t>EPA C</w:t>
      </w:r>
      <w:r w:rsidR="00161E6A">
        <w:t xml:space="preserve">limate </w:t>
      </w:r>
      <w:r w:rsidR="00161E6A" w:rsidRPr="00405E8A">
        <w:t>P</w:t>
      </w:r>
      <w:r w:rsidR="00161E6A">
        <w:t xml:space="preserve">ollution </w:t>
      </w:r>
      <w:r w:rsidRPr="00405E8A">
        <w:t>R</w:t>
      </w:r>
      <w:r w:rsidR="00161E6A">
        <w:t xml:space="preserve">eduction </w:t>
      </w:r>
      <w:r w:rsidRPr="00405E8A">
        <w:t>G</w:t>
      </w:r>
      <w:r w:rsidR="00161E6A">
        <w:t>rant (CPRG)</w:t>
      </w:r>
      <w:r w:rsidR="00604479">
        <w:t>: Implementation Grant</w:t>
      </w:r>
      <w:r w:rsidR="00997509">
        <w:t xml:space="preserve"> Application</w:t>
      </w:r>
    </w:p>
    <w:p w14:paraId="7356EEC9" w14:textId="4655ECE9" w:rsidR="00405E8A" w:rsidRPr="00405E8A" w:rsidRDefault="00405E8A" w:rsidP="00BD5649">
      <w:pPr>
        <w:pStyle w:val="Heading1"/>
        <w:spacing w:before="120"/>
      </w:pPr>
      <w:r w:rsidRPr="00405E8A">
        <w:t>City of Miami</w:t>
      </w:r>
      <w:r w:rsidR="00604479">
        <w:t>, FL</w:t>
      </w:r>
      <w:r w:rsidRPr="00405E8A">
        <w:t xml:space="preserve"> Workplan</w:t>
      </w:r>
    </w:p>
    <w:p w14:paraId="2E172BA0" w14:textId="00597D5B" w:rsidR="00405E8A" w:rsidRPr="00F04640" w:rsidRDefault="003C657F" w:rsidP="00BD5649">
      <w:pPr>
        <w:rPr>
          <w:rFonts w:asciiTheme="majorHAnsi" w:hAnsiTheme="majorHAnsi"/>
          <w:sz w:val="28"/>
          <w:szCs w:val="28"/>
        </w:rPr>
      </w:pPr>
      <w:r>
        <w:rPr>
          <w:rFonts w:asciiTheme="majorHAnsi" w:hAnsiTheme="majorHAnsi"/>
          <w:sz w:val="28"/>
          <w:szCs w:val="28"/>
        </w:rPr>
        <w:t xml:space="preserve">City of </w:t>
      </w:r>
      <w:r w:rsidR="00945C65" w:rsidRPr="00F04640">
        <w:rPr>
          <w:rFonts w:asciiTheme="majorHAnsi" w:hAnsiTheme="majorHAnsi"/>
          <w:sz w:val="28"/>
          <w:szCs w:val="28"/>
        </w:rPr>
        <w:t>Miami Climate Ready Housing Program Suite</w:t>
      </w:r>
    </w:p>
    <w:p w14:paraId="19F3FBA0" w14:textId="74940DCA" w:rsidR="00945C65" w:rsidRPr="00945C65" w:rsidRDefault="006C42F3" w:rsidP="00945C65">
      <w:r>
        <w:pict w14:anchorId="6EE1F212">
          <v:rect id="_x0000_i1025" style="width:0;height:1.5pt" o:hralign="center" o:hrstd="t" o:hr="t" fillcolor="#a0a0a0" stroked="f"/>
        </w:pict>
      </w:r>
    </w:p>
    <w:p w14:paraId="4738D0CF" w14:textId="69138D0D" w:rsidR="00F55DDD" w:rsidRPr="00F55DDD" w:rsidRDefault="00F55DDD" w:rsidP="00B30B19">
      <w:pPr>
        <w:pStyle w:val="Heading2"/>
      </w:pPr>
      <w:r w:rsidRPr="00F55DDD">
        <w:t>Section 1: Overall Project Summary and Approach (45 possible points)</w:t>
      </w:r>
    </w:p>
    <w:p w14:paraId="69AF7315" w14:textId="015C1C10" w:rsidR="00F55DDD" w:rsidRPr="00F55DDD" w:rsidRDefault="00F55DDD" w:rsidP="00356418">
      <w:pPr>
        <w:pStyle w:val="Heading3"/>
        <w:numPr>
          <w:ilvl w:val="0"/>
          <w:numId w:val="6"/>
        </w:numPr>
        <w:spacing w:before="0"/>
      </w:pPr>
      <w:r w:rsidRPr="00F55DDD">
        <w:t>Description of G</w:t>
      </w:r>
      <w:r w:rsidR="003809A2">
        <w:t>reenhouse Gas</w:t>
      </w:r>
      <w:r w:rsidRPr="00F55DDD">
        <w:t xml:space="preserve"> Reduction Measures (20 possible</w:t>
      </w:r>
      <w:r w:rsidRPr="00F55DDD">
        <w:rPr>
          <w:spacing w:val="-7"/>
        </w:rPr>
        <w:t xml:space="preserve"> </w:t>
      </w:r>
      <w:r w:rsidRPr="00F55DDD">
        <w:t>points)</w:t>
      </w:r>
      <w:r w:rsidR="007E5DE1">
        <w:t xml:space="preserve"> </w:t>
      </w:r>
    </w:p>
    <w:p w14:paraId="7155B173" w14:textId="01D33576" w:rsidR="00696AAC" w:rsidRPr="00696AAC" w:rsidRDefault="00696AAC" w:rsidP="000018B6">
      <w:pPr>
        <w:rPr>
          <w:b/>
          <w:bCs/>
        </w:rPr>
      </w:pPr>
      <w:r w:rsidRPr="00696AAC">
        <w:rPr>
          <w:b/>
          <w:bCs/>
        </w:rPr>
        <w:t>Why the City of Miami is Applying for the CPRG Implementation Grant</w:t>
      </w:r>
    </w:p>
    <w:p w14:paraId="3E56A856" w14:textId="6867DCCA" w:rsidR="007202DB" w:rsidRDefault="00420594" w:rsidP="000018B6">
      <w:r>
        <w:t xml:space="preserve">The City of Miami is applying </w:t>
      </w:r>
      <w:r w:rsidR="00012037">
        <w:t xml:space="preserve">for CPRG funding </w:t>
      </w:r>
      <w:r>
        <w:t xml:space="preserve">under the </w:t>
      </w:r>
      <w:hyperlink r:id="rId11" w:history="1">
        <w:r w:rsidRPr="0035061A">
          <w:rPr>
            <w:rStyle w:val="Hyperlink"/>
          </w:rPr>
          <w:t>Southeast Florida Priority Climate Action Plan</w:t>
        </w:r>
        <w:r w:rsidR="006630E9" w:rsidRPr="0035061A">
          <w:rPr>
            <w:rStyle w:val="Hyperlink"/>
          </w:rPr>
          <w:t xml:space="preserve"> (</w:t>
        </w:r>
        <w:r w:rsidR="00E1736B" w:rsidRPr="0035061A">
          <w:rPr>
            <w:rStyle w:val="Hyperlink"/>
          </w:rPr>
          <w:t xml:space="preserve">Southeast Florida </w:t>
        </w:r>
        <w:r w:rsidR="006630E9" w:rsidRPr="0035061A">
          <w:rPr>
            <w:rStyle w:val="Hyperlink"/>
          </w:rPr>
          <w:t>PCAP)</w:t>
        </w:r>
      </w:hyperlink>
      <w:r w:rsidR="006630E9">
        <w:t xml:space="preserve">. The </w:t>
      </w:r>
      <w:r w:rsidR="00E1736B">
        <w:t xml:space="preserve">Southeast Florida </w:t>
      </w:r>
      <w:r w:rsidR="006630E9">
        <w:t xml:space="preserve">PCAP </w:t>
      </w:r>
      <w:r w:rsidR="00A70BB7">
        <w:t xml:space="preserve">includes </w:t>
      </w:r>
      <w:r w:rsidR="00C7359C">
        <w:t>greenhouse gas (</w:t>
      </w:r>
      <w:r w:rsidR="00934777">
        <w:t>GHG</w:t>
      </w:r>
      <w:r w:rsidR="00C7359C">
        <w:t>)</w:t>
      </w:r>
      <w:r w:rsidR="00934777">
        <w:t xml:space="preserve"> </w:t>
      </w:r>
      <w:r w:rsidR="00A70BB7">
        <w:t>reduction measure</w:t>
      </w:r>
      <w:r w:rsidR="000072CA">
        <w:t>s with Buildings being a key sector</w:t>
      </w:r>
      <w:r w:rsidR="00422EEE">
        <w:t xml:space="preserve"> for decarbonization</w:t>
      </w:r>
      <w:r w:rsidR="000072CA">
        <w:t xml:space="preserve">. </w:t>
      </w:r>
      <w:r w:rsidR="00CE5EB1">
        <w:t xml:space="preserve">The City of Miami is focusing on </w:t>
      </w:r>
      <w:r w:rsidR="006F2735">
        <w:t>the Building Sector</w:t>
      </w:r>
      <w:r w:rsidR="00A6722C">
        <w:t xml:space="preserve">, </w:t>
      </w:r>
      <w:r w:rsidR="00CE5EB1">
        <w:t>Measure #6</w:t>
      </w:r>
      <w:r w:rsidR="004306B2">
        <w:t>: Residential Energy Efficiency</w:t>
      </w:r>
      <w:r w:rsidR="00EB466F">
        <w:t xml:space="preserve"> </w:t>
      </w:r>
      <w:r w:rsidR="00DB609D">
        <w:t>and Measure #7: Residential Renewable Energy</w:t>
      </w:r>
      <w:r w:rsidR="00A6722C">
        <w:t>,</w:t>
      </w:r>
      <w:r w:rsidR="00DB609D">
        <w:t xml:space="preserve"> </w:t>
      </w:r>
      <w:r w:rsidR="00EB466F">
        <w:t>for this application.</w:t>
      </w:r>
      <w:r w:rsidR="00D75C84">
        <w:t xml:space="preserve"> </w:t>
      </w:r>
      <w:r w:rsidR="007202DB">
        <w:t xml:space="preserve">The City of Miami is applying for </w:t>
      </w:r>
      <w:r w:rsidR="007202DB" w:rsidRPr="001260EC">
        <w:t xml:space="preserve">Tier </w:t>
      </w:r>
      <w:r w:rsidR="00680831" w:rsidRPr="001260EC">
        <w:t>D</w:t>
      </w:r>
      <w:r w:rsidR="007202DB" w:rsidRPr="001260EC">
        <w:t xml:space="preserve"> ($</w:t>
      </w:r>
      <w:r w:rsidR="001260EC" w:rsidRPr="001260EC">
        <w:t>10,000,000 – $49,999,999)</w:t>
      </w:r>
      <w:r w:rsidR="0039215B">
        <w:t>.</w:t>
      </w:r>
    </w:p>
    <w:p w14:paraId="3C1AC444" w14:textId="77777777" w:rsidR="00777FC4" w:rsidRDefault="00777FC4" w:rsidP="000018B6"/>
    <w:p w14:paraId="260F0388" w14:textId="379D49DA" w:rsidR="00CA6F45" w:rsidRPr="00CA6F45" w:rsidRDefault="00D8054B" w:rsidP="000018B6">
      <w:pPr>
        <w:tabs>
          <w:tab w:val="num" w:pos="720"/>
        </w:tabs>
        <w:adjustRightInd w:val="0"/>
        <w:rPr>
          <w:rFonts w:eastAsiaTheme="minorHAnsi"/>
          <w:color w:val="000000"/>
          <w:lang w:bidi="ar-SA"/>
          <w14:ligatures w14:val="standardContextual"/>
        </w:rPr>
      </w:pPr>
      <w:r>
        <w:rPr>
          <w:rFonts w:eastAsiaTheme="minorHAnsi"/>
          <w:color w:val="000000"/>
          <w:lang w:bidi="ar-SA"/>
          <w14:ligatures w14:val="standardContextual"/>
        </w:rPr>
        <w:t xml:space="preserve">The </w:t>
      </w:r>
      <w:r w:rsidRPr="00AA0D57">
        <w:rPr>
          <w:rFonts w:eastAsiaTheme="minorHAnsi"/>
          <w:color w:val="000000"/>
          <w:lang w:bidi="ar-SA"/>
          <w14:ligatures w14:val="standardContextual"/>
        </w:rPr>
        <w:t xml:space="preserve">City of Miami is the largest municipality </w:t>
      </w:r>
      <w:r w:rsidR="00156E7C">
        <w:rPr>
          <w:rFonts w:eastAsiaTheme="minorHAnsi"/>
          <w:color w:val="000000"/>
          <w:lang w:bidi="ar-SA"/>
          <w14:ligatures w14:val="standardContextual"/>
        </w:rPr>
        <w:t xml:space="preserve">of the 34 municipalities </w:t>
      </w:r>
      <w:r w:rsidRPr="00AA0D57">
        <w:rPr>
          <w:rFonts w:eastAsiaTheme="minorHAnsi"/>
          <w:color w:val="000000"/>
          <w:lang w:bidi="ar-SA"/>
          <w14:ligatures w14:val="standardContextual"/>
        </w:rPr>
        <w:t>in Miami-Dade County</w:t>
      </w:r>
      <w:r w:rsidR="00E70B1E">
        <w:rPr>
          <w:rFonts w:eastAsiaTheme="minorHAnsi"/>
          <w:color w:val="000000"/>
          <w:lang w:bidi="ar-SA"/>
          <w14:ligatures w14:val="standardContextual"/>
        </w:rPr>
        <w:t>, is considered the ‘urban core’</w:t>
      </w:r>
      <w:r w:rsidR="00264902">
        <w:rPr>
          <w:rFonts w:eastAsiaTheme="minorHAnsi"/>
          <w:color w:val="000000"/>
          <w:lang w:bidi="ar-SA"/>
          <w14:ligatures w14:val="standardContextual"/>
        </w:rPr>
        <w:t xml:space="preserve"> of the County,</w:t>
      </w:r>
      <w:r w:rsidRPr="00AA0D57">
        <w:rPr>
          <w:rFonts w:eastAsiaTheme="minorHAnsi"/>
          <w:color w:val="000000"/>
          <w:lang w:bidi="ar-SA"/>
          <w14:ligatures w14:val="standardContextual"/>
        </w:rPr>
        <w:t xml:space="preserve"> and </w:t>
      </w:r>
      <w:r w:rsidR="00264902">
        <w:rPr>
          <w:rFonts w:eastAsiaTheme="minorHAnsi"/>
          <w:color w:val="000000"/>
          <w:lang w:bidi="ar-SA"/>
          <w14:ligatures w14:val="standardContextual"/>
        </w:rPr>
        <w:t xml:space="preserve">is </w:t>
      </w:r>
      <w:r w:rsidRPr="00AA0D57">
        <w:rPr>
          <w:rFonts w:eastAsiaTheme="minorHAnsi"/>
          <w:color w:val="000000"/>
          <w:lang w:bidi="ar-SA"/>
          <w14:ligatures w14:val="standardContextual"/>
        </w:rPr>
        <w:t>home to 439,890 residents</w:t>
      </w:r>
      <w:r>
        <w:rPr>
          <w:rFonts w:eastAsiaTheme="minorHAnsi"/>
          <w:color w:val="000000"/>
          <w:lang w:bidi="ar-SA"/>
          <w14:ligatures w14:val="standardContextual"/>
        </w:rPr>
        <w:t>, with</w:t>
      </w:r>
      <w:r w:rsidRPr="00AA0D57">
        <w:rPr>
          <w:rFonts w:eastAsiaTheme="minorHAnsi"/>
          <w:color w:val="000000"/>
          <w:lang w:bidi="ar-SA"/>
          <w14:ligatures w14:val="standardContextual"/>
        </w:rPr>
        <w:t xml:space="preserve"> 66% of </w:t>
      </w:r>
      <w:r>
        <w:rPr>
          <w:rFonts w:eastAsiaTheme="minorHAnsi"/>
          <w:color w:val="000000"/>
          <w:lang w:bidi="ar-SA"/>
          <w14:ligatures w14:val="standardContextual"/>
        </w:rPr>
        <w:t>these</w:t>
      </w:r>
      <w:r w:rsidRPr="00AA0D57">
        <w:rPr>
          <w:rFonts w:eastAsiaTheme="minorHAnsi"/>
          <w:color w:val="000000"/>
          <w:lang w:bidi="ar-SA"/>
          <w14:ligatures w14:val="standardContextual"/>
        </w:rPr>
        <w:t xml:space="preserve"> residents </w:t>
      </w:r>
      <w:r>
        <w:rPr>
          <w:rFonts w:eastAsiaTheme="minorHAnsi"/>
          <w:color w:val="000000"/>
          <w:lang w:bidi="ar-SA"/>
          <w14:ligatures w14:val="standardContextual"/>
        </w:rPr>
        <w:t>classifying as</w:t>
      </w:r>
      <w:r w:rsidRPr="00AA0D57">
        <w:rPr>
          <w:rFonts w:eastAsiaTheme="minorHAnsi"/>
          <w:color w:val="000000"/>
          <w:lang w:bidi="ar-SA"/>
          <w14:ligatures w14:val="standardContextual"/>
        </w:rPr>
        <w:t xml:space="preserve"> low-to-moderate income (LMI) and 21% </w:t>
      </w:r>
      <w:r>
        <w:rPr>
          <w:rFonts w:eastAsiaTheme="minorHAnsi"/>
          <w:color w:val="000000"/>
          <w:lang w:bidi="ar-SA"/>
          <w14:ligatures w14:val="standardContextual"/>
        </w:rPr>
        <w:t>living</w:t>
      </w:r>
      <w:r w:rsidRPr="00AA0D57">
        <w:rPr>
          <w:rFonts w:eastAsiaTheme="minorHAnsi"/>
          <w:color w:val="000000"/>
          <w:lang w:bidi="ar-SA"/>
          <w14:ligatures w14:val="standardContextual"/>
        </w:rPr>
        <w:t xml:space="preserve"> in poverty. </w:t>
      </w:r>
      <w:r>
        <w:rPr>
          <w:rFonts w:eastAsiaTheme="minorHAnsi"/>
          <w:color w:val="000000"/>
          <w:lang w:bidi="ar-SA"/>
          <w14:ligatures w14:val="standardContextual"/>
        </w:rPr>
        <w:t>The h</w:t>
      </w:r>
      <w:r w:rsidRPr="00AA0D57">
        <w:rPr>
          <w:rFonts w:eastAsiaTheme="minorHAnsi"/>
          <w:color w:val="000000"/>
          <w:lang w:bidi="ar-SA"/>
          <w14:ligatures w14:val="standardContextual"/>
        </w:rPr>
        <w:t xml:space="preserve">ousehold median income is $47,860 compared to the national average of $70,784. As part of the development of the City’s </w:t>
      </w:r>
      <w:r w:rsidR="00BD377E">
        <w:rPr>
          <w:rFonts w:eastAsiaTheme="minorHAnsi"/>
          <w:color w:val="000000"/>
          <w:lang w:bidi="ar-SA"/>
          <w14:ligatures w14:val="standardContextual"/>
        </w:rPr>
        <w:t xml:space="preserve">GHG </w:t>
      </w:r>
      <w:r w:rsidRPr="00AA0D57">
        <w:rPr>
          <w:rFonts w:eastAsiaTheme="minorHAnsi"/>
          <w:color w:val="000000"/>
          <w:lang w:bidi="ar-SA"/>
          <w14:ligatures w14:val="standardContextual"/>
        </w:rPr>
        <w:t xml:space="preserve">reduction plan, </w:t>
      </w:r>
      <w:r w:rsidR="00AF3BF3">
        <w:rPr>
          <w:rFonts w:eastAsiaTheme="minorHAnsi"/>
          <w:color w:val="000000"/>
          <w:lang w:bidi="ar-SA"/>
          <w14:ligatures w14:val="standardContextual"/>
        </w:rPr>
        <w:t xml:space="preserve">the </w:t>
      </w:r>
      <w:hyperlink r:id="rId12" w:history="1">
        <w:r w:rsidR="00AF3BF3" w:rsidRPr="005D2060">
          <w:rPr>
            <w:rStyle w:val="Hyperlink"/>
          </w:rPr>
          <w:t>Miami Forever Carbon Neutral Plan</w:t>
        </w:r>
      </w:hyperlink>
      <w:r w:rsidR="002E3BB8">
        <w:t xml:space="preserve"> adopted in 2021</w:t>
      </w:r>
      <w:r w:rsidR="00AF3BF3">
        <w:t xml:space="preserve">, </w:t>
      </w:r>
      <w:r w:rsidRPr="00AA0D57">
        <w:rPr>
          <w:rFonts w:eastAsiaTheme="minorHAnsi"/>
          <w:color w:val="000000"/>
          <w:lang w:bidi="ar-SA"/>
          <w14:ligatures w14:val="standardContextual"/>
        </w:rPr>
        <w:t>the City worked with Catalyst Miami</w:t>
      </w:r>
      <w:r w:rsidR="004655F0">
        <w:rPr>
          <w:rFonts w:eastAsiaTheme="minorHAnsi"/>
          <w:color w:val="000000"/>
          <w:lang w:bidi="ar-SA"/>
          <w14:ligatures w14:val="standardContextual"/>
        </w:rPr>
        <w:t>, a Community-Based Organization,</w:t>
      </w:r>
      <w:r w:rsidRPr="00AA0D57">
        <w:rPr>
          <w:rFonts w:eastAsiaTheme="minorHAnsi"/>
          <w:color w:val="000000"/>
          <w:lang w:bidi="ar-SA"/>
          <w14:ligatures w14:val="standardContextual"/>
        </w:rPr>
        <w:t xml:space="preserve"> to identify </w:t>
      </w:r>
      <w:r w:rsidR="00765C8C">
        <w:rPr>
          <w:rFonts w:eastAsiaTheme="minorHAnsi"/>
          <w:color w:val="000000"/>
          <w:lang w:bidi="ar-SA"/>
          <w14:ligatures w14:val="standardContextual"/>
        </w:rPr>
        <w:t>C</w:t>
      </w:r>
      <w:r w:rsidRPr="00AA0D57">
        <w:rPr>
          <w:rFonts w:eastAsiaTheme="minorHAnsi"/>
          <w:color w:val="000000"/>
          <w:lang w:bidi="ar-SA"/>
          <w14:ligatures w14:val="standardContextual"/>
        </w:rPr>
        <w:t xml:space="preserve">limate </w:t>
      </w:r>
      <w:r w:rsidR="00765C8C">
        <w:rPr>
          <w:rFonts w:eastAsiaTheme="minorHAnsi"/>
          <w:color w:val="000000"/>
          <w:lang w:bidi="ar-SA"/>
          <w14:ligatures w14:val="standardContextual"/>
        </w:rPr>
        <w:t>J</w:t>
      </w:r>
      <w:r w:rsidRPr="00AA0D57">
        <w:rPr>
          <w:rFonts w:eastAsiaTheme="minorHAnsi"/>
          <w:color w:val="000000"/>
          <w:lang w:bidi="ar-SA"/>
          <w14:ligatures w14:val="standardContextual"/>
        </w:rPr>
        <w:t xml:space="preserve">ustice </w:t>
      </w:r>
      <w:r w:rsidR="00765C8C">
        <w:rPr>
          <w:rFonts w:eastAsiaTheme="minorHAnsi"/>
          <w:color w:val="000000"/>
          <w:lang w:bidi="ar-SA"/>
          <w14:ligatures w14:val="standardContextual"/>
        </w:rPr>
        <w:t>C</w:t>
      </w:r>
      <w:r w:rsidRPr="00AA0D57">
        <w:rPr>
          <w:rFonts w:eastAsiaTheme="minorHAnsi"/>
          <w:color w:val="000000"/>
          <w:lang w:bidi="ar-SA"/>
          <w14:ligatures w14:val="standardContextual"/>
        </w:rPr>
        <w:t>ommunities in the City</w:t>
      </w:r>
      <w:r w:rsidR="001643F1">
        <w:rPr>
          <w:rFonts w:eastAsiaTheme="minorHAnsi"/>
          <w:color w:val="000000"/>
          <w:lang w:bidi="ar-SA"/>
          <w14:ligatures w14:val="standardContextual"/>
        </w:rPr>
        <w:t xml:space="preserve">. Climate </w:t>
      </w:r>
      <w:r w:rsidR="001A23FE">
        <w:rPr>
          <w:rFonts w:eastAsiaTheme="minorHAnsi"/>
          <w:color w:val="000000"/>
          <w:lang w:bidi="ar-SA"/>
          <w14:ligatures w14:val="standardContextual"/>
        </w:rPr>
        <w:t xml:space="preserve">Justice Communities are </w:t>
      </w:r>
      <w:r w:rsidR="00CA6F45" w:rsidRPr="00CA6F45">
        <w:rPr>
          <w:rFonts w:eastAsiaTheme="minorHAnsi"/>
          <w:color w:val="000000"/>
          <w:lang w:bidi="ar-SA"/>
          <w14:ligatures w14:val="standardContextual"/>
        </w:rPr>
        <w:t>historically underinvested neighborhoods (which tend to be inland)</w:t>
      </w:r>
      <w:r w:rsidR="005B4992">
        <w:rPr>
          <w:rFonts w:eastAsiaTheme="minorHAnsi"/>
          <w:color w:val="000000"/>
          <w:lang w:bidi="ar-SA"/>
          <w14:ligatures w14:val="standardContextual"/>
        </w:rPr>
        <w:t xml:space="preserve"> and </w:t>
      </w:r>
      <w:r w:rsidR="00CA6F45" w:rsidRPr="00CA6F45">
        <w:rPr>
          <w:rFonts w:eastAsiaTheme="minorHAnsi"/>
          <w:color w:val="000000"/>
          <w:lang w:bidi="ar-SA"/>
          <w14:ligatures w14:val="standardContextual"/>
        </w:rPr>
        <w:t>populated by individuals that are low-income, predominantly Black, and recent immigrants</w:t>
      </w:r>
      <w:r w:rsidR="005B4992">
        <w:rPr>
          <w:rFonts w:eastAsiaTheme="minorHAnsi"/>
          <w:color w:val="000000"/>
          <w:lang w:bidi="ar-SA"/>
          <w14:ligatures w14:val="standardContextual"/>
        </w:rPr>
        <w:t xml:space="preserve">. </w:t>
      </w:r>
      <w:r w:rsidR="00943517" w:rsidRPr="00943517">
        <w:rPr>
          <w:rFonts w:eastAsiaTheme="minorHAnsi"/>
          <w:color w:val="000000"/>
          <w:lang w:bidi="ar-SA"/>
          <w14:ligatures w14:val="standardContextual"/>
        </w:rPr>
        <w:t xml:space="preserve">Inequities experienced by residents of </w:t>
      </w:r>
      <w:r w:rsidR="008A02D5">
        <w:rPr>
          <w:rFonts w:eastAsiaTheme="minorHAnsi"/>
          <w:color w:val="000000"/>
          <w:lang w:bidi="ar-SA"/>
          <w14:ligatures w14:val="standardContextual"/>
        </w:rPr>
        <w:t>C</w:t>
      </w:r>
      <w:r w:rsidR="00943517" w:rsidRPr="00943517">
        <w:rPr>
          <w:rFonts w:eastAsiaTheme="minorHAnsi"/>
          <w:color w:val="000000"/>
          <w:lang w:bidi="ar-SA"/>
          <w14:ligatures w14:val="standardContextual"/>
        </w:rPr>
        <w:t xml:space="preserve">limate </w:t>
      </w:r>
      <w:r w:rsidR="008A02D5">
        <w:rPr>
          <w:rFonts w:eastAsiaTheme="minorHAnsi"/>
          <w:color w:val="000000"/>
          <w:lang w:bidi="ar-SA"/>
          <w14:ligatures w14:val="standardContextual"/>
        </w:rPr>
        <w:t>J</w:t>
      </w:r>
      <w:r w:rsidR="00943517" w:rsidRPr="00943517">
        <w:rPr>
          <w:rFonts w:eastAsiaTheme="minorHAnsi"/>
          <w:color w:val="000000"/>
          <w:lang w:bidi="ar-SA"/>
          <w14:ligatures w14:val="standardContextual"/>
        </w:rPr>
        <w:t xml:space="preserve">ustice </w:t>
      </w:r>
      <w:r w:rsidR="008A02D5">
        <w:rPr>
          <w:rFonts w:eastAsiaTheme="minorHAnsi"/>
          <w:color w:val="000000"/>
          <w:lang w:bidi="ar-SA"/>
          <w14:ligatures w14:val="standardContextual"/>
        </w:rPr>
        <w:t>C</w:t>
      </w:r>
      <w:r w:rsidR="00943517" w:rsidRPr="00943517">
        <w:rPr>
          <w:rFonts w:eastAsiaTheme="minorHAnsi"/>
          <w:color w:val="000000"/>
          <w:lang w:bidi="ar-SA"/>
          <w14:ligatures w14:val="standardContextual"/>
        </w:rPr>
        <w:t>ommunities include</w:t>
      </w:r>
      <w:r w:rsidR="00804553">
        <w:rPr>
          <w:rFonts w:eastAsiaTheme="minorHAnsi"/>
          <w:color w:val="000000"/>
          <w:lang w:bidi="ar-SA"/>
          <w14:ligatures w14:val="standardContextual"/>
        </w:rPr>
        <w:t xml:space="preserve">: </w:t>
      </w:r>
      <w:r w:rsidR="008E36FB" w:rsidRPr="008E36FB">
        <w:rPr>
          <w:rFonts w:eastAsiaTheme="minorHAnsi"/>
          <w:color w:val="000000"/>
          <w:lang w:bidi="ar-SA"/>
          <w14:ligatures w14:val="standardContextual"/>
        </w:rPr>
        <w:t>Utility burden</w:t>
      </w:r>
      <w:r w:rsidR="003274D8">
        <w:rPr>
          <w:rFonts w:eastAsiaTheme="minorHAnsi"/>
          <w:color w:val="000000"/>
          <w:lang w:bidi="ar-SA"/>
          <w14:ligatures w14:val="standardContextual"/>
        </w:rPr>
        <w:t>;</w:t>
      </w:r>
      <w:r w:rsidR="00804553">
        <w:rPr>
          <w:rFonts w:eastAsiaTheme="minorHAnsi"/>
          <w:color w:val="000000"/>
          <w:lang w:bidi="ar-SA"/>
          <w14:ligatures w14:val="standardContextual"/>
        </w:rPr>
        <w:t xml:space="preserve"> </w:t>
      </w:r>
      <w:r w:rsidR="008E36FB" w:rsidRPr="008E36FB">
        <w:rPr>
          <w:rFonts w:eastAsiaTheme="minorHAnsi"/>
          <w:color w:val="000000"/>
          <w:lang w:bidi="ar-SA"/>
          <w14:ligatures w14:val="standardContextual"/>
        </w:rPr>
        <w:t>Lack of car ownership</w:t>
      </w:r>
      <w:r w:rsidR="003274D8">
        <w:rPr>
          <w:rFonts w:eastAsiaTheme="minorHAnsi"/>
          <w:color w:val="000000"/>
          <w:lang w:bidi="ar-SA"/>
          <w14:ligatures w14:val="standardContextual"/>
        </w:rPr>
        <w:t>;</w:t>
      </w:r>
      <w:r w:rsidR="00804553">
        <w:rPr>
          <w:rFonts w:eastAsiaTheme="minorHAnsi"/>
          <w:color w:val="000000"/>
          <w:lang w:bidi="ar-SA"/>
          <w14:ligatures w14:val="standardContextual"/>
        </w:rPr>
        <w:t xml:space="preserve"> </w:t>
      </w:r>
      <w:r w:rsidR="008E36FB" w:rsidRPr="008E36FB">
        <w:rPr>
          <w:rFonts w:eastAsiaTheme="minorHAnsi"/>
          <w:color w:val="000000"/>
          <w:lang w:bidi="ar-SA"/>
          <w14:ligatures w14:val="standardContextual"/>
        </w:rPr>
        <w:t>Renters being pushed out of homes due to increasing rent prices</w:t>
      </w:r>
      <w:r w:rsidR="003274D8">
        <w:rPr>
          <w:rFonts w:eastAsiaTheme="minorHAnsi"/>
          <w:color w:val="000000"/>
          <w:lang w:bidi="ar-SA"/>
          <w14:ligatures w14:val="standardContextual"/>
        </w:rPr>
        <w:t>;</w:t>
      </w:r>
      <w:r w:rsidR="00804553">
        <w:rPr>
          <w:rFonts w:eastAsiaTheme="minorHAnsi"/>
          <w:color w:val="000000"/>
          <w:lang w:bidi="ar-SA"/>
          <w14:ligatures w14:val="standardContextual"/>
        </w:rPr>
        <w:t xml:space="preserve"> </w:t>
      </w:r>
      <w:r w:rsidR="00392CCB" w:rsidRPr="00392CCB">
        <w:rPr>
          <w:rFonts w:eastAsiaTheme="minorHAnsi"/>
          <w:color w:val="000000"/>
          <w:lang w:bidi="ar-SA"/>
          <w14:ligatures w14:val="standardContextual"/>
        </w:rPr>
        <w:t>Uninsured or underinsured</w:t>
      </w:r>
      <w:r w:rsidR="003274D8">
        <w:rPr>
          <w:rFonts w:eastAsiaTheme="minorHAnsi"/>
          <w:color w:val="000000"/>
          <w:lang w:bidi="ar-SA"/>
          <w14:ligatures w14:val="standardContextual"/>
        </w:rPr>
        <w:t>;</w:t>
      </w:r>
      <w:r w:rsidR="00804553">
        <w:rPr>
          <w:rFonts w:eastAsiaTheme="minorHAnsi"/>
          <w:color w:val="000000"/>
          <w:lang w:bidi="ar-SA"/>
          <w14:ligatures w14:val="standardContextual"/>
        </w:rPr>
        <w:t xml:space="preserve"> </w:t>
      </w:r>
      <w:r w:rsidR="00392CCB" w:rsidRPr="00392CCB">
        <w:rPr>
          <w:rFonts w:eastAsiaTheme="minorHAnsi"/>
          <w:color w:val="000000"/>
          <w:lang w:bidi="ar-SA"/>
          <w14:ligatures w14:val="standardContextual"/>
        </w:rPr>
        <w:t>Prolonged exposure to extreme heat in homes and worksites</w:t>
      </w:r>
      <w:r w:rsidR="003274D8">
        <w:rPr>
          <w:rFonts w:eastAsiaTheme="minorHAnsi"/>
          <w:color w:val="000000"/>
          <w:lang w:bidi="ar-SA"/>
          <w14:ligatures w14:val="standardContextual"/>
        </w:rPr>
        <w:t>;</w:t>
      </w:r>
      <w:r w:rsidR="00804553">
        <w:rPr>
          <w:rFonts w:eastAsiaTheme="minorHAnsi"/>
          <w:color w:val="000000"/>
          <w:lang w:bidi="ar-SA"/>
          <w14:ligatures w14:val="standardContextual"/>
        </w:rPr>
        <w:t xml:space="preserve"> </w:t>
      </w:r>
      <w:r w:rsidR="00392CCB" w:rsidRPr="00392CCB">
        <w:rPr>
          <w:rFonts w:eastAsiaTheme="minorHAnsi"/>
          <w:color w:val="000000"/>
          <w:lang w:bidi="ar-SA"/>
          <w14:ligatures w14:val="standardContextual"/>
        </w:rPr>
        <w:t>Lack of access to reliable and consistent public transportation</w:t>
      </w:r>
      <w:r w:rsidR="003274D8">
        <w:rPr>
          <w:rFonts w:eastAsiaTheme="minorHAnsi"/>
          <w:color w:val="000000"/>
          <w:lang w:bidi="ar-SA"/>
          <w14:ligatures w14:val="standardContextual"/>
        </w:rPr>
        <w:t>;</w:t>
      </w:r>
      <w:r w:rsidR="00804553">
        <w:rPr>
          <w:rFonts w:eastAsiaTheme="minorHAnsi"/>
          <w:color w:val="000000"/>
          <w:lang w:bidi="ar-SA"/>
          <w14:ligatures w14:val="standardContextual"/>
        </w:rPr>
        <w:t xml:space="preserve"> </w:t>
      </w:r>
      <w:r w:rsidR="00804553" w:rsidRPr="00804553">
        <w:rPr>
          <w:rFonts w:eastAsiaTheme="minorHAnsi"/>
          <w:color w:val="000000"/>
          <w:lang w:bidi="ar-SA"/>
          <w14:ligatures w14:val="standardContextual"/>
        </w:rPr>
        <w:t>Live paycheck to paycheck and cannot afford hurricane supplies or to evacuate due to flooding</w:t>
      </w:r>
      <w:r w:rsidR="003274D8">
        <w:rPr>
          <w:rFonts w:eastAsiaTheme="minorHAnsi"/>
          <w:color w:val="000000"/>
          <w:lang w:bidi="ar-SA"/>
          <w14:ligatures w14:val="standardContextual"/>
        </w:rPr>
        <w:t>;</w:t>
      </w:r>
      <w:r w:rsidR="00804553">
        <w:rPr>
          <w:rFonts w:eastAsiaTheme="minorHAnsi"/>
          <w:color w:val="000000"/>
          <w:lang w:bidi="ar-SA"/>
          <w14:ligatures w14:val="standardContextual"/>
        </w:rPr>
        <w:t xml:space="preserve"> </w:t>
      </w:r>
      <w:r w:rsidR="00804553" w:rsidRPr="00804553">
        <w:rPr>
          <w:rFonts w:eastAsiaTheme="minorHAnsi"/>
          <w:color w:val="000000"/>
          <w:lang w:bidi="ar-SA"/>
          <w14:ligatures w14:val="standardContextual"/>
        </w:rPr>
        <w:t>Live more than 3 miles from closest grocery store</w:t>
      </w:r>
      <w:r w:rsidR="00804553">
        <w:rPr>
          <w:rFonts w:eastAsiaTheme="minorHAnsi"/>
          <w:color w:val="000000"/>
          <w:lang w:bidi="ar-SA"/>
          <w14:ligatures w14:val="standardContextual"/>
        </w:rPr>
        <w:t xml:space="preserve">. </w:t>
      </w:r>
      <w:r w:rsidR="005B4992">
        <w:rPr>
          <w:rFonts w:eastAsiaTheme="minorHAnsi"/>
          <w:color w:val="000000"/>
          <w:lang w:bidi="ar-SA"/>
          <w14:ligatures w14:val="standardContextual"/>
        </w:rPr>
        <w:t xml:space="preserve">These communities include the neighborhoods </w:t>
      </w:r>
      <w:r w:rsidR="00BF17E0">
        <w:rPr>
          <w:rFonts w:eastAsiaTheme="minorHAnsi"/>
          <w:color w:val="000000"/>
          <w:lang w:bidi="ar-SA"/>
          <w14:ligatures w14:val="standardContextual"/>
        </w:rPr>
        <w:t>of</w:t>
      </w:r>
      <w:r w:rsidR="002E1AA8">
        <w:rPr>
          <w:rFonts w:eastAsiaTheme="minorHAnsi"/>
          <w:color w:val="000000"/>
          <w:lang w:bidi="ar-SA"/>
          <w14:ligatures w14:val="standardContextual"/>
        </w:rPr>
        <w:t xml:space="preserve"> </w:t>
      </w:r>
      <w:r w:rsidR="002E1AA8" w:rsidRPr="002E1AA8">
        <w:rPr>
          <w:rFonts w:eastAsiaTheme="minorHAnsi"/>
          <w:color w:val="000000"/>
          <w:lang w:bidi="ar-SA"/>
          <w14:ligatures w14:val="standardContextual"/>
        </w:rPr>
        <w:t>Allapattah, Liberty City, Little Havana, Little Haiti, Overtown, and West Grove</w:t>
      </w:r>
      <w:r w:rsidR="002E1AA8">
        <w:rPr>
          <w:rFonts w:eastAsiaTheme="minorHAnsi"/>
          <w:color w:val="000000"/>
          <w:lang w:bidi="ar-SA"/>
          <w14:ligatures w14:val="standardContextual"/>
        </w:rPr>
        <w:t xml:space="preserve"> </w:t>
      </w:r>
      <w:r w:rsidR="00DC714F">
        <w:rPr>
          <w:rFonts w:eastAsiaTheme="minorHAnsi"/>
          <w:color w:val="000000"/>
          <w:lang w:bidi="ar-SA"/>
          <w14:ligatures w14:val="standardContextual"/>
        </w:rPr>
        <w:t>which</w:t>
      </w:r>
      <w:r w:rsidR="005B4992">
        <w:rPr>
          <w:rFonts w:eastAsiaTheme="minorHAnsi"/>
          <w:color w:val="000000"/>
          <w:lang w:bidi="ar-SA"/>
          <w14:ligatures w14:val="standardContextual"/>
        </w:rPr>
        <w:t xml:space="preserve"> </w:t>
      </w:r>
      <w:r w:rsidR="00E64775">
        <w:rPr>
          <w:rFonts w:eastAsiaTheme="minorHAnsi"/>
          <w:color w:val="000000"/>
          <w:lang w:bidi="ar-SA"/>
          <w14:ligatures w14:val="standardContextual"/>
        </w:rPr>
        <w:t>are par</w:t>
      </w:r>
      <w:r w:rsidR="00FA11BF">
        <w:rPr>
          <w:rFonts w:eastAsiaTheme="minorHAnsi"/>
          <w:color w:val="000000"/>
          <w:lang w:bidi="ar-SA"/>
          <w14:ligatures w14:val="standardContextual"/>
        </w:rPr>
        <w:t>t</w:t>
      </w:r>
      <w:r w:rsidR="00E64775">
        <w:rPr>
          <w:rFonts w:eastAsiaTheme="minorHAnsi"/>
          <w:color w:val="000000"/>
          <w:lang w:bidi="ar-SA"/>
          <w14:ligatures w14:val="standardContextual"/>
        </w:rPr>
        <w:t xml:space="preserve"> of the focus</w:t>
      </w:r>
      <w:r w:rsidR="00FA11BF">
        <w:rPr>
          <w:rFonts w:eastAsiaTheme="minorHAnsi"/>
          <w:color w:val="000000"/>
          <w:lang w:bidi="ar-SA"/>
          <w14:ligatures w14:val="standardContextual"/>
        </w:rPr>
        <w:t xml:space="preserve"> </w:t>
      </w:r>
      <w:r w:rsidR="005B4992">
        <w:rPr>
          <w:rFonts w:eastAsiaTheme="minorHAnsi"/>
          <w:color w:val="000000"/>
          <w:lang w:bidi="ar-SA"/>
          <w14:ligatures w14:val="standardContextual"/>
        </w:rPr>
        <w:t xml:space="preserve">of the </w:t>
      </w:r>
      <w:r w:rsidR="00BD377E">
        <w:rPr>
          <w:rFonts w:eastAsiaTheme="minorHAnsi"/>
          <w:color w:val="000000"/>
          <w:lang w:bidi="ar-SA"/>
          <w14:ligatures w14:val="standardContextual"/>
        </w:rPr>
        <w:t xml:space="preserve">GHG </w:t>
      </w:r>
      <w:r w:rsidR="00CB2D38">
        <w:rPr>
          <w:rFonts w:eastAsiaTheme="minorHAnsi"/>
          <w:color w:val="000000"/>
          <w:lang w:bidi="ar-SA"/>
          <w14:ligatures w14:val="standardContextual"/>
        </w:rPr>
        <w:t>R</w:t>
      </w:r>
      <w:r w:rsidR="005B4992">
        <w:rPr>
          <w:rFonts w:eastAsiaTheme="minorHAnsi"/>
          <w:color w:val="000000"/>
          <w:lang w:bidi="ar-SA"/>
          <w14:ligatures w14:val="standardContextual"/>
        </w:rPr>
        <w:t xml:space="preserve">eduction </w:t>
      </w:r>
      <w:r w:rsidR="0015670C">
        <w:rPr>
          <w:rFonts w:eastAsiaTheme="minorHAnsi"/>
          <w:color w:val="000000"/>
          <w:lang w:bidi="ar-SA"/>
          <w14:ligatures w14:val="standardContextual"/>
        </w:rPr>
        <w:t>M</w:t>
      </w:r>
      <w:r w:rsidR="005B4992">
        <w:rPr>
          <w:rFonts w:eastAsiaTheme="minorHAnsi"/>
          <w:color w:val="000000"/>
          <w:lang w:bidi="ar-SA"/>
          <w14:ligatures w14:val="standardContextual"/>
        </w:rPr>
        <w:t>easures in this grant</w:t>
      </w:r>
      <w:r w:rsidR="00FE1130">
        <w:rPr>
          <w:rFonts w:eastAsiaTheme="minorHAnsi"/>
          <w:color w:val="000000"/>
          <w:lang w:bidi="ar-SA"/>
          <w14:ligatures w14:val="standardContextual"/>
        </w:rPr>
        <w:t xml:space="preserve"> and align with disadvantaged communities as defined by</w:t>
      </w:r>
      <w:r w:rsidR="00BF1613">
        <w:rPr>
          <w:rFonts w:eastAsiaTheme="minorHAnsi"/>
          <w:color w:val="000000"/>
          <w:lang w:bidi="ar-SA"/>
          <w14:ligatures w14:val="standardContextual"/>
        </w:rPr>
        <w:t xml:space="preserve"> E</w:t>
      </w:r>
      <w:r w:rsidR="00572DBB">
        <w:rPr>
          <w:rFonts w:eastAsiaTheme="minorHAnsi"/>
          <w:color w:val="000000"/>
          <w:lang w:bidi="ar-SA"/>
          <w14:ligatures w14:val="standardContextual"/>
        </w:rPr>
        <w:t>PA’s</w:t>
      </w:r>
      <w:r w:rsidR="00FE1130">
        <w:rPr>
          <w:rFonts w:eastAsiaTheme="minorHAnsi"/>
          <w:color w:val="000000"/>
          <w:lang w:bidi="ar-SA"/>
          <w14:ligatures w14:val="standardContextual"/>
        </w:rPr>
        <w:t xml:space="preserve"> </w:t>
      </w:r>
      <w:r w:rsidR="00BF1613">
        <w:rPr>
          <w:rFonts w:eastAsiaTheme="minorHAnsi"/>
          <w:color w:val="000000"/>
          <w:lang w:bidi="ar-SA"/>
          <w14:ligatures w14:val="standardContextual"/>
        </w:rPr>
        <w:t>EJScreen and</w:t>
      </w:r>
      <w:r w:rsidR="00572DBB">
        <w:rPr>
          <w:rFonts w:eastAsiaTheme="minorHAnsi"/>
          <w:color w:val="000000"/>
          <w:lang w:bidi="ar-SA"/>
          <w14:ligatures w14:val="standardContextual"/>
        </w:rPr>
        <w:t xml:space="preserve"> the White House’s Climate &amp; Economic Justice Screening </w:t>
      </w:r>
      <w:r w:rsidR="00572DBB" w:rsidRPr="007C6FB2">
        <w:rPr>
          <w:rFonts w:eastAsiaTheme="minorHAnsi"/>
          <w:color w:val="000000"/>
          <w:lang w:bidi="ar-SA"/>
          <w14:ligatures w14:val="standardContextual"/>
        </w:rPr>
        <w:t>Tool</w:t>
      </w:r>
      <w:r w:rsidR="00BF1613" w:rsidRPr="007C6FB2">
        <w:rPr>
          <w:rFonts w:eastAsiaTheme="minorHAnsi"/>
          <w:color w:val="000000"/>
          <w:lang w:bidi="ar-SA"/>
          <w14:ligatures w14:val="standardContextual"/>
        </w:rPr>
        <w:t xml:space="preserve"> </w:t>
      </w:r>
      <w:r w:rsidR="007C6FB2" w:rsidRPr="007C6FB2">
        <w:rPr>
          <w:rFonts w:eastAsiaTheme="minorHAnsi"/>
          <w:color w:val="000000"/>
          <w:lang w:bidi="ar-SA"/>
          <w14:ligatures w14:val="standardContextual"/>
        </w:rPr>
        <w:t>(</w:t>
      </w:r>
      <w:r w:rsidR="00FE1130" w:rsidRPr="007C6FB2">
        <w:rPr>
          <w:rFonts w:eastAsiaTheme="minorHAnsi"/>
          <w:color w:val="000000"/>
          <w:lang w:bidi="ar-SA"/>
          <w14:ligatures w14:val="standardContextual"/>
        </w:rPr>
        <w:t>CEJST</w:t>
      </w:r>
      <w:r w:rsidR="007C6FB2" w:rsidRPr="007C6FB2">
        <w:rPr>
          <w:rFonts w:eastAsiaTheme="minorHAnsi"/>
          <w:color w:val="000000"/>
          <w:lang w:bidi="ar-SA"/>
          <w14:ligatures w14:val="standardContextual"/>
        </w:rPr>
        <w:t>)</w:t>
      </w:r>
      <w:r w:rsidR="005B4992" w:rsidRPr="007C6FB2">
        <w:rPr>
          <w:rFonts w:eastAsiaTheme="minorHAnsi"/>
          <w:color w:val="000000"/>
          <w:lang w:bidi="ar-SA"/>
          <w14:ligatures w14:val="standardContextual"/>
        </w:rPr>
        <w:t>.</w:t>
      </w:r>
      <w:r w:rsidR="00CA6F45" w:rsidRPr="00CA6F45">
        <w:rPr>
          <w:rFonts w:eastAsiaTheme="minorHAnsi"/>
          <w:color w:val="000000"/>
          <w:lang w:bidi="ar-SA"/>
          <w14:ligatures w14:val="standardContextual"/>
        </w:rPr>
        <w:t xml:space="preserve"> </w:t>
      </w:r>
    </w:p>
    <w:p w14:paraId="5225C729" w14:textId="29074330" w:rsidR="00D8054B" w:rsidRPr="00AA0D57" w:rsidRDefault="00D8054B" w:rsidP="000018B6">
      <w:pPr>
        <w:widowControl/>
        <w:adjustRightInd w:val="0"/>
        <w:jc w:val="both"/>
        <w:rPr>
          <w:rFonts w:eastAsiaTheme="minorHAnsi"/>
          <w:color w:val="000000"/>
          <w:lang w:bidi="ar-SA"/>
          <w14:ligatures w14:val="standardContextual"/>
        </w:rPr>
      </w:pPr>
    </w:p>
    <w:p w14:paraId="2B44D56C" w14:textId="7DF77229" w:rsidR="00E27201" w:rsidRDefault="00991862" w:rsidP="000018B6">
      <w:r>
        <w:t xml:space="preserve">As a </w:t>
      </w:r>
      <w:hyperlink r:id="rId13" w:history="1">
        <w:r w:rsidRPr="00285953">
          <w:rPr>
            <w:rStyle w:val="Hyperlink"/>
          </w:rPr>
          <w:t>C40 City</w:t>
        </w:r>
      </w:hyperlink>
      <w:r>
        <w:t>, t</w:t>
      </w:r>
      <w:r w:rsidR="00777FC4" w:rsidRPr="00777FC4">
        <w:t xml:space="preserve">he City of Miami </w:t>
      </w:r>
      <w:r w:rsidR="00BB41CF">
        <w:t xml:space="preserve">has </w:t>
      </w:r>
      <w:r w:rsidR="0015670C">
        <w:t>pledged</w:t>
      </w:r>
      <w:r w:rsidR="00777FC4" w:rsidRPr="00777FC4">
        <w:t xml:space="preserve"> to be carbon neutral by 2050, with an interim goal to reduce 60% of our 2018 emissions by 2035. To meet these goals, the City needs funding to implement programs to reduce</w:t>
      </w:r>
      <w:r w:rsidR="000012CC">
        <w:t xml:space="preserve"> GHG</w:t>
      </w:r>
      <w:r w:rsidR="00777FC4" w:rsidRPr="00777FC4">
        <w:t xml:space="preserve"> emissions.</w:t>
      </w:r>
      <w:r w:rsidR="007C266A">
        <w:t xml:space="preserve"> </w:t>
      </w:r>
      <w:r w:rsidR="00777FC4" w:rsidRPr="00777FC4">
        <w:t xml:space="preserve">As identified in both </w:t>
      </w:r>
      <w:r w:rsidR="00FC1E0B">
        <w:t xml:space="preserve">of the City’s resilience strategies, </w:t>
      </w:r>
      <w:r w:rsidR="00777FC4" w:rsidRPr="00777FC4">
        <w:t xml:space="preserve">the </w:t>
      </w:r>
      <w:hyperlink r:id="rId14" w:history="1">
        <w:r w:rsidR="00777FC4" w:rsidRPr="0022290E">
          <w:rPr>
            <w:rStyle w:val="Hyperlink"/>
          </w:rPr>
          <w:t>Miami Forever Climate Ready Strategy</w:t>
        </w:r>
      </w:hyperlink>
      <w:r w:rsidR="00777FC4" w:rsidRPr="00777FC4">
        <w:t xml:space="preserve"> (adaptation plan</w:t>
      </w:r>
      <w:r w:rsidR="0022290E">
        <w:t xml:space="preserve"> developed in 2020</w:t>
      </w:r>
      <w:r w:rsidR="00777FC4" w:rsidRPr="00777FC4">
        <w:t xml:space="preserve">) and </w:t>
      </w:r>
      <w:hyperlink r:id="rId15" w:history="1">
        <w:r w:rsidR="00F37DE6" w:rsidRPr="005D2060">
          <w:rPr>
            <w:rStyle w:val="Hyperlink"/>
          </w:rPr>
          <w:t>Miami Forever Carbon Neutral Plan</w:t>
        </w:r>
      </w:hyperlink>
      <w:r w:rsidR="00777FC4" w:rsidRPr="00777FC4">
        <w:t xml:space="preserve"> (mitigation plan</w:t>
      </w:r>
      <w:r w:rsidR="000E1333">
        <w:t xml:space="preserve"> </w:t>
      </w:r>
      <w:r w:rsidR="00064F4F">
        <w:t>-</w:t>
      </w:r>
      <w:r w:rsidR="000E1333">
        <w:t xml:space="preserve"> </w:t>
      </w:r>
      <w:r w:rsidR="00BD377E">
        <w:t xml:space="preserve">GHG </w:t>
      </w:r>
      <w:r w:rsidR="00064F4F">
        <w:t>reduction plan</w:t>
      </w:r>
      <w:r w:rsidR="008C3C96">
        <w:t xml:space="preserve"> </w:t>
      </w:r>
      <w:r w:rsidR="002832D4">
        <w:t>-</w:t>
      </w:r>
      <w:r w:rsidR="008C3C96">
        <w:t xml:space="preserve"> developed in 2021</w:t>
      </w:r>
      <w:r w:rsidR="00777FC4" w:rsidRPr="00777FC4">
        <w:t xml:space="preserve">), residential programs </w:t>
      </w:r>
      <w:r w:rsidR="00C97D3C">
        <w:t xml:space="preserve">that reduce </w:t>
      </w:r>
      <w:r w:rsidR="00BD377E">
        <w:t xml:space="preserve">GHG </w:t>
      </w:r>
      <w:r w:rsidR="00C97D3C">
        <w:t xml:space="preserve">emissions </w:t>
      </w:r>
      <w:r w:rsidR="00777FC4" w:rsidRPr="00777FC4">
        <w:t>are needed to prepare for and prevent climate change</w:t>
      </w:r>
      <w:r w:rsidR="00FC1E0B">
        <w:t xml:space="preserve"> so that the City can meet our ambitious goals. </w:t>
      </w:r>
    </w:p>
    <w:p w14:paraId="74AC4135" w14:textId="77777777" w:rsidR="00E27201" w:rsidRDefault="00E27201" w:rsidP="000018B6"/>
    <w:p w14:paraId="76594D16" w14:textId="1A52C204" w:rsidR="009976BB" w:rsidRDefault="00FC1E0B" w:rsidP="002C6DD4">
      <w:pPr>
        <w:rPr>
          <w:rFonts w:eastAsiaTheme="majorEastAsia" w:cstheme="majorBidi"/>
          <w:i/>
          <w:iCs/>
          <w:color w:val="0F4761" w:themeColor="accent1" w:themeShade="BF"/>
          <w:sz w:val="28"/>
        </w:rPr>
      </w:pPr>
      <w:r w:rsidRPr="003B46DE">
        <w:t xml:space="preserve">The City </w:t>
      </w:r>
      <w:r w:rsidR="009976BB" w:rsidRPr="003B46DE">
        <w:t xml:space="preserve">of Miami is applying separately from our </w:t>
      </w:r>
      <w:r w:rsidR="003B46DE" w:rsidRPr="003B46DE">
        <w:t xml:space="preserve">Miami-Fort Lauderdale-Pompano Beach, FL Metro Area </w:t>
      </w:r>
      <w:r w:rsidR="009976BB" w:rsidRPr="003B46DE">
        <w:t>MSA</w:t>
      </w:r>
      <w:r w:rsidR="00350B77">
        <w:t xml:space="preserve"> and in a different Funding Tier</w:t>
      </w:r>
      <w:r w:rsidR="003B46DE" w:rsidRPr="003B46DE">
        <w:t>.</w:t>
      </w:r>
      <w:r w:rsidR="00132704">
        <w:t xml:space="preserve"> </w:t>
      </w:r>
      <w:r w:rsidR="004C0C7C">
        <w:t xml:space="preserve">There are 34 </w:t>
      </w:r>
      <w:r w:rsidR="001366E2">
        <w:t>municipalities</w:t>
      </w:r>
      <w:r w:rsidR="008574C6">
        <w:t xml:space="preserve"> in the County</w:t>
      </w:r>
      <w:r w:rsidR="001366E2">
        <w:t>,</w:t>
      </w:r>
      <w:r w:rsidR="004C0C7C">
        <w:t xml:space="preserve"> and more than </w:t>
      </w:r>
      <w:r w:rsidR="009B4088">
        <w:t xml:space="preserve">one million residents live in the </w:t>
      </w:r>
      <w:r w:rsidR="00D75C84">
        <w:t>unincorporated</w:t>
      </w:r>
      <w:r w:rsidR="009B4088">
        <w:t xml:space="preserve"> area outside municipal boundaries. The C</w:t>
      </w:r>
      <w:r w:rsidR="003B46DE" w:rsidRPr="003B46DE">
        <w:t>ity of Miami has</w:t>
      </w:r>
      <w:r w:rsidRPr="003B46DE">
        <w:t xml:space="preserve"> </w:t>
      </w:r>
      <w:r w:rsidR="003B46DE">
        <w:t xml:space="preserve">significant </w:t>
      </w:r>
      <w:r w:rsidR="00132704">
        <w:t>environmental justice and disadvantaged community needs tha</w:t>
      </w:r>
      <w:r w:rsidR="008F471C">
        <w:t>t</w:t>
      </w:r>
      <w:r w:rsidR="00132704">
        <w:t xml:space="preserve"> our </w:t>
      </w:r>
      <w:r w:rsidRPr="003B46DE">
        <w:t xml:space="preserve">existing </w:t>
      </w:r>
      <w:r w:rsidR="0068474B" w:rsidRPr="003B46DE">
        <w:t>housing programs</w:t>
      </w:r>
      <w:r w:rsidR="00132704">
        <w:t>, which are</w:t>
      </w:r>
      <w:r w:rsidR="0068474B" w:rsidRPr="003B46DE">
        <w:t xml:space="preserve"> </w:t>
      </w:r>
      <w:r w:rsidR="002C6DD4">
        <w:t>implementation ready</w:t>
      </w:r>
      <w:r w:rsidR="0068474B" w:rsidRPr="003B46DE">
        <w:t xml:space="preserve"> and </w:t>
      </w:r>
      <w:r w:rsidR="002C6DD4" w:rsidRPr="003B46DE">
        <w:t>equipped</w:t>
      </w:r>
      <w:r w:rsidR="0068474B" w:rsidRPr="003B46DE">
        <w:t xml:space="preserve"> to accept the CPRP funding</w:t>
      </w:r>
      <w:r w:rsidR="00132704">
        <w:t>, can readily address</w:t>
      </w:r>
      <w:r w:rsidR="007F7B6D">
        <w:t xml:space="preserve"> in our low-income communities.</w:t>
      </w:r>
      <w:r w:rsidR="0068474B">
        <w:t xml:space="preserve"> </w:t>
      </w:r>
      <w:r w:rsidR="003710DC">
        <w:t xml:space="preserve">Funding our </w:t>
      </w:r>
      <w:r w:rsidR="000B05B5">
        <w:t xml:space="preserve">programs </w:t>
      </w:r>
      <w:r w:rsidR="00C27284">
        <w:t xml:space="preserve">that focus on </w:t>
      </w:r>
      <w:r w:rsidR="00BE14E2">
        <w:t xml:space="preserve">concentrated </w:t>
      </w:r>
      <w:r w:rsidR="00C27284">
        <w:t>high levels of poverty</w:t>
      </w:r>
      <w:r w:rsidR="00BE14E2">
        <w:t xml:space="preserve"> separately will allow the County more financial focus</w:t>
      </w:r>
      <w:r w:rsidR="002577B4">
        <w:t xml:space="preserve"> on the smaller cities in our region. </w:t>
      </w:r>
      <w:r w:rsidR="009976BB">
        <w:br w:type="page"/>
      </w:r>
    </w:p>
    <w:p w14:paraId="1FECE863" w14:textId="7BB8A9DC" w:rsidR="00FA4F03" w:rsidRPr="00FA4F03" w:rsidRDefault="00FA4F03" w:rsidP="00327BEC">
      <w:pPr>
        <w:pStyle w:val="Heading4"/>
      </w:pPr>
      <w:r w:rsidRPr="00FA4F03">
        <w:lastRenderedPageBreak/>
        <w:t>PCAP Measure</w:t>
      </w:r>
      <w:r w:rsidR="00793CF4">
        <w:t>s</w:t>
      </w:r>
    </w:p>
    <w:p w14:paraId="4CEB3AA5" w14:textId="352E05F7" w:rsidR="00257EBF" w:rsidRPr="00447BB0" w:rsidRDefault="00257EBF" w:rsidP="001F5903">
      <w:bookmarkStart w:id="0" w:name="_Hlk162007822"/>
      <w:r w:rsidRPr="00447BB0">
        <w:t xml:space="preserve">The following </w:t>
      </w:r>
      <w:r w:rsidR="00447BB0">
        <w:t xml:space="preserve">Sector and </w:t>
      </w:r>
      <w:r w:rsidRPr="00447BB0">
        <w:t>GHG Reduction Measures were used for</w:t>
      </w:r>
      <w:r w:rsidR="00447BB0" w:rsidRPr="00447BB0">
        <w:t xml:space="preserve"> </w:t>
      </w:r>
      <w:r w:rsidR="00447BB0">
        <w:t>this application:</w:t>
      </w:r>
    </w:p>
    <w:p w14:paraId="61D7C7CC" w14:textId="77777777" w:rsidR="00257EBF" w:rsidRDefault="00257EBF" w:rsidP="001F5903">
      <w:pPr>
        <w:rPr>
          <w:b/>
          <w:bCs/>
        </w:rPr>
      </w:pPr>
    </w:p>
    <w:p w14:paraId="0C73BF36" w14:textId="7735B117" w:rsidR="001F5903" w:rsidRPr="00393D4D" w:rsidRDefault="006C42F3" w:rsidP="001F5903">
      <w:pPr>
        <w:rPr>
          <w:b/>
          <w:bCs/>
        </w:rPr>
      </w:pPr>
      <w:hyperlink r:id="rId16" w:history="1">
        <w:r w:rsidR="001F5903" w:rsidRPr="0035061A">
          <w:rPr>
            <w:rStyle w:val="Hyperlink"/>
            <w:b/>
            <w:bCs/>
          </w:rPr>
          <w:t>Southeast Florida Priority Climate Action Plan</w:t>
        </w:r>
      </w:hyperlink>
    </w:p>
    <w:bookmarkEnd w:id="0"/>
    <w:p w14:paraId="44C95333" w14:textId="77777777" w:rsidR="001F5903" w:rsidRDefault="001F5903" w:rsidP="001F5903">
      <w:pPr>
        <w:rPr>
          <w:b/>
          <w:bCs/>
        </w:rPr>
      </w:pPr>
      <w:r w:rsidRPr="00393D4D">
        <w:rPr>
          <w:b/>
          <w:bCs/>
        </w:rPr>
        <w:t>4.2.3 Buildings</w:t>
      </w:r>
    </w:p>
    <w:p w14:paraId="73B53AEA" w14:textId="57DBD39C" w:rsidR="00064D89" w:rsidRDefault="00064D89" w:rsidP="001F5903">
      <w:pPr>
        <w:rPr>
          <w:b/>
          <w:bCs/>
        </w:rPr>
      </w:pPr>
      <w:r>
        <w:rPr>
          <w:b/>
          <w:bCs/>
        </w:rPr>
        <w:t>Measure #6 and Measure #7</w:t>
      </w:r>
    </w:p>
    <w:p w14:paraId="0AD5154F" w14:textId="0499D5AE" w:rsidR="00105B02" w:rsidRPr="00393D4D" w:rsidRDefault="00105B02" w:rsidP="001F5903">
      <w:pPr>
        <w:rPr>
          <w:b/>
          <w:bCs/>
        </w:rPr>
      </w:pPr>
      <w:r>
        <w:rPr>
          <w:b/>
          <w:bCs/>
        </w:rPr>
        <w:t xml:space="preserve">Pages </w:t>
      </w:r>
      <w:r w:rsidR="00310FF1">
        <w:rPr>
          <w:b/>
          <w:bCs/>
        </w:rPr>
        <w:t>36</w:t>
      </w:r>
      <w:r>
        <w:rPr>
          <w:b/>
          <w:bCs/>
        </w:rPr>
        <w:t xml:space="preserve"> – </w:t>
      </w:r>
      <w:r w:rsidR="000075C8">
        <w:rPr>
          <w:b/>
          <w:bCs/>
        </w:rPr>
        <w:t>38</w:t>
      </w:r>
      <w:r>
        <w:rPr>
          <w:b/>
          <w:bCs/>
        </w:rPr>
        <w:t xml:space="preserve"> </w:t>
      </w:r>
    </w:p>
    <w:p w14:paraId="1384BEFF" w14:textId="77777777" w:rsidR="00EE3F69" w:rsidRDefault="00EE3F69" w:rsidP="001F5903">
      <w:pPr>
        <w:rPr>
          <w:b/>
          <w:bCs/>
          <w:i/>
          <w:iCs/>
        </w:rPr>
      </w:pPr>
    </w:p>
    <w:p w14:paraId="286CCEE5" w14:textId="2AF4F5A0" w:rsidR="0098429B" w:rsidRPr="00CF3B80" w:rsidRDefault="0098429B" w:rsidP="001F5903">
      <w:pPr>
        <w:rPr>
          <w:b/>
          <w:bCs/>
          <w:i/>
          <w:iCs/>
        </w:rPr>
      </w:pPr>
      <w:r w:rsidRPr="00CF3B80">
        <w:rPr>
          <w:b/>
          <w:bCs/>
          <w:i/>
          <w:iCs/>
        </w:rPr>
        <w:t xml:space="preserve">PCAP Measures </w:t>
      </w:r>
      <w:r w:rsidR="00CF3B80" w:rsidRPr="00CF3B80">
        <w:rPr>
          <w:b/>
          <w:bCs/>
          <w:i/>
          <w:iCs/>
        </w:rPr>
        <w:t xml:space="preserve">Used in </w:t>
      </w:r>
      <w:r w:rsidR="00E82FA4">
        <w:rPr>
          <w:b/>
          <w:bCs/>
          <w:i/>
          <w:iCs/>
        </w:rPr>
        <w:t xml:space="preserve">City of Miami’s </w:t>
      </w:r>
      <w:r w:rsidR="00C13CF1">
        <w:rPr>
          <w:b/>
          <w:bCs/>
          <w:i/>
          <w:iCs/>
        </w:rPr>
        <w:t xml:space="preserve">CPRG </w:t>
      </w:r>
      <w:r w:rsidR="00EA0620">
        <w:rPr>
          <w:b/>
          <w:bCs/>
          <w:i/>
          <w:iCs/>
        </w:rPr>
        <w:t xml:space="preserve">Implementation Grant </w:t>
      </w:r>
      <w:r w:rsidR="00CF3B80" w:rsidRPr="00CF3B80">
        <w:rPr>
          <w:b/>
          <w:bCs/>
          <w:i/>
          <w:iCs/>
        </w:rPr>
        <w:t>Application</w:t>
      </w:r>
    </w:p>
    <w:tbl>
      <w:tblPr>
        <w:tblStyle w:val="TableGrid"/>
        <w:tblW w:w="10165" w:type="dxa"/>
        <w:tblCellMar>
          <w:top w:w="29" w:type="dxa"/>
          <w:bottom w:w="29" w:type="dxa"/>
        </w:tblCellMar>
        <w:tblLook w:val="04A0" w:firstRow="1" w:lastRow="0" w:firstColumn="1" w:lastColumn="0" w:noHBand="0" w:noVBand="1"/>
      </w:tblPr>
      <w:tblGrid>
        <w:gridCol w:w="5125"/>
        <w:gridCol w:w="5040"/>
      </w:tblGrid>
      <w:tr w:rsidR="00076EB6" w:rsidRPr="002D4595" w14:paraId="4CCBD9D8" w14:textId="77777777" w:rsidTr="005B1DE6">
        <w:tc>
          <w:tcPr>
            <w:tcW w:w="5125" w:type="dxa"/>
            <w:shd w:val="clear" w:color="auto" w:fill="A02B93" w:themeFill="accent5"/>
          </w:tcPr>
          <w:p w14:paraId="62878CE1" w14:textId="32087122" w:rsidR="001142D8" w:rsidRPr="002D4595" w:rsidRDefault="001142D8" w:rsidP="00795839">
            <w:pPr>
              <w:jc w:val="center"/>
              <w:rPr>
                <w:color w:val="FFFFFF" w:themeColor="background1"/>
                <w:sz w:val="24"/>
                <w:szCs w:val="24"/>
                <w:u w:val="single"/>
              </w:rPr>
            </w:pPr>
            <w:r w:rsidRPr="002D4595">
              <w:rPr>
                <w:b/>
                <w:bCs/>
                <w:color w:val="FFFFFF" w:themeColor="background1"/>
                <w:sz w:val="24"/>
                <w:szCs w:val="24"/>
                <w:u w:val="single"/>
              </w:rPr>
              <w:t>Measure #6: Residential Energy Efficiency</w:t>
            </w:r>
          </w:p>
        </w:tc>
        <w:tc>
          <w:tcPr>
            <w:tcW w:w="5040" w:type="dxa"/>
            <w:shd w:val="clear" w:color="auto" w:fill="A02B93" w:themeFill="accent5"/>
          </w:tcPr>
          <w:p w14:paraId="053491D9" w14:textId="58D674F3" w:rsidR="001142D8" w:rsidRPr="002D4595" w:rsidRDefault="001142D8" w:rsidP="00795839">
            <w:pPr>
              <w:jc w:val="center"/>
              <w:rPr>
                <w:b/>
                <w:bCs/>
                <w:color w:val="FFFFFF" w:themeColor="background1"/>
                <w:sz w:val="24"/>
                <w:szCs w:val="24"/>
                <w:u w:val="single"/>
              </w:rPr>
            </w:pPr>
            <w:r w:rsidRPr="002D4595">
              <w:rPr>
                <w:b/>
                <w:bCs/>
                <w:color w:val="FFFFFF" w:themeColor="background1"/>
                <w:sz w:val="24"/>
                <w:szCs w:val="24"/>
                <w:u w:val="single"/>
              </w:rPr>
              <w:t>Measure #7: Residential Renewable Energy</w:t>
            </w:r>
          </w:p>
        </w:tc>
      </w:tr>
      <w:tr w:rsidR="001142D8" w14:paraId="58194674" w14:textId="77777777" w:rsidTr="005B1DE6">
        <w:tc>
          <w:tcPr>
            <w:tcW w:w="10165" w:type="dxa"/>
            <w:gridSpan w:val="2"/>
            <w:shd w:val="clear" w:color="auto" w:fill="E59EDC" w:themeFill="accent5" w:themeFillTint="66"/>
          </w:tcPr>
          <w:p w14:paraId="1F4C95BD" w14:textId="3645939B" w:rsidR="0082063D" w:rsidRPr="002D4595" w:rsidRDefault="001142D8" w:rsidP="00795839">
            <w:pPr>
              <w:widowControl/>
              <w:adjustRightInd w:val="0"/>
              <w:rPr>
                <w:rFonts w:eastAsiaTheme="minorHAnsi"/>
                <w:b/>
                <w:bCs/>
                <w:color w:val="000000"/>
                <w:lang w:bidi="ar-SA"/>
                <w14:ligatures w14:val="standardContextual"/>
              </w:rPr>
            </w:pPr>
            <w:r w:rsidRPr="002D4595">
              <w:rPr>
                <w:rFonts w:eastAsiaTheme="minorHAnsi"/>
                <w:b/>
                <w:bCs/>
                <w:color w:val="000000"/>
                <w:lang w:bidi="ar-SA"/>
                <w14:ligatures w14:val="standardContextual"/>
              </w:rPr>
              <w:t>The counties and cities in the Southeast Florida Region are leveraging existing residential programs that reduce GHG emissions through building improvements, which reduce the property’s energy load and demand, and technology that runs more efficiently. In addition to reducing GHG emissions, there are co-benefits to the users, such as savings on utility bills, property maintenance, and enhancements, and improving indoor environmental quality through enhancing thermal comfort and sound attenuation. These co-benefits were also highlighted as priorities for low-income communities that would benefit from access to these types of interventions.</w:t>
            </w:r>
          </w:p>
        </w:tc>
      </w:tr>
      <w:tr w:rsidR="00EF3626" w14:paraId="64E4BC32" w14:textId="77777777" w:rsidTr="005B1DE6">
        <w:tc>
          <w:tcPr>
            <w:tcW w:w="5125" w:type="dxa"/>
            <w:shd w:val="clear" w:color="auto" w:fill="F2CEED" w:themeFill="accent5" w:themeFillTint="33"/>
          </w:tcPr>
          <w:p w14:paraId="40538B9E" w14:textId="77777777" w:rsidR="00C120FD" w:rsidRDefault="00C120FD" w:rsidP="00795839">
            <w:pPr>
              <w:widowControl/>
              <w:adjustRightInd w:val="0"/>
              <w:rPr>
                <w:rFonts w:eastAsiaTheme="minorHAnsi"/>
                <w:color w:val="000000"/>
                <w:lang w:bidi="ar-SA"/>
                <w14:ligatures w14:val="standardContextual"/>
              </w:rPr>
            </w:pPr>
          </w:p>
          <w:p w14:paraId="6BC83723" w14:textId="60D37CBC" w:rsidR="00EF3626" w:rsidRPr="0008297D" w:rsidRDefault="00BD377E" w:rsidP="00795839">
            <w:pPr>
              <w:rPr>
                <w:i/>
                <w:iCs/>
              </w:rPr>
            </w:pPr>
            <w:r>
              <w:rPr>
                <w:i/>
                <w:iCs/>
              </w:rPr>
              <w:t xml:space="preserve">GHG </w:t>
            </w:r>
            <w:r w:rsidR="0008297D" w:rsidRPr="0008297D">
              <w:rPr>
                <w:i/>
                <w:iCs/>
              </w:rPr>
              <w:t>Reduction Measures:</w:t>
            </w:r>
          </w:p>
          <w:p w14:paraId="44813928" w14:textId="230FFD67" w:rsidR="0008297D" w:rsidRPr="0008297D" w:rsidRDefault="0008297D" w:rsidP="00795839">
            <w:pPr>
              <w:ind w:left="611" w:hanging="540"/>
            </w:pPr>
            <w:r w:rsidRPr="0008297D">
              <w:t xml:space="preserve">R-01. Residential Heat Pump or High-Efficiency A/C Retrofits and Commissioning. </w:t>
            </w:r>
          </w:p>
          <w:p w14:paraId="2C7A8774" w14:textId="7C63FDE4" w:rsidR="0008297D" w:rsidRPr="0008297D" w:rsidRDefault="0008297D" w:rsidP="00795839">
            <w:pPr>
              <w:ind w:left="71"/>
            </w:pPr>
            <w:r w:rsidRPr="0008297D">
              <w:t xml:space="preserve">R-03. Residential LED Lighting. </w:t>
            </w:r>
          </w:p>
          <w:p w14:paraId="73AB3166" w14:textId="1A34F33C" w:rsidR="0008297D" w:rsidRPr="0008297D" w:rsidRDefault="0008297D" w:rsidP="00795839">
            <w:pPr>
              <w:ind w:left="611" w:hanging="540"/>
            </w:pPr>
            <w:r w:rsidRPr="0008297D">
              <w:t xml:space="preserve">R-04. Residential Enclosure Upgrades (with roof assessment). </w:t>
            </w:r>
          </w:p>
          <w:p w14:paraId="0993021B" w14:textId="5254CC78" w:rsidR="0008297D" w:rsidRPr="0008297D" w:rsidRDefault="0008297D" w:rsidP="00795839">
            <w:pPr>
              <w:ind w:left="611" w:hanging="540"/>
            </w:pPr>
            <w:r w:rsidRPr="0008297D">
              <w:t xml:space="preserve">R-05. Residential Window, Door, and Skylight Replacement with Assessment. </w:t>
            </w:r>
          </w:p>
          <w:p w14:paraId="67C47696" w14:textId="75477B5E" w:rsidR="0008297D" w:rsidRPr="0008297D" w:rsidRDefault="0008297D" w:rsidP="00795839">
            <w:pPr>
              <w:ind w:left="611" w:hanging="540"/>
            </w:pPr>
            <w:r w:rsidRPr="0008297D">
              <w:t xml:space="preserve">R-06. Residential Efficient Appliances and Plug Load Management. </w:t>
            </w:r>
          </w:p>
          <w:p w14:paraId="77063BD8" w14:textId="0D82FD98" w:rsidR="0008297D" w:rsidRPr="0008297D" w:rsidRDefault="0008297D" w:rsidP="00795839">
            <w:pPr>
              <w:ind w:left="71"/>
            </w:pPr>
            <w:r w:rsidRPr="0008297D">
              <w:t xml:space="preserve">R-07. Domestic Heat Pump for Hot Water. </w:t>
            </w:r>
          </w:p>
          <w:p w14:paraId="4532C820" w14:textId="7124028E" w:rsidR="0008297D" w:rsidRPr="0008297D" w:rsidRDefault="0008297D" w:rsidP="00795839">
            <w:pPr>
              <w:ind w:left="71"/>
            </w:pPr>
            <w:r w:rsidRPr="0008297D">
              <w:t xml:space="preserve">R-09. Residential Smart Thermostats. </w:t>
            </w:r>
          </w:p>
          <w:p w14:paraId="786ECFD6" w14:textId="77777777" w:rsidR="0008297D" w:rsidRDefault="0008297D" w:rsidP="00795839">
            <w:pPr>
              <w:rPr>
                <w:i/>
                <w:iCs/>
              </w:rPr>
            </w:pPr>
          </w:p>
          <w:p w14:paraId="7AF824C9" w14:textId="6BC81E72" w:rsidR="00EF3626" w:rsidRPr="00A4016B" w:rsidRDefault="000F4910" w:rsidP="00795839">
            <w:pPr>
              <w:rPr>
                <w:i/>
                <w:iCs/>
              </w:rPr>
            </w:pPr>
            <w:r>
              <w:rPr>
                <w:i/>
                <w:iCs/>
              </w:rPr>
              <w:t>MSA p</w:t>
            </w:r>
            <w:r w:rsidR="00EF3626" w:rsidRPr="00A4016B">
              <w:rPr>
                <w:i/>
                <w:iCs/>
              </w:rPr>
              <w:t>otential GHG (MTCO2</w:t>
            </w:r>
            <w:r w:rsidR="001E601C">
              <w:rPr>
                <w:i/>
                <w:iCs/>
              </w:rPr>
              <w:t>e</w:t>
            </w:r>
            <w:r w:rsidR="00EF3626" w:rsidRPr="00A4016B">
              <w:rPr>
                <w:i/>
                <w:iCs/>
              </w:rPr>
              <w:t>) reduction from business-as-usual (BAU) projection:</w:t>
            </w:r>
          </w:p>
          <w:p w14:paraId="1CA82297" w14:textId="77777777" w:rsidR="00EF3626" w:rsidRDefault="00EF3626" w:rsidP="00795839">
            <w:pPr>
              <w:ind w:left="71"/>
            </w:pPr>
            <w:r w:rsidRPr="001F5903">
              <w:t>2030 Residential BAU Baseline</w:t>
            </w:r>
            <w:r>
              <w:t xml:space="preserve"> -</w:t>
            </w:r>
            <w:r w:rsidRPr="001F5903">
              <w:t xml:space="preserve"> 6,681,538</w:t>
            </w:r>
          </w:p>
          <w:p w14:paraId="7943C029" w14:textId="77777777" w:rsidR="00EF3626" w:rsidRDefault="00EF3626" w:rsidP="00795839">
            <w:pPr>
              <w:ind w:left="71"/>
            </w:pPr>
            <w:r w:rsidRPr="001F5903">
              <w:t>Year 2030 Reduction vs BAU</w:t>
            </w:r>
            <w:r>
              <w:t xml:space="preserve"> - </w:t>
            </w:r>
            <w:r w:rsidRPr="001F5903">
              <w:t>805,853</w:t>
            </w:r>
          </w:p>
          <w:p w14:paraId="372FE5C6" w14:textId="77777777" w:rsidR="00EF3626" w:rsidRDefault="00EF3626" w:rsidP="00795839">
            <w:pPr>
              <w:ind w:left="71"/>
            </w:pPr>
            <w:r w:rsidRPr="001F5903">
              <w:t>Year 2050 Reduction vs BAU</w:t>
            </w:r>
            <w:r>
              <w:t xml:space="preserve"> - </w:t>
            </w:r>
            <w:r w:rsidRPr="001F5903">
              <w:t>536,032</w:t>
            </w:r>
          </w:p>
          <w:p w14:paraId="438EA097" w14:textId="77777777" w:rsidR="00EF3626" w:rsidRDefault="00EF3626" w:rsidP="00795839"/>
          <w:p w14:paraId="2D4A38F1" w14:textId="77777777" w:rsidR="0082063D" w:rsidRDefault="00EF3626" w:rsidP="00795839">
            <w:r w:rsidRPr="00A4016B">
              <w:rPr>
                <w:i/>
                <w:iCs/>
              </w:rPr>
              <w:t>Implementation Schedule and Milestones:</w:t>
            </w:r>
            <w:r>
              <w:t xml:space="preserve">  </w:t>
            </w:r>
          </w:p>
          <w:p w14:paraId="51B39B85" w14:textId="7D72844B" w:rsidR="00EF3626" w:rsidRDefault="00EF3626" w:rsidP="00795839">
            <w:pPr>
              <w:ind w:left="161"/>
            </w:pPr>
            <w:r>
              <w:t>Through 2030</w:t>
            </w:r>
          </w:p>
          <w:p w14:paraId="72620EE9" w14:textId="77777777" w:rsidR="00EF3626" w:rsidRDefault="00EF3626" w:rsidP="00795839"/>
          <w:p w14:paraId="36E2F96E" w14:textId="77777777" w:rsidR="00EF3626" w:rsidRPr="001F0F72" w:rsidRDefault="00EF3626" w:rsidP="00795839">
            <w:pPr>
              <w:rPr>
                <w:i/>
                <w:iCs/>
              </w:rPr>
            </w:pPr>
            <w:r w:rsidRPr="001F0F72">
              <w:rPr>
                <w:i/>
                <w:iCs/>
              </w:rPr>
              <w:t>Metrics for Tracking Progress:</w:t>
            </w:r>
          </w:p>
          <w:p w14:paraId="3C87C34F" w14:textId="77777777" w:rsidR="00EF3626" w:rsidRDefault="00EF3626" w:rsidP="00356418">
            <w:pPr>
              <w:pStyle w:val="ListParagraph"/>
              <w:numPr>
                <w:ilvl w:val="0"/>
                <w:numId w:val="2"/>
              </w:numPr>
              <w:ind w:left="720" w:hanging="360"/>
            </w:pPr>
            <w:r>
              <w:t xml:space="preserve">Number and efficiency of residential energy efficiency upgrades </w:t>
            </w:r>
          </w:p>
          <w:p w14:paraId="3DD159D8" w14:textId="77777777" w:rsidR="00EF3626" w:rsidRDefault="00EF3626" w:rsidP="00356418">
            <w:pPr>
              <w:pStyle w:val="ListParagraph"/>
              <w:numPr>
                <w:ilvl w:val="0"/>
                <w:numId w:val="2"/>
              </w:numPr>
              <w:ind w:left="720" w:hanging="360"/>
            </w:pPr>
            <w:r>
              <w:t xml:space="preserve">Megawatt-hours (MWh) electricity consumption reduced </w:t>
            </w:r>
          </w:p>
          <w:p w14:paraId="54E9BA18" w14:textId="44D86CC3" w:rsidR="00EF3626" w:rsidRPr="00EF3626" w:rsidRDefault="00EF3626" w:rsidP="00356418">
            <w:pPr>
              <w:pStyle w:val="ListParagraph"/>
              <w:numPr>
                <w:ilvl w:val="0"/>
                <w:numId w:val="2"/>
              </w:numPr>
              <w:ind w:left="720" w:hanging="360"/>
            </w:pPr>
            <w:r>
              <w:t>Grid emission factors</w:t>
            </w:r>
          </w:p>
        </w:tc>
        <w:tc>
          <w:tcPr>
            <w:tcW w:w="5040" w:type="dxa"/>
            <w:shd w:val="clear" w:color="auto" w:fill="F2CEED" w:themeFill="accent5" w:themeFillTint="33"/>
          </w:tcPr>
          <w:p w14:paraId="0A01C860" w14:textId="77777777" w:rsidR="00EF3626" w:rsidRDefault="00EF3626" w:rsidP="00795839">
            <w:pPr>
              <w:rPr>
                <w:i/>
                <w:iCs/>
              </w:rPr>
            </w:pPr>
          </w:p>
          <w:p w14:paraId="67DF88E6" w14:textId="40FEE624" w:rsidR="0008297D" w:rsidRPr="0008297D" w:rsidRDefault="00BD377E" w:rsidP="00795839">
            <w:pPr>
              <w:rPr>
                <w:i/>
                <w:iCs/>
              </w:rPr>
            </w:pPr>
            <w:r>
              <w:rPr>
                <w:i/>
                <w:iCs/>
              </w:rPr>
              <w:t xml:space="preserve">GHG </w:t>
            </w:r>
            <w:r w:rsidR="0008297D" w:rsidRPr="0008297D">
              <w:rPr>
                <w:i/>
                <w:iCs/>
              </w:rPr>
              <w:t>Reduction Measures:</w:t>
            </w:r>
          </w:p>
          <w:p w14:paraId="1C8DA194" w14:textId="7AA20D73" w:rsidR="0008297D" w:rsidRPr="0008297D" w:rsidRDefault="0008297D" w:rsidP="00795839">
            <w:pPr>
              <w:widowControl/>
              <w:adjustRightInd w:val="0"/>
              <w:ind w:left="168"/>
              <w:rPr>
                <w:rFonts w:eastAsiaTheme="minorHAnsi"/>
                <w:lang w:bidi="ar-SA"/>
                <w14:ligatures w14:val="standardContextual"/>
              </w:rPr>
            </w:pPr>
            <w:r w:rsidRPr="0008297D">
              <w:rPr>
                <w:rFonts w:eastAsiaTheme="minorHAnsi"/>
                <w:lang w:bidi="ar-SA"/>
                <w14:ligatures w14:val="standardContextual"/>
              </w:rPr>
              <w:t xml:space="preserve">R-02. Solar Photovoltaics (PV). </w:t>
            </w:r>
          </w:p>
          <w:p w14:paraId="31349DD7" w14:textId="31649482" w:rsidR="0008297D" w:rsidRPr="0008297D" w:rsidRDefault="0008297D" w:rsidP="00795839">
            <w:pPr>
              <w:ind w:left="168"/>
            </w:pPr>
            <w:r w:rsidRPr="0008297D">
              <w:rPr>
                <w:rFonts w:eastAsiaTheme="minorHAnsi"/>
                <w:lang w:bidi="ar-SA"/>
                <w14:ligatures w14:val="standardContextual"/>
              </w:rPr>
              <w:t xml:space="preserve">R-08. </w:t>
            </w:r>
            <w:r w:rsidRPr="0008297D">
              <w:rPr>
                <w:rFonts w:eastAsiaTheme="minorHAnsi"/>
                <w:color w:val="000000"/>
                <w:lang w:bidi="ar-SA"/>
                <w14:ligatures w14:val="standardContextual"/>
              </w:rPr>
              <w:t xml:space="preserve">Domestic Solar Hot Water Heater. </w:t>
            </w:r>
          </w:p>
          <w:p w14:paraId="4582C7CA" w14:textId="77777777" w:rsidR="0008297D" w:rsidRDefault="0008297D" w:rsidP="00795839">
            <w:pPr>
              <w:rPr>
                <w:i/>
                <w:iCs/>
              </w:rPr>
            </w:pPr>
          </w:p>
          <w:p w14:paraId="7E4159AD" w14:textId="77777777" w:rsidR="006C6925" w:rsidRDefault="006C6925" w:rsidP="00795839">
            <w:pPr>
              <w:rPr>
                <w:i/>
                <w:iCs/>
              </w:rPr>
            </w:pPr>
          </w:p>
          <w:p w14:paraId="043FB71A" w14:textId="77777777" w:rsidR="006C6925" w:rsidRDefault="006C6925" w:rsidP="00795839">
            <w:pPr>
              <w:rPr>
                <w:i/>
                <w:iCs/>
              </w:rPr>
            </w:pPr>
          </w:p>
          <w:p w14:paraId="4D11D720" w14:textId="77777777" w:rsidR="006C6925" w:rsidRDefault="006C6925" w:rsidP="00795839">
            <w:pPr>
              <w:rPr>
                <w:i/>
                <w:iCs/>
              </w:rPr>
            </w:pPr>
          </w:p>
          <w:p w14:paraId="27B6BBE9" w14:textId="77777777" w:rsidR="006C6925" w:rsidRDefault="006C6925" w:rsidP="00795839">
            <w:pPr>
              <w:rPr>
                <w:i/>
                <w:iCs/>
              </w:rPr>
            </w:pPr>
          </w:p>
          <w:p w14:paraId="2D479729" w14:textId="77777777" w:rsidR="006C6925" w:rsidRDefault="006C6925" w:rsidP="00795839">
            <w:pPr>
              <w:rPr>
                <w:i/>
                <w:iCs/>
              </w:rPr>
            </w:pPr>
          </w:p>
          <w:p w14:paraId="5279BE38" w14:textId="77777777" w:rsidR="006C6925" w:rsidRDefault="006C6925" w:rsidP="00795839">
            <w:pPr>
              <w:rPr>
                <w:i/>
                <w:iCs/>
              </w:rPr>
            </w:pPr>
          </w:p>
          <w:p w14:paraId="7FC71AA1" w14:textId="77777777" w:rsidR="006C6925" w:rsidRDefault="006C6925" w:rsidP="00795839">
            <w:pPr>
              <w:rPr>
                <w:i/>
                <w:iCs/>
              </w:rPr>
            </w:pPr>
          </w:p>
          <w:p w14:paraId="2FB8DB31" w14:textId="77777777" w:rsidR="006C6925" w:rsidRDefault="006C6925" w:rsidP="00795839">
            <w:pPr>
              <w:rPr>
                <w:i/>
                <w:iCs/>
              </w:rPr>
            </w:pPr>
          </w:p>
          <w:p w14:paraId="47354985" w14:textId="77777777" w:rsidR="006C6925" w:rsidRDefault="006C6925" w:rsidP="00795839">
            <w:pPr>
              <w:rPr>
                <w:i/>
                <w:iCs/>
              </w:rPr>
            </w:pPr>
          </w:p>
          <w:p w14:paraId="04A44C2D" w14:textId="6F9DB4A2" w:rsidR="00EF3626" w:rsidRPr="00A4016B" w:rsidRDefault="000F4910" w:rsidP="00795839">
            <w:pPr>
              <w:rPr>
                <w:i/>
                <w:iCs/>
              </w:rPr>
            </w:pPr>
            <w:r>
              <w:rPr>
                <w:i/>
                <w:iCs/>
              </w:rPr>
              <w:t>MSA p</w:t>
            </w:r>
            <w:r w:rsidR="00EF3626" w:rsidRPr="00A4016B">
              <w:rPr>
                <w:i/>
                <w:iCs/>
              </w:rPr>
              <w:t>otential GHG (MTCO2</w:t>
            </w:r>
            <w:r w:rsidR="001E601C">
              <w:rPr>
                <w:i/>
                <w:iCs/>
              </w:rPr>
              <w:t>e</w:t>
            </w:r>
            <w:r w:rsidR="00EF3626" w:rsidRPr="00A4016B">
              <w:rPr>
                <w:i/>
                <w:iCs/>
              </w:rPr>
              <w:t>) reduction from business-as-usual (BAU) projection:</w:t>
            </w:r>
          </w:p>
          <w:p w14:paraId="2E0AFDDD" w14:textId="77777777" w:rsidR="00EF3626" w:rsidRDefault="00EF3626" w:rsidP="00795839">
            <w:pPr>
              <w:ind w:left="168"/>
            </w:pPr>
            <w:r w:rsidRPr="001F5903">
              <w:t>2030 Residential BAU Baseline</w:t>
            </w:r>
            <w:r>
              <w:t xml:space="preserve"> -</w:t>
            </w:r>
            <w:r w:rsidRPr="001F5903">
              <w:t xml:space="preserve"> </w:t>
            </w:r>
            <w:r w:rsidRPr="00FB4F3C">
              <w:t>6,681,538</w:t>
            </w:r>
          </w:p>
          <w:p w14:paraId="76B9E4DE" w14:textId="77777777" w:rsidR="00EF3626" w:rsidRDefault="00EF3626" w:rsidP="00795839">
            <w:pPr>
              <w:ind w:left="168"/>
            </w:pPr>
            <w:r w:rsidRPr="001F5903">
              <w:t>Year 2030 Reduction vs BAU</w:t>
            </w:r>
            <w:r>
              <w:t xml:space="preserve"> - </w:t>
            </w:r>
            <w:r w:rsidRPr="00452EDB">
              <w:t>750,063</w:t>
            </w:r>
          </w:p>
          <w:p w14:paraId="548E13D4" w14:textId="77777777" w:rsidR="00EF3626" w:rsidRDefault="00EF3626" w:rsidP="00795839">
            <w:pPr>
              <w:ind w:left="168"/>
            </w:pPr>
            <w:r w:rsidRPr="001F5903">
              <w:t>Year 2050 Reduction vs BAU</w:t>
            </w:r>
            <w:r>
              <w:t xml:space="preserve"> - </w:t>
            </w:r>
            <w:r w:rsidRPr="009E05EB">
              <w:t>493,401</w:t>
            </w:r>
          </w:p>
          <w:p w14:paraId="699B9D88" w14:textId="77777777" w:rsidR="00EF3626" w:rsidRDefault="00EF3626" w:rsidP="00795839"/>
          <w:p w14:paraId="5DFF773A" w14:textId="77777777" w:rsidR="00615561" w:rsidRDefault="00EF3626" w:rsidP="00795839">
            <w:pPr>
              <w:widowControl/>
              <w:adjustRightInd w:val="0"/>
            </w:pPr>
            <w:r w:rsidRPr="00A4016B">
              <w:rPr>
                <w:i/>
                <w:iCs/>
              </w:rPr>
              <w:t>Implementation Schedule and Milestones:</w:t>
            </w:r>
            <w:r>
              <w:t xml:space="preserve">  </w:t>
            </w:r>
          </w:p>
          <w:p w14:paraId="11F74B5E" w14:textId="5D2E8DB6" w:rsidR="00EF3626" w:rsidRDefault="00EF3626" w:rsidP="00795839">
            <w:pPr>
              <w:widowControl/>
              <w:adjustRightInd w:val="0"/>
              <w:ind w:left="168"/>
            </w:pPr>
            <w:r>
              <w:t>Through 2030</w:t>
            </w:r>
          </w:p>
          <w:p w14:paraId="57130A46" w14:textId="77777777" w:rsidR="00EF3626" w:rsidRDefault="00EF3626" w:rsidP="00795839">
            <w:pPr>
              <w:widowControl/>
              <w:adjustRightInd w:val="0"/>
            </w:pPr>
          </w:p>
          <w:p w14:paraId="107DF0F4" w14:textId="77777777" w:rsidR="00EF3626" w:rsidRPr="001F0F72" w:rsidRDefault="00EF3626" w:rsidP="00795839">
            <w:pPr>
              <w:rPr>
                <w:i/>
                <w:iCs/>
              </w:rPr>
            </w:pPr>
            <w:r w:rsidRPr="001F0F72">
              <w:rPr>
                <w:i/>
                <w:iCs/>
              </w:rPr>
              <w:t>Metrics for Tracking Progress:</w:t>
            </w:r>
          </w:p>
          <w:p w14:paraId="4A918C18" w14:textId="77777777" w:rsidR="00EF3626" w:rsidRDefault="00EF3626" w:rsidP="00356418">
            <w:pPr>
              <w:pStyle w:val="ListParagraph"/>
              <w:widowControl/>
              <w:numPr>
                <w:ilvl w:val="0"/>
                <w:numId w:val="1"/>
              </w:numPr>
              <w:adjustRightInd w:val="0"/>
            </w:pPr>
            <w:r>
              <w:t>Megawatts (MW) of Solar Photovoltaics Installed</w:t>
            </w:r>
          </w:p>
          <w:p w14:paraId="4CB84B30" w14:textId="77777777" w:rsidR="00EF3626" w:rsidRDefault="00EF3626" w:rsidP="00356418">
            <w:pPr>
              <w:pStyle w:val="ListParagraph"/>
              <w:widowControl/>
              <w:numPr>
                <w:ilvl w:val="0"/>
                <w:numId w:val="1"/>
              </w:numPr>
              <w:adjustRightInd w:val="0"/>
            </w:pPr>
            <w:r>
              <w:t>Kilowatts (KW) of Solar Hot Water Heater Installed</w:t>
            </w:r>
          </w:p>
          <w:p w14:paraId="25951F76" w14:textId="77777777" w:rsidR="00EF3626" w:rsidRDefault="00EF3626" w:rsidP="00795839">
            <w:pPr>
              <w:rPr>
                <w:b/>
                <w:bCs/>
              </w:rPr>
            </w:pPr>
          </w:p>
        </w:tc>
      </w:tr>
    </w:tbl>
    <w:p w14:paraId="643432A9" w14:textId="0643D12C" w:rsidR="00661ADA" w:rsidRDefault="00661ADA" w:rsidP="00327BEC">
      <w:pPr>
        <w:pStyle w:val="Heading4"/>
      </w:pPr>
      <w:r>
        <w:lastRenderedPageBreak/>
        <w:t>City of Miami</w:t>
      </w:r>
      <w:r w:rsidR="00A3729B">
        <w:t xml:space="preserve"> </w:t>
      </w:r>
      <w:r w:rsidR="00734FD1">
        <w:t>Greenhouse Gas (</w:t>
      </w:r>
      <w:r w:rsidR="00BD377E">
        <w:t>GHG</w:t>
      </w:r>
      <w:r w:rsidR="00734FD1">
        <w:t>)</w:t>
      </w:r>
      <w:r w:rsidR="00BD377E">
        <w:t xml:space="preserve"> </w:t>
      </w:r>
      <w:r w:rsidR="00177358">
        <w:t xml:space="preserve">Reduction </w:t>
      </w:r>
      <w:r w:rsidR="00A3729B">
        <w:t>Measures &amp;</w:t>
      </w:r>
      <w:r>
        <w:t xml:space="preserve"> Program Implementation</w:t>
      </w:r>
    </w:p>
    <w:p w14:paraId="5263D3F2" w14:textId="286B09B0" w:rsidR="00177358" w:rsidRDefault="00BD377E" w:rsidP="00177358">
      <w:pPr>
        <w:pStyle w:val="Heading5"/>
      </w:pPr>
      <w:r>
        <w:t xml:space="preserve">GHG </w:t>
      </w:r>
      <w:r w:rsidR="00177358">
        <w:t>Reduction Measures</w:t>
      </w:r>
    </w:p>
    <w:p w14:paraId="29840812" w14:textId="3060EFBE" w:rsidR="00661ADA" w:rsidRPr="00177358" w:rsidRDefault="00BD377E" w:rsidP="000018B6">
      <w:r>
        <w:t xml:space="preserve">GHG </w:t>
      </w:r>
      <w:r w:rsidR="00661ADA" w:rsidRPr="00177358">
        <w:t xml:space="preserve">Reduction Measures </w:t>
      </w:r>
      <w:r w:rsidR="00756AD1">
        <w:t xml:space="preserve">that will be </w:t>
      </w:r>
      <w:r w:rsidR="00AA383B">
        <w:t>implemented</w:t>
      </w:r>
      <w:r w:rsidR="00756AD1">
        <w:t xml:space="preserve"> in Miami </w:t>
      </w:r>
      <w:r w:rsidR="00661ADA" w:rsidRPr="00177358">
        <w:t>will include</w:t>
      </w:r>
      <w:r w:rsidR="008C1AB8">
        <w:t xml:space="preserve"> </w:t>
      </w:r>
      <w:r w:rsidR="00E029E0">
        <w:t xml:space="preserve">the residential measures within </w:t>
      </w:r>
      <w:r w:rsidR="008C1AB8">
        <w:t xml:space="preserve">Measure #6 and Measure #7. These measures </w:t>
      </w:r>
      <w:r w:rsidR="00481021">
        <w:t>are for the Building sector, one of the top</w:t>
      </w:r>
      <w:r w:rsidR="008C1AB8">
        <w:t xml:space="preserve"> three </w:t>
      </w:r>
      <w:r>
        <w:t xml:space="preserve">GHG </w:t>
      </w:r>
      <w:r w:rsidR="008C1AB8">
        <w:t>emission sectors</w:t>
      </w:r>
      <w:r w:rsidR="00481021">
        <w:t>,</w:t>
      </w:r>
      <w:r w:rsidR="008C1AB8">
        <w:t xml:space="preserve"> and focus on measures that achieve significant </w:t>
      </w:r>
      <w:r>
        <w:t xml:space="preserve">GHG </w:t>
      </w:r>
      <w:r w:rsidR="008C1AB8">
        <w:t>reductions while considering other relevant planning goals (e.g., benefits to LIDACs, air pollution benefits, and other co-benefits)</w:t>
      </w:r>
      <w:r w:rsidR="00481021">
        <w:t>.</w:t>
      </w:r>
    </w:p>
    <w:p w14:paraId="49365DE6" w14:textId="77777777" w:rsidR="00661ADA" w:rsidRDefault="00661ADA" w:rsidP="000018B6"/>
    <w:p w14:paraId="5C136C6F" w14:textId="3D209017" w:rsidR="002177B7" w:rsidRPr="0052116C" w:rsidRDefault="002177B7" w:rsidP="000018B6">
      <w:pPr>
        <w:rPr>
          <w:b/>
          <w:bCs/>
          <w:i/>
          <w:iCs/>
        </w:rPr>
      </w:pPr>
      <w:r w:rsidRPr="0052116C">
        <w:rPr>
          <w:b/>
          <w:bCs/>
          <w:i/>
          <w:iCs/>
        </w:rPr>
        <w:t>Description and Features of GHG Reduction Measures:</w:t>
      </w:r>
    </w:p>
    <w:p w14:paraId="45BD25B5" w14:textId="40E04B0E" w:rsidR="00661ADA" w:rsidRDefault="00756AD1" w:rsidP="000018B6">
      <w:r w:rsidRPr="00B36BA5">
        <w:rPr>
          <w:b/>
          <w:bCs/>
          <w:u w:val="single"/>
        </w:rPr>
        <w:t>Measure #6:</w:t>
      </w:r>
      <w:r w:rsidR="008C1AB8">
        <w:rPr>
          <w:b/>
          <w:bCs/>
          <w:u w:val="single"/>
        </w:rPr>
        <w:t xml:space="preserve"> </w:t>
      </w:r>
      <w:r w:rsidR="008C1AB8" w:rsidRPr="00B36BA5">
        <w:rPr>
          <w:b/>
          <w:bCs/>
          <w:u w:val="single"/>
        </w:rPr>
        <w:t>Residential Energy Efficiency</w:t>
      </w:r>
      <w:r>
        <w:t xml:space="preserve"> </w:t>
      </w:r>
      <w:r w:rsidR="00661ADA">
        <w:t>For Measure #6, r</w:t>
      </w:r>
      <w:r w:rsidR="00661ADA" w:rsidRPr="001F5903">
        <w:t>esidential measures R-01, R-03, R-06, R-07, and R-09 address decarbonization through the implementation of newer technology for heating and cooling systems, domestic hot water heating, smart appliances, and controls for more efficient energy performance in the residential context. Residential measures R-04 and R-05 assess and recommend improvements for the building enclosure, windows, doors, and skylights to reduce cooling and heating loads for the building.</w:t>
      </w:r>
      <w:r w:rsidR="006A6530">
        <w:t xml:space="preserve"> </w:t>
      </w:r>
      <w:r w:rsidR="00EE27A4">
        <w:t xml:space="preserve">These measures were chosen as a priority to reduce </w:t>
      </w:r>
      <w:r w:rsidR="00BD377E">
        <w:t xml:space="preserve">GHG </w:t>
      </w:r>
      <w:r w:rsidR="00EE27A4">
        <w:t>emissions</w:t>
      </w:r>
      <w:r w:rsidR="00515925">
        <w:t xml:space="preserve"> that can be achievable by both homeowners and renters within the City. </w:t>
      </w:r>
      <w:r w:rsidR="00EE27A4">
        <w:t xml:space="preserve"> </w:t>
      </w:r>
      <w:r w:rsidR="006A6530">
        <w:t xml:space="preserve">These </w:t>
      </w:r>
      <w:r w:rsidR="00BD377E">
        <w:t xml:space="preserve">GHG </w:t>
      </w:r>
      <w:r w:rsidR="006A6530">
        <w:t xml:space="preserve">Reduction Measures are: </w:t>
      </w:r>
    </w:p>
    <w:p w14:paraId="045C72D7" w14:textId="77777777" w:rsidR="00661ADA" w:rsidRDefault="00661ADA" w:rsidP="000018B6">
      <w:pPr>
        <w:ind w:left="360"/>
      </w:pPr>
      <w:r w:rsidRPr="00FA4F03">
        <w:rPr>
          <w:b/>
          <w:bCs/>
          <w:i/>
          <w:iCs/>
        </w:rPr>
        <w:t>R-01. Residential Heat Pump or High-Efficiency A/C Retrofits and Commissioning.</w:t>
      </w:r>
      <w:r>
        <w:t xml:space="preserve"> Replace old A/C technology with a heat pump or high-efficiency A/C coupled with the commissioning of the equipment.</w:t>
      </w:r>
    </w:p>
    <w:p w14:paraId="69AE4CAA" w14:textId="77777777" w:rsidR="00661ADA" w:rsidRDefault="00661ADA" w:rsidP="000018B6">
      <w:pPr>
        <w:ind w:left="360"/>
      </w:pPr>
      <w:r w:rsidRPr="00FA4F03">
        <w:rPr>
          <w:b/>
          <w:bCs/>
          <w:i/>
          <w:iCs/>
        </w:rPr>
        <w:t>R-03. Residential LED Lighting.</w:t>
      </w:r>
      <w:r>
        <w:t xml:space="preserve"> Install LEDs or more efficacious lamps that are energy efficient while producing the same amount of illumination.</w:t>
      </w:r>
    </w:p>
    <w:p w14:paraId="5EBFF630" w14:textId="6B7D671B" w:rsidR="00661ADA" w:rsidRDefault="00661ADA" w:rsidP="000018B6">
      <w:pPr>
        <w:ind w:left="360"/>
      </w:pPr>
      <w:r w:rsidRPr="00FA4F03">
        <w:rPr>
          <w:b/>
          <w:bCs/>
          <w:i/>
          <w:iCs/>
        </w:rPr>
        <w:t>R-04. Residential Enclosure Upgrades (with roof assessment).</w:t>
      </w:r>
      <w:r>
        <w:t xml:space="preserve"> Improve the envelope efficiency by creating an airtight envelope for improved energy conservation and comfort. </w:t>
      </w:r>
      <w:r w:rsidR="00EC7F0E">
        <w:t>Can include lower-cost</w:t>
      </w:r>
      <w:r w:rsidR="00C72CE0">
        <w:t xml:space="preserve"> fixes such as weather-stripping</w:t>
      </w:r>
      <w:r w:rsidR="00BD0A97">
        <w:t xml:space="preserve"> doors and windows</w:t>
      </w:r>
      <w:r w:rsidR="00C72CE0">
        <w:t xml:space="preserve">, </w:t>
      </w:r>
      <w:r w:rsidR="00E042A9">
        <w:t>add</w:t>
      </w:r>
      <w:r w:rsidR="00D86576">
        <w:t>ing</w:t>
      </w:r>
      <w:r w:rsidR="001C0DB5">
        <w:t xml:space="preserve"> </w:t>
      </w:r>
      <w:r w:rsidR="008B3857">
        <w:t>insulation</w:t>
      </w:r>
      <w:r w:rsidR="001C0DB5">
        <w:t xml:space="preserve">, etc. </w:t>
      </w:r>
      <w:r>
        <w:t xml:space="preserve">Assess roof conditions for remaining useful life; and roof replacement </w:t>
      </w:r>
      <w:r w:rsidR="001C0DB5">
        <w:t xml:space="preserve">and truss replacement </w:t>
      </w:r>
      <w:r>
        <w:t>if warranted.</w:t>
      </w:r>
    </w:p>
    <w:p w14:paraId="055486E1" w14:textId="77777777" w:rsidR="00661ADA" w:rsidRDefault="00661ADA" w:rsidP="000018B6">
      <w:pPr>
        <w:ind w:left="360"/>
      </w:pPr>
      <w:r w:rsidRPr="00FA4F03">
        <w:rPr>
          <w:b/>
          <w:bCs/>
          <w:i/>
          <w:iCs/>
        </w:rPr>
        <w:t>R-05. Residential Window, Door, and Skylight Replacement with Assessment.</w:t>
      </w:r>
      <w:r>
        <w:t xml:space="preserve"> Replace window, door, and skylight to improve energy performance. Assess and evaluate window, door, and skylight conditions before replacement.</w:t>
      </w:r>
    </w:p>
    <w:p w14:paraId="16C70762" w14:textId="77777777" w:rsidR="00661ADA" w:rsidRDefault="00661ADA" w:rsidP="000018B6">
      <w:pPr>
        <w:ind w:left="360"/>
      </w:pPr>
      <w:r w:rsidRPr="00FA4F03">
        <w:rPr>
          <w:b/>
          <w:bCs/>
          <w:i/>
          <w:iCs/>
        </w:rPr>
        <w:t>R-06. Residential Efficient Appliances and Plug Load Management.</w:t>
      </w:r>
      <w:r>
        <w:t xml:space="preserve"> Install Energy Star or equivalent appliances to reduce energy consumption. Installing plug load controls allows for user-friendly control and reduced energy consumption.</w:t>
      </w:r>
    </w:p>
    <w:p w14:paraId="6C73036E" w14:textId="77777777" w:rsidR="00661ADA" w:rsidRDefault="00661ADA" w:rsidP="000018B6">
      <w:pPr>
        <w:ind w:left="360"/>
      </w:pPr>
      <w:r w:rsidRPr="00FA4F03">
        <w:rPr>
          <w:b/>
          <w:bCs/>
          <w:i/>
          <w:iCs/>
        </w:rPr>
        <w:t>R-07. Domestic Heat Pump for Hot Water.</w:t>
      </w:r>
      <w:r>
        <w:t xml:space="preserve"> Install an energy-efficient heat pump for domestic hot water.</w:t>
      </w:r>
    </w:p>
    <w:p w14:paraId="13578215" w14:textId="77777777" w:rsidR="00661ADA" w:rsidRDefault="00661ADA" w:rsidP="000018B6">
      <w:pPr>
        <w:ind w:left="360"/>
      </w:pPr>
      <w:r w:rsidRPr="00FA4F03">
        <w:rPr>
          <w:b/>
          <w:bCs/>
          <w:i/>
          <w:iCs/>
        </w:rPr>
        <w:t>R-09. Residential Smart Thermostats.</w:t>
      </w:r>
      <w:r>
        <w:t xml:space="preserve"> Install smart thermostats to optimize heating, cooling, and preferences to increase energy efficiency, comfort, and ease of use.</w:t>
      </w:r>
    </w:p>
    <w:p w14:paraId="1F26217E" w14:textId="77777777" w:rsidR="00661ADA" w:rsidRDefault="00661ADA" w:rsidP="000018B6">
      <w:pPr>
        <w:rPr>
          <w:b/>
          <w:bCs/>
        </w:rPr>
      </w:pPr>
    </w:p>
    <w:p w14:paraId="14DFABA7" w14:textId="255A3362" w:rsidR="00661ADA" w:rsidRPr="008C1AB8" w:rsidRDefault="00756AD1" w:rsidP="000018B6">
      <w:pPr>
        <w:rPr>
          <w:b/>
          <w:bCs/>
          <w:u w:val="single"/>
        </w:rPr>
      </w:pPr>
      <w:r w:rsidRPr="00B36BA5">
        <w:rPr>
          <w:b/>
          <w:bCs/>
          <w:u w:val="single"/>
        </w:rPr>
        <w:t>Measure #7:</w:t>
      </w:r>
      <w:r w:rsidR="008C1AB8">
        <w:rPr>
          <w:b/>
          <w:bCs/>
          <w:u w:val="single"/>
        </w:rPr>
        <w:t xml:space="preserve"> </w:t>
      </w:r>
      <w:r w:rsidR="008C1AB8" w:rsidRPr="00B36BA5">
        <w:rPr>
          <w:b/>
          <w:bCs/>
          <w:u w:val="single"/>
        </w:rPr>
        <w:t>Residential Renewable Energy</w:t>
      </w:r>
      <w:r>
        <w:t xml:space="preserve"> </w:t>
      </w:r>
      <w:r w:rsidR="00661ADA">
        <w:t xml:space="preserve">For Measure #7, </w:t>
      </w:r>
      <w:r w:rsidR="00661ADA">
        <w:rPr>
          <w:rFonts w:eastAsiaTheme="minorHAnsi"/>
          <w:color w:val="000000"/>
          <w:lang w:bidi="ar-SA"/>
          <w14:ligatures w14:val="standardContextual"/>
        </w:rPr>
        <w:t>r</w:t>
      </w:r>
      <w:r w:rsidR="00661ADA" w:rsidRPr="007F5E5C">
        <w:rPr>
          <w:rFonts w:eastAsiaTheme="minorHAnsi"/>
          <w:color w:val="000000"/>
          <w:lang w:bidi="ar-SA"/>
          <w14:ligatures w14:val="standardContextual"/>
        </w:rPr>
        <w:t xml:space="preserve">esidential measures R-02 and R-08 address decarbonization by integrating renewable energy provided by on-site photovoltaics and solar hot water systems. </w:t>
      </w:r>
      <w:r w:rsidR="006A6530">
        <w:t xml:space="preserve">These </w:t>
      </w:r>
      <w:r w:rsidR="00BD377E">
        <w:t xml:space="preserve">GHG </w:t>
      </w:r>
      <w:r w:rsidR="006A6530">
        <w:t>Reduction Measures are:</w:t>
      </w:r>
    </w:p>
    <w:p w14:paraId="63C8E714" w14:textId="77777777" w:rsidR="00661ADA" w:rsidRPr="00805CEB" w:rsidRDefault="00661ADA" w:rsidP="000018B6">
      <w:pPr>
        <w:widowControl/>
        <w:adjustRightInd w:val="0"/>
        <w:ind w:left="360"/>
        <w:rPr>
          <w:rFonts w:eastAsiaTheme="minorHAnsi"/>
          <w:lang w:bidi="ar-SA"/>
          <w14:ligatures w14:val="standardContextual"/>
        </w:rPr>
      </w:pPr>
      <w:r w:rsidRPr="00805CEB">
        <w:rPr>
          <w:rFonts w:eastAsiaTheme="minorHAnsi"/>
          <w:b/>
          <w:bCs/>
          <w:i/>
          <w:iCs/>
          <w:lang w:bidi="ar-SA"/>
          <w14:ligatures w14:val="standardContextual"/>
        </w:rPr>
        <w:t>R-02. Solar Photovoltaics (PV</w:t>
      </w:r>
      <w:r w:rsidRPr="00805CEB">
        <w:rPr>
          <w:rFonts w:eastAsiaTheme="minorHAnsi"/>
          <w:b/>
          <w:bCs/>
          <w:lang w:bidi="ar-SA"/>
          <w14:ligatures w14:val="standardContextual"/>
        </w:rPr>
        <w:t xml:space="preserve">). </w:t>
      </w:r>
      <w:r w:rsidRPr="00805CEB">
        <w:rPr>
          <w:rFonts w:eastAsiaTheme="minorHAnsi"/>
          <w:lang w:bidi="ar-SA"/>
          <w14:ligatures w14:val="standardContextual"/>
        </w:rPr>
        <w:t xml:space="preserve">Generate electricity from onsite solar PV panels for single, and multi-family projects (including rooftop, covered parking, sidewalks, floating, and ground mounted). </w:t>
      </w:r>
    </w:p>
    <w:p w14:paraId="2D55DA0F" w14:textId="77777777" w:rsidR="00661ADA" w:rsidRDefault="00661ADA" w:rsidP="000018B6">
      <w:pPr>
        <w:ind w:left="360"/>
      </w:pPr>
      <w:r w:rsidRPr="00805CEB">
        <w:rPr>
          <w:rFonts w:eastAsiaTheme="minorHAnsi"/>
          <w:b/>
          <w:bCs/>
          <w:i/>
          <w:iCs/>
          <w:lang w:bidi="ar-SA"/>
          <w14:ligatures w14:val="standardContextual"/>
        </w:rPr>
        <w:t xml:space="preserve">R-08. </w:t>
      </w:r>
      <w:r w:rsidRPr="00156332">
        <w:rPr>
          <w:rFonts w:eastAsiaTheme="minorHAnsi"/>
          <w:b/>
          <w:bCs/>
          <w:i/>
          <w:iCs/>
          <w:color w:val="000000"/>
          <w:lang w:bidi="ar-SA"/>
          <w14:ligatures w14:val="standardContextual"/>
        </w:rPr>
        <w:t>Domestic Solar Hot Water Heater.</w:t>
      </w:r>
      <w:r w:rsidRPr="00793CF4">
        <w:rPr>
          <w:rFonts w:eastAsiaTheme="minorHAnsi"/>
          <w:b/>
          <w:bCs/>
          <w:color w:val="000000"/>
          <w:lang w:bidi="ar-SA"/>
          <w14:ligatures w14:val="standardContextual"/>
        </w:rPr>
        <w:t xml:space="preserve"> </w:t>
      </w:r>
      <w:r w:rsidRPr="00793CF4">
        <w:rPr>
          <w:rFonts w:eastAsiaTheme="minorHAnsi"/>
          <w:color w:val="000000"/>
          <w:lang w:bidi="ar-SA"/>
          <w14:ligatures w14:val="standardContextual"/>
        </w:rPr>
        <w:t xml:space="preserve">Replace standard electric or gas domestic hot water systems with a solar water heater. </w:t>
      </w:r>
    </w:p>
    <w:p w14:paraId="519B4B96" w14:textId="77777777" w:rsidR="00661ADA" w:rsidRDefault="00661ADA" w:rsidP="000018B6"/>
    <w:p w14:paraId="4DAFA709" w14:textId="4DE2C21A" w:rsidR="00661ADA" w:rsidRDefault="00912CB8" w:rsidP="000018B6">
      <w:pPr>
        <w:pStyle w:val="Heading5"/>
        <w:spacing w:before="0" w:after="0"/>
      </w:pPr>
      <w:r>
        <w:t>Program Implementation</w:t>
      </w:r>
    </w:p>
    <w:p w14:paraId="57E170A6" w14:textId="41C63FD2" w:rsidR="0008270F" w:rsidRDefault="00661ADA" w:rsidP="000018B6">
      <w:r w:rsidRPr="00385350">
        <w:t xml:space="preserve">The City of Miami will implement these measures through </w:t>
      </w:r>
      <w:r>
        <w:t xml:space="preserve">a suite of Climate Ready </w:t>
      </w:r>
      <w:r w:rsidR="00754764">
        <w:t xml:space="preserve">Housing </w:t>
      </w:r>
      <w:r>
        <w:t xml:space="preserve">Programs that focus on reducing </w:t>
      </w:r>
      <w:r w:rsidR="00BD377E">
        <w:t xml:space="preserve">GHG </w:t>
      </w:r>
      <w:r>
        <w:t>emissions, utility bill costs, and rental or mortgage costs for renters and homeowners in multi-family units and single-family homes.</w:t>
      </w:r>
      <w:r w:rsidR="0060603B">
        <w:t xml:space="preserve"> The programs in th</w:t>
      </w:r>
      <w:r w:rsidR="00754764">
        <w:t xml:space="preserve">e </w:t>
      </w:r>
      <w:r w:rsidR="003C657F">
        <w:t>City of</w:t>
      </w:r>
      <w:r w:rsidR="00754764">
        <w:t xml:space="preserve"> Miami Climate Ready Housing </w:t>
      </w:r>
      <w:r w:rsidR="00735524">
        <w:t>P</w:t>
      </w:r>
      <w:r w:rsidR="0060603B">
        <w:t xml:space="preserve">rogram </w:t>
      </w:r>
      <w:r w:rsidR="00735524">
        <w:t>S</w:t>
      </w:r>
      <w:r w:rsidR="0060603B">
        <w:t xml:space="preserve">uite are programs that the City currently </w:t>
      </w:r>
      <w:r w:rsidR="003C01AA">
        <w:t xml:space="preserve">implements </w:t>
      </w:r>
      <w:r w:rsidR="00AA7EA7">
        <w:t xml:space="preserve">so </w:t>
      </w:r>
      <w:r w:rsidR="00735524">
        <w:t xml:space="preserve">are implementation-ready and </w:t>
      </w:r>
      <w:r w:rsidR="00AA7EA7">
        <w:t xml:space="preserve">will have little downtime to initiate with CPRG funding. Anticipated delays could arise from </w:t>
      </w:r>
      <w:r w:rsidR="00B72EDB">
        <w:t>contractor procurement</w:t>
      </w:r>
      <w:r w:rsidR="00AC0691">
        <w:t xml:space="preserve"> and hiring of </w:t>
      </w:r>
      <w:r w:rsidR="009D4C50">
        <w:t xml:space="preserve">City </w:t>
      </w:r>
      <w:r w:rsidR="00AC0691">
        <w:t xml:space="preserve">staff members. </w:t>
      </w:r>
      <w:r w:rsidR="0027096F">
        <w:t xml:space="preserve">These delays should not impact the </w:t>
      </w:r>
      <w:r w:rsidR="004E356C">
        <w:t xml:space="preserve">projected </w:t>
      </w:r>
      <w:r w:rsidR="00BD377E">
        <w:t xml:space="preserve">GHG </w:t>
      </w:r>
      <w:r w:rsidR="004E356C">
        <w:t xml:space="preserve">reductions as the implementation of the programs will begin in </w:t>
      </w:r>
      <w:r w:rsidR="00644EF7">
        <w:t xml:space="preserve">the first quarter of FY2025 and the </w:t>
      </w:r>
      <w:r w:rsidR="00A25A76">
        <w:t xml:space="preserve">contractor procurement and staff hiring are scheduled to occur earlier in FY2024. </w:t>
      </w:r>
      <w:r w:rsidR="00AC0691">
        <w:t xml:space="preserve">The City will </w:t>
      </w:r>
      <w:r w:rsidR="0037479E">
        <w:t xml:space="preserve">work diligently to prevent </w:t>
      </w:r>
      <w:r w:rsidR="008A27E0">
        <w:t xml:space="preserve">these challenges from occurring. </w:t>
      </w:r>
    </w:p>
    <w:p w14:paraId="14E81304" w14:textId="77777777" w:rsidR="0008270F" w:rsidRDefault="0008270F" w:rsidP="000018B6"/>
    <w:p w14:paraId="66A7F389" w14:textId="0BB40DB0" w:rsidR="00661ADA" w:rsidRPr="00385350" w:rsidRDefault="00661ADA" w:rsidP="000018B6">
      <w:r w:rsidRPr="00025442">
        <w:t>The</w:t>
      </w:r>
      <w:r>
        <w:t xml:space="preserve">se measures will </w:t>
      </w:r>
      <w:r w:rsidR="00225091">
        <w:t xml:space="preserve">significantly </w:t>
      </w:r>
      <w:r>
        <w:t>help the</w:t>
      </w:r>
      <w:r w:rsidRPr="00025442">
        <w:t xml:space="preserve"> City of Miami to achieve our goal to be carbon neutral by 2050, with an interim goal to reduce 60% of our 2018 emissions by 2035. As identified in both the </w:t>
      </w:r>
      <w:hyperlink r:id="rId17" w:history="1">
        <w:r w:rsidR="00AD4174" w:rsidRPr="0022290E">
          <w:rPr>
            <w:rStyle w:val="Hyperlink"/>
          </w:rPr>
          <w:t>Miami Forever Climate Ready Strategy</w:t>
        </w:r>
      </w:hyperlink>
      <w:r w:rsidRPr="00025442">
        <w:t xml:space="preserve"> (adaptation plan) and </w:t>
      </w:r>
      <w:hyperlink r:id="rId18" w:history="1">
        <w:r w:rsidR="00AD4174" w:rsidRPr="005D2060">
          <w:rPr>
            <w:rStyle w:val="Hyperlink"/>
          </w:rPr>
          <w:t>Miami Forever Carbon Neutral Plan</w:t>
        </w:r>
      </w:hyperlink>
      <w:r w:rsidR="00AD4174" w:rsidRPr="00025442">
        <w:t xml:space="preserve"> </w:t>
      </w:r>
      <w:r w:rsidRPr="00025442">
        <w:t>(mitigation plan), residential programs are needed to prepare for and prevent climate change.</w:t>
      </w:r>
    </w:p>
    <w:p w14:paraId="5436C4DB" w14:textId="77777777" w:rsidR="00661ADA" w:rsidRDefault="00661ADA" w:rsidP="000018B6">
      <w:pPr>
        <w:rPr>
          <w:b/>
          <w:bCs/>
        </w:rPr>
      </w:pPr>
    </w:p>
    <w:p w14:paraId="542AE996" w14:textId="00565F96" w:rsidR="00661ADA" w:rsidRDefault="00EC63B5" w:rsidP="000018B6">
      <w:pPr>
        <w:rPr>
          <w:b/>
          <w:bCs/>
        </w:rPr>
      </w:pPr>
      <w:r>
        <w:rPr>
          <w:b/>
          <w:bCs/>
        </w:rPr>
        <w:t xml:space="preserve">The City of Miami will implement the Greenhouse Reduction Measures through the </w:t>
      </w:r>
      <w:r w:rsidR="002D6B04">
        <w:rPr>
          <w:b/>
          <w:bCs/>
        </w:rPr>
        <w:t>“</w:t>
      </w:r>
      <w:r w:rsidR="003C657F">
        <w:rPr>
          <w:b/>
          <w:bCs/>
        </w:rPr>
        <w:t xml:space="preserve">City of </w:t>
      </w:r>
      <w:r w:rsidR="0096340A">
        <w:rPr>
          <w:b/>
          <w:bCs/>
        </w:rPr>
        <w:t xml:space="preserve">Miami </w:t>
      </w:r>
      <w:r w:rsidR="00661ADA" w:rsidRPr="00393D4D">
        <w:rPr>
          <w:b/>
          <w:bCs/>
        </w:rPr>
        <w:t xml:space="preserve">Climate Ready </w:t>
      </w:r>
      <w:r w:rsidR="00661ADA">
        <w:rPr>
          <w:b/>
          <w:bCs/>
        </w:rPr>
        <w:t>Housing</w:t>
      </w:r>
      <w:r w:rsidR="00661ADA" w:rsidRPr="00393D4D">
        <w:rPr>
          <w:b/>
          <w:bCs/>
        </w:rPr>
        <w:t xml:space="preserve"> Program</w:t>
      </w:r>
      <w:r w:rsidR="00661ADA">
        <w:rPr>
          <w:b/>
          <w:bCs/>
        </w:rPr>
        <w:t xml:space="preserve"> Suite</w:t>
      </w:r>
      <w:r w:rsidR="002D6B04">
        <w:rPr>
          <w:b/>
          <w:bCs/>
        </w:rPr>
        <w:t>.” This suite includes the following existing programs:</w:t>
      </w:r>
    </w:p>
    <w:p w14:paraId="0D500C24" w14:textId="77777777" w:rsidR="00661ADA" w:rsidRPr="00507E09" w:rsidRDefault="00661ADA" w:rsidP="00356418">
      <w:pPr>
        <w:pStyle w:val="ListParagraph"/>
        <w:numPr>
          <w:ilvl w:val="0"/>
          <w:numId w:val="1"/>
        </w:numPr>
      </w:pPr>
      <w:r w:rsidRPr="00507E09">
        <w:t>Keep Safe Miami Program (</w:t>
      </w:r>
      <w:r>
        <w:t xml:space="preserve">geared toward affordable &amp; resilient housing for </w:t>
      </w:r>
      <w:r w:rsidRPr="00507E09">
        <w:t>renters)</w:t>
      </w:r>
    </w:p>
    <w:p w14:paraId="52EE8317" w14:textId="77777777" w:rsidR="00661ADA" w:rsidRPr="00507E09" w:rsidRDefault="00661ADA" w:rsidP="00356418">
      <w:pPr>
        <w:pStyle w:val="ListParagraph"/>
        <w:numPr>
          <w:ilvl w:val="0"/>
          <w:numId w:val="1"/>
        </w:numPr>
      </w:pPr>
      <w:r w:rsidRPr="00507E09">
        <w:t>Homeowner Preservation Program (</w:t>
      </w:r>
      <w:r>
        <w:t xml:space="preserve">geared toward affordable &amp; resilient housing for </w:t>
      </w:r>
      <w:r w:rsidRPr="00507E09">
        <w:t>homeowners)</w:t>
      </w:r>
    </w:p>
    <w:p w14:paraId="2327E42C" w14:textId="77777777" w:rsidR="00661ADA" w:rsidRPr="00507E09" w:rsidRDefault="00661ADA" w:rsidP="00356418">
      <w:pPr>
        <w:pStyle w:val="ListParagraph"/>
        <w:numPr>
          <w:ilvl w:val="0"/>
          <w:numId w:val="1"/>
        </w:numPr>
      </w:pPr>
      <w:r w:rsidRPr="00507E09">
        <w:t>Miami Cools Program (</w:t>
      </w:r>
      <w:r>
        <w:t xml:space="preserve">geared toward low-cost resilient options to save utility bills for </w:t>
      </w:r>
      <w:r w:rsidRPr="00507E09">
        <w:t>renters and homeowners)</w:t>
      </w:r>
    </w:p>
    <w:p w14:paraId="4C692527" w14:textId="77777777" w:rsidR="00661ADA" w:rsidRDefault="00661ADA" w:rsidP="000018B6">
      <w:pPr>
        <w:rPr>
          <w:b/>
          <w:bCs/>
        </w:rPr>
      </w:pPr>
    </w:p>
    <w:p w14:paraId="78C339B5" w14:textId="77777777" w:rsidR="00661ADA" w:rsidRPr="00113B4C" w:rsidRDefault="00661ADA" w:rsidP="000018B6">
      <w:pPr>
        <w:rPr>
          <w:b/>
          <w:bCs/>
          <w:sz w:val="24"/>
          <w:szCs w:val="24"/>
        </w:rPr>
      </w:pPr>
      <w:r w:rsidRPr="00113B4C">
        <w:rPr>
          <w:b/>
          <w:bCs/>
          <w:sz w:val="24"/>
          <w:szCs w:val="24"/>
        </w:rPr>
        <w:t>Keep Safe Miami Program</w:t>
      </w:r>
    </w:p>
    <w:p w14:paraId="5A655F50" w14:textId="464D5125" w:rsidR="00C404D8" w:rsidRDefault="00661ADA" w:rsidP="000018B6">
      <w:r w:rsidRPr="003A1335">
        <w:t xml:space="preserve">The Keep Safe Miami program equips affordable housing owners and operators </w:t>
      </w:r>
      <w:r>
        <w:t xml:space="preserve">of multi-family rental unit buildings </w:t>
      </w:r>
      <w:r w:rsidRPr="003A1335">
        <w:t xml:space="preserve">with tools to assess their buildings' resilience to climate change and natural disasters, and provide them with actionable strategies and guidance on financing to address these vulnerabilities. </w:t>
      </w:r>
      <w:r>
        <w:t xml:space="preserve">The program allows the building to assess and mitigate risks to storms, flooding, and heat; improve energy and water efficiency, and increase the use of solar power at the building level. This enables the building owner/operator to identify measures that can be implemented to mitigate risks and reduce operational costs in order for affordable units to remain operational, reducing displacement and loss of use. Information from the </w:t>
      </w:r>
      <w:r w:rsidR="00E73385" w:rsidRPr="00B1037E">
        <w:rPr>
          <w:rFonts w:eastAsia="Times New Roman"/>
          <w:color w:val="000000"/>
          <w:lang w:bidi="ar-SA"/>
        </w:rPr>
        <w:t xml:space="preserve">energy resilience </w:t>
      </w:r>
      <w:r>
        <w:t xml:space="preserve">assessment includes evaluating the need for heat pumps, AC retrofits, LED lighting, energy and/or water efficient appliances, window or roof replacements, hot water heaters, smart thermostats, and solar panels. </w:t>
      </w:r>
    </w:p>
    <w:p w14:paraId="54046C7A" w14:textId="77777777" w:rsidR="00C404D8" w:rsidRPr="00413F68" w:rsidRDefault="00C404D8" w:rsidP="000018B6">
      <w:pPr>
        <w:rPr>
          <w:sz w:val="16"/>
          <w:szCs w:val="16"/>
        </w:rPr>
      </w:pPr>
    </w:p>
    <w:p w14:paraId="7489CE36" w14:textId="55CCED1C" w:rsidR="00661ADA" w:rsidRDefault="009E476A" w:rsidP="000018B6">
      <w:r w:rsidRPr="0052116C">
        <w:rPr>
          <w:b/>
          <w:bCs/>
          <w:i/>
          <w:iCs/>
        </w:rPr>
        <w:t xml:space="preserve">Features of </w:t>
      </w:r>
      <w:r w:rsidR="00C404D8" w:rsidRPr="0052116C">
        <w:rPr>
          <w:b/>
          <w:bCs/>
          <w:i/>
          <w:iCs/>
        </w:rPr>
        <w:t>Current Program:</w:t>
      </w:r>
      <w:r w:rsidR="00C404D8">
        <w:t xml:space="preserve"> </w:t>
      </w:r>
      <w:r w:rsidR="00661ADA" w:rsidRPr="003A1335">
        <w:t>Currently the program is opt-in and provides forgivable loans, up to $100,000</w:t>
      </w:r>
      <w:r w:rsidR="00661ADA">
        <w:t>, to a building owner/operator</w:t>
      </w:r>
      <w:r w:rsidR="00661ADA" w:rsidRPr="003A1335">
        <w:t xml:space="preserve"> if a building maintains affordable rents for at least 10 years.</w:t>
      </w:r>
      <w:r w:rsidR="00661ADA">
        <w:t xml:space="preserve"> This program is geared toward keeping rents affordable and homes climate resilient for renters. </w:t>
      </w:r>
      <w:r w:rsidR="009A7A97">
        <w:t>There are currently no buildings enrolled in the program.</w:t>
      </w:r>
    </w:p>
    <w:p w14:paraId="65B8D863" w14:textId="77777777" w:rsidR="00661ADA" w:rsidRPr="00413F68" w:rsidRDefault="00661ADA" w:rsidP="000018B6">
      <w:pPr>
        <w:rPr>
          <w:sz w:val="16"/>
          <w:szCs w:val="16"/>
        </w:rPr>
      </w:pPr>
    </w:p>
    <w:p w14:paraId="7F524805" w14:textId="61D2FC97" w:rsidR="00661ADA" w:rsidRDefault="009E476A" w:rsidP="000018B6">
      <w:r w:rsidRPr="0052116C">
        <w:rPr>
          <w:b/>
          <w:bCs/>
          <w:i/>
          <w:iCs/>
        </w:rPr>
        <w:t xml:space="preserve">Features of </w:t>
      </w:r>
      <w:r w:rsidR="00222742" w:rsidRPr="0052116C">
        <w:rPr>
          <w:b/>
          <w:bCs/>
          <w:i/>
          <w:iCs/>
        </w:rPr>
        <w:t>Future</w:t>
      </w:r>
      <w:r w:rsidR="009A7A97" w:rsidRPr="0052116C">
        <w:rPr>
          <w:b/>
          <w:bCs/>
          <w:i/>
          <w:iCs/>
        </w:rPr>
        <w:t xml:space="preserve"> </w:t>
      </w:r>
      <w:r w:rsidR="00222742" w:rsidRPr="0052116C">
        <w:rPr>
          <w:b/>
          <w:bCs/>
          <w:i/>
          <w:iCs/>
        </w:rPr>
        <w:t>Expanded Program:</w:t>
      </w:r>
      <w:r w:rsidR="00222742">
        <w:t xml:space="preserve"> </w:t>
      </w:r>
      <w:r w:rsidR="00661ADA">
        <w:t xml:space="preserve">CPRG funding will fund the Keep Safe Miami Program to provide assistance to building owners/operators with completing the </w:t>
      </w:r>
      <w:r w:rsidR="00E73385">
        <w:t>energy</w:t>
      </w:r>
      <w:r w:rsidR="00661ADA">
        <w:t xml:space="preserve"> resilience assessment </w:t>
      </w:r>
      <w:r w:rsidR="0038415E">
        <w:t xml:space="preserve">such as heat pumps, </w:t>
      </w:r>
      <w:r w:rsidR="0031225B">
        <w:t>HVACs</w:t>
      </w:r>
      <w:r w:rsidR="002C00DF">
        <w:t xml:space="preserve">, </w:t>
      </w:r>
      <w:r w:rsidR="00621A93">
        <w:t>LED lighting, windows and/or doors,</w:t>
      </w:r>
      <w:r w:rsidR="00661ADA">
        <w:t xml:space="preserve"> energy </w:t>
      </w:r>
      <w:r w:rsidR="009404A1">
        <w:t xml:space="preserve">and water efficient appliances, plug load management, </w:t>
      </w:r>
      <w:r w:rsidR="00FF01BF">
        <w:t xml:space="preserve">hot water heat pumps, and </w:t>
      </w:r>
      <w:r w:rsidR="00304B51">
        <w:t>smart thermostats</w:t>
      </w:r>
      <w:r w:rsidR="00661ADA">
        <w:t xml:space="preserve">. </w:t>
      </w:r>
    </w:p>
    <w:p w14:paraId="0031E940" w14:textId="4BB85669" w:rsidR="00E75950" w:rsidRPr="00413F68" w:rsidRDefault="00E75950" w:rsidP="000018B6">
      <w:pPr>
        <w:rPr>
          <w:sz w:val="16"/>
          <w:szCs w:val="16"/>
        </w:rPr>
      </w:pPr>
    </w:p>
    <w:p w14:paraId="4FC866E9" w14:textId="77777777" w:rsidR="0005101D" w:rsidRPr="0052116C" w:rsidRDefault="00BD377E" w:rsidP="000018B6">
      <w:pPr>
        <w:rPr>
          <w:b/>
          <w:bCs/>
        </w:rPr>
      </w:pPr>
      <w:r w:rsidRPr="0052116C">
        <w:rPr>
          <w:b/>
          <w:bCs/>
          <w:i/>
          <w:iCs/>
        </w:rPr>
        <w:t xml:space="preserve">GHG </w:t>
      </w:r>
      <w:r w:rsidR="007246AE" w:rsidRPr="0052116C">
        <w:rPr>
          <w:b/>
          <w:bCs/>
          <w:i/>
          <w:iCs/>
        </w:rPr>
        <w:t>Reduction Measures:</w:t>
      </w:r>
      <w:r w:rsidR="007246AE" w:rsidRPr="0052116C">
        <w:rPr>
          <w:b/>
          <w:bCs/>
        </w:rPr>
        <w:t xml:space="preserve"> </w:t>
      </w:r>
    </w:p>
    <w:p w14:paraId="67B0C099" w14:textId="60058B93" w:rsidR="00661ADA" w:rsidRDefault="00661ADA" w:rsidP="000018B6">
      <w:r>
        <w:t>These</w:t>
      </w:r>
      <w:r w:rsidR="006A6530">
        <w:t xml:space="preserve"> </w:t>
      </w:r>
      <w:r w:rsidR="00BD377E">
        <w:t xml:space="preserve">GHG </w:t>
      </w:r>
      <w:r w:rsidR="006A6530">
        <w:t xml:space="preserve">Reduction Measures </w:t>
      </w:r>
      <w:r>
        <w:t>from the Southeast Florida PCAP include the following for Measure #6:</w:t>
      </w:r>
    </w:p>
    <w:p w14:paraId="02D9A9D1" w14:textId="77777777" w:rsidR="00661ADA" w:rsidRPr="00C70237" w:rsidRDefault="00661ADA" w:rsidP="00356418">
      <w:pPr>
        <w:pStyle w:val="ListParagraph"/>
        <w:numPr>
          <w:ilvl w:val="0"/>
          <w:numId w:val="3"/>
        </w:numPr>
      </w:pPr>
      <w:r w:rsidRPr="00156332">
        <w:rPr>
          <w:i/>
          <w:iCs/>
        </w:rPr>
        <w:t>R-01. Residential Heat Pump or High-Efficiency A/C Retrofits and Commissioning.</w:t>
      </w:r>
      <w:r w:rsidRPr="00C70237">
        <w:t xml:space="preserve"> </w:t>
      </w:r>
    </w:p>
    <w:p w14:paraId="7354708B" w14:textId="77777777" w:rsidR="00661ADA" w:rsidRPr="00C70237" w:rsidRDefault="00661ADA" w:rsidP="00356418">
      <w:pPr>
        <w:pStyle w:val="ListParagraph"/>
        <w:numPr>
          <w:ilvl w:val="0"/>
          <w:numId w:val="3"/>
        </w:numPr>
      </w:pPr>
      <w:r w:rsidRPr="00156332">
        <w:rPr>
          <w:i/>
          <w:iCs/>
        </w:rPr>
        <w:t>R-03. Residential LED Lighting.</w:t>
      </w:r>
      <w:r w:rsidRPr="00C70237">
        <w:t xml:space="preserve"> </w:t>
      </w:r>
    </w:p>
    <w:p w14:paraId="096E787E" w14:textId="77777777" w:rsidR="00661ADA" w:rsidRPr="00C70237" w:rsidRDefault="00661ADA" w:rsidP="00356418">
      <w:pPr>
        <w:pStyle w:val="ListParagraph"/>
        <w:numPr>
          <w:ilvl w:val="0"/>
          <w:numId w:val="3"/>
        </w:numPr>
      </w:pPr>
      <w:r w:rsidRPr="00156332">
        <w:rPr>
          <w:i/>
          <w:iCs/>
        </w:rPr>
        <w:t>R-04. Residential Enclosure Upgrades (with roof assessment).</w:t>
      </w:r>
      <w:r w:rsidRPr="00C70237">
        <w:t xml:space="preserve"> </w:t>
      </w:r>
    </w:p>
    <w:p w14:paraId="6E1124DB" w14:textId="77777777" w:rsidR="00661ADA" w:rsidRPr="00C70237" w:rsidRDefault="00661ADA" w:rsidP="00356418">
      <w:pPr>
        <w:pStyle w:val="ListParagraph"/>
        <w:numPr>
          <w:ilvl w:val="0"/>
          <w:numId w:val="3"/>
        </w:numPr>
      </w:pPr>
      <w:r w:rsidRPr="00156332">
        <w:rPr>
          <w:i/>
          <w:iCs/>
        </w:rPr>
        <w:t>R-05. Residential Window, Door, and Skylight Replacement with Assessment.</w:t>
      </w:r>
      <w:r w:rsidRPr="00C70237">
        <w:t xml:space="preserve"> </w:t>
      </w:r>
    </w:p>
    <w:p w14:paraId="22BFD069" w14:textId="77777777" w:rsidR="00661ADA" w:rsidRPr="00C70237" w:rsidRDefault="00661ADA" w:rsidP="00356418">
      <w:pPr>
        <w:pStyle w:val="ListParagraph"/>
        <w:numPr>
          <w:ilvl w:val="0"/>
          <w:numId w:val="3"/>
        </w:numPr>
      </w:pPr>
      <w:r w:rsidRPr="00156332">
        <w:rPr>
          <w:i/>
          <w:iCs/>
        </w:rPr>
        <w:t>R-06. Residential Efficient Appliances and Plug Load Management.</w:t>
      </w:r>
      <w:r w:rsidRPr="00C70237">
        <w:t xml:space="preserve"> </w:t>
      </w:r>
    </w:p>
    <w:p w14:paraId="33AB0085" w14:textId="77777777" w:rsidR="00661ADA" w:rsidRPr="00C70237" w:rsidRDefault="00661ADA" w:rsidP="00356418">
      <w:pPr>
        <w:pStyle w:val="ListParagraph"/>
        <w:numPr>
          <w:ilvl w:val="0"/>
          <w:numId w:val="3"/>
        </w:numPr>
      </w:pPr>
      <w:r w:rsidRPr="00156332">
        <w:rPr>
          <w:i/>
          <w:iCs/>
        </w:rPr>
        <w:t>R-07. Domestic Heat Pump for Hot Water.</w:t>
      </w:r>
      <w:r w:rsidRPr="00C70237">
        <w:t xml:space="preserve"> </w:t>
      </w:r>
    </w:p>
    <w:p w14:paraId="423FC6E2" w14:textId="77777777" w:rsidR="00661ADA" w:rsidRPr="00C70237" w:rsidRDefault="00661ADA" w:rsidP="00356418">
      <w:pPr>
        <w:pStyle w:val="ListParagraph"/>
        <w:numPr>
          <w:ilvl w:val="0"/>
          <w:numId w:val="3"/>
        </w:numPr>
      </w:pPr>
      <w:r w:rsidRPr="00156332">
        <w:rPr>
          <w:i/>
          <w:iCs/>
        </w:rPr>
        <w:t>R-09. Residential Smart Thermostats.</w:t>
      </w:r>
      <w:r w:rsidRPr="00C70237">
        <w:t xml:space="preserve"> </w:t>
      </w:r>
    </w:p>
    <w:p w14:paraId="3BD93424" w14:textId="3EACEAFD" w:rsidR="00661ADA" w:rsidRPr="00C70237" w:rsidRDefault="006A6530" w:rsidP="000018B6">
      <w:r>
        <w:t xml:space="preserve">These </w:t>
      </w:r>
      <w:r w:rsidR="00BD377E">
        <w:t xml:space="preserve">GHG </w:t>
      </w:r>
      <w:r>
        <w:t>Reduction Measures are</w:t>
      </w:r>
      <w:r w:rsidR="00E868F1">
        <w:t xml:space="preserve"> </w:t>
      </w:r>
      <w:r w:rsidR="00661ADA" w:rsidRPr="00C70237">
        <w:t>from the Southeast Florida PCAP include the following for Measure #7:</w:t>
      </w:r>
    </w:p>
    <w:p w14:paraId="16B210F0" w14:textId="77777777" w:rsidR="00661ADA" w:rsidRPr="00156332" w:rsidRDefault="00661ADA" w:rsidP="00356418">
      <w:pPr>
        <w:pStyle w:val="ListParagraph"/>
        <w:widowControl/>
        <w:numPr>
          <w:ilvl w:val="0"/>
          <w:numId w:val="4"/>
        </w:numPr>
        <w:adjustRightInd w:val="0"/>
        <w:rPr>
          <w:rFonts w:eastAsiaTheme="minorHAnsi"/>
          <w:i/>
          <w:iCs/>
          <w:color w:val="000000"/>
          <w:lang w:bidi="ar-SA"/>
          <w14:ligatures w14:val="standardContextual"/>
        </w:rPr>
      </w:pPr>
      <w:r w:rsidRPr="009A3CB0">
        <w:rPr>
          <w:rFonts w:eastAsiaTheme="minorHAnsi"/>
          <w:i/>
          <w:iCs/>
          <w:lang w:bidi="ar-SA"/>
          <w14:ligatures w14:val="standardContextual"/>
        </w:rPr>
        <w:t>R-02</w:t>
      </w:r>
      <w:r w:rsidRPr="00156332">
        <w:rPr>
          <w:rFonts w:eastAsiaTheme="minorHAnsi"/>
          <w:i/>
          <w:iCs/>
          <w:color w:val="52565E"/>
          <w:lang w:bidi="ar-SA"/>
          <w14:ligatures w14:val="standardContextual"/>
        </w:rPr>
        <w:t xml:space="preserve">. </w:t>
      </w:r>
      <w:r w:rsidRPr="00156332">
        <w:rPr>
          <w:rFonts w:eastAsiaTheme="minorHAnsi"/>
          <w:i/>
          <w:iCs/>
          <w:color w:val="000000"/>
          <w:lang w:bidi="ar-SA"/>
          <w14:ligatures w14:val="standardContextual"/>
        </w:rPr>
        <w:t xml:space="preserve">Solar Photovoltaics (PV). </w:t>
      </w:r>
    </w:p>
    <w:p w14:paraId="48408215" w14:textId="77777777" w:rsidR="00661ADA" w:rsidRDefault="00661ADA" w:rsidP="00356418">
      <w:pPr>
        <w:pStyle w:val="ListParagraph"/>
        <w:numPr>
          <w:ilvl w:val="0"/>
          <w:numId w:val="4"/>
        </w:numPr>
      </w:pPr>
      <w:r w:rsidRPr="009A3CB0">
        <w:rPr>
          <w:rFonts w:eastAsiaTheme="minorHAnsi"/>
          <w:i/>
          <w:iCs/>
          <w:lang w:bidi="ar-SA"/>
          <w14:ligatures w14:val="standardContextual"/>
        </w:rPr>
        <w:t xml:space="preserve">R-08. </w:t>
      </w:r>
      <w:r w:rsidRPr="00156332">
        <w:rPr>
          <w:rFonts w:eastAsiaTheme="minorHAnsi"/>
          <w:i/>
          <w:iCs/>
          <w:color w:val="000000"/>
          <w:lang w:bidi="ar-SA"/>
          <w14:ligatures w14:val="standardContextual"/>
        </w:rPr>
        <w:t>Domestic Solar Hot Water Heater.</w:t>
      </w:r>
      <w:r w:rsidRPr="00156332">
        <w:rPr>
          <w:rFonts w:eastAsiaTheme="minorHAnsi"/>
          <w:b/>
          <w:bCs/>
          <w:i/>
          <w:iCs/>
          <w:color w:val="000000"/>
          <w:lang w:bidi="ar-SA"/>
          <w14:ligatures w14:val="standardContextual"/>
        </w:rPr>
        <w:t xml:space="preserve"> </w:t>
      </w:r>
    </w:p>
    <w:p w14:paraId="6DCB30A0" w14:textId="77777777" w:rsidR="00661ADA" w:rsidRPr="00413F68" w:rsidRDefault="00661ADA" w:rsidP="000018B6">
      <w:pPr>
        <w:rPr>
          <w:b/>
          <w:sz w:val="16"/>
          <w:szCs w:val="16"/>
        </w:rPr>
      </w:pPr>
    </w:p>
    <w:p w14:paraId="36D7D0E2" w14:textId="443D1616" w:rsidR="007246AE" w:rsidRDefault="007246AE" w:rsidP="000018B6">
      <w:pPr>
        <w:rPr>
          <w:b/>
          <w:bCs/>
        </w:rPr>
      </w:pPr>
      <w:r w:rsidRPr="0052116C">
        <w:rPr>
          <w:b/>
          <w:bCs/>
          <w:i/>
          <w:iCs/>
        </w:rPr>
        <w:t>Tasks and Milestones:</w:t>
      </w:r>
      <w:r w:rsidRPr="00E56CB2">
        <w:t xml:space="preserve"> Through the CPRG,</w:t>
      </w:r>
      <w:r w:rsidR="008573F3" w:rsidRPr="00E56CB2">
        <w:t xml:space="preserve"> the following tasks and milestones</w:t>
      </w:r>
      <w:r w:rsidR="00914EFC">
        <w:t xml:space="preserve"> for this program</w:t>
      </w:r>
      <w:r w:rsidR="009060B1">
        <w:t xml:space="preserve"> </w:t>
      </w:r>
      <w:r w:rsidR="00433400">
        <w:t xml:space="preserve">include </w:t>
      </w:r>
      <w:r w:rsidR="004235D4">
        <w:t>procuring a contractor</w:t>
      </w:r>
      <w:r w:rsidR="00AE2B3C">
        <w:t xml:space="preserve"> using federal procurement</w:t>
      </w:r>
      <w:r w:rsidR="00C373C1">
        <w:t xml:space="preserve"> processes</w:t>
      </w:r>
      <w:r w:rsidR="004235D4">
        <w:t>, developing outreach materials</w:t>
      </w:r>
      <w:r w:rsidR="00971A73">
        <w:t xml:space="preserve">, providing outreach to eligible participants, </w:t>
      </w:r>
      <w:r w:rsidR="00BD75B0">
        <w:t xml:space="preserve">providing energy resilience assessments to eligible participants, and installing </w:t>
      </w:r>
      <w:r w:rsidR="00BD377E">
        <w:t xml:space="preserve">GHG </w:t>
      </w:r>
      <w:r w:rsidR="004F51FC">
        <w:t>R</w:t>
      </w:r>
      <w:r w:rsidR="00D7451B">
        <w:t xml:space="preserve">eduction </w:t>
      </w:r>
      <w:r w:rsidR="004F51FC">
        <w:t>M</w:t>
      </w:r>
      <w:r w:rsidR="00D7451B">
        <w:t xml:space="preserve">easures. </w:t>
      </w:r>
    </w:p>
    <w:p w14:paraId="7D27E7CC" w14:textId="77777777" w:rsidR="007246AE" w:rsidRDefault="007246AE" w:rsidP="000018B6">
      <w:pPr>
        <w:rPr>
          <w:b/>
          <w:bCs/>
        </w:rPr>
      </w:pPr>
    </w:p>
    <w:p w14:paraId="27155187" w14:textId="7475FDA5" w:rsidR="00661ADA" w:rsidRPr="00113B4C" w:rsidRDefault="00661ADA" w:rsidP="000018B6">
      <w:pPr>
        <w:rPr>
          <w:b/>
          <w:bCs/>
          <w:sz w:val="24"/>
          <w:szCs w:val="24"/>
        </w:rPr>
      </w:pPr>
      <w:r w:rsidRPr="00113B4C">
        <w:rPr>
          <w:b/>
          <w:bCs/>
          <w:sz w:val="24"/>
          <w:szCs w:val="24"/>
        </w:rPr>
        <w:t>Homeowner Preservation Program</w:t>
      </w:r>
    </w:p>
    <w:p w14:paraId="77E574FE" w14:textId="12EB52B3" w:rsidR="00661ADA" w:rsidRDefault="00661ADA" w:rsidP="000018B6">
      <w:r w:rsidRPr="003A1335">
        <w:t xml:space="preserve">The Homeownership Preservation Program provides up to $70,000 in rehabilitation assistance to qualified City of Miami homeowners to fund exterior repairs consisting of repair or replacement of roofs, replacement of windows or doors and/or installation of hurricane shutters, necessary to bring the home to decent, safe and sanitary conditions, and to reinforce the property’s exterior to better withstand natural weather occurrences while maximizing the home's energy efficiency. </w:t>
      </w:r>
      <w:r w:rsidRPr="00472107">
        <w:t>Recent research has shown that new roofs</w:t>
      </w:r>
      <w:r w:rsidR="00041944" w:rsidRPr="00472107">
        <w:t xml:space="preserve">, even on older homes, </w:t>
      </w:r>
      <w:r w:rsidRPr="00472107">
        <w:t xml:space="preserve">are the single most important </w:t>
      </w:r>
      <w:r w:rsidR="00041944" w:rsidRPr="00472107">
        <w:t>upgrade</w:t>
      </w:r>
      <w:r w:rsidR="003D406C" w:rsidRPr="00472107">
        <w:t xml:space="preserve"> to prevent wind damage, </w:t>
      </w:r>
      <w:r w:rsidR="00A752E5" w:rsidRPr="00472107">
        <w:t xml:space="preserve">because of the </w:t>
      </w:r>
      <w:r w:rsidR="00115858" w:rsidRPr="00472107">
        <w:t>requirement for a sealed roof deck</w:t>
      </w:r>
      <w:r w:rsidRPr="00472107">
        <w:t>.</w:t>
      </w:r>
      <w:r>
        <w:t xml:space="preserve"> </w:t>
      </w:r>
      <w:r w:rsidR="00457E75">
        <w:t xml:space="preserve">Insurance agencies are increasingly </w:t>
      </w:r>
      <w:r w:rsidR="0047272B">
        <w:t xml:space="preserve">focused on replacement of older roofs </w:t>
      </w:r>
      <w:r w:rsidR="00B6644A">
        <w:t xml:space="preserve">for insurance coverage. </w:t>
      </w:r>
      <w:r w:rsidRPr="003A1335">
        <w:t>This program assist</w:t>
      </w:r>
      <w:r w:rsidR="00472107">
        <w:t>s</w:t>
      </w:r>
      <w:r w:rsidRPr="003A1335">
        <w:t xml:space="preserve"> households up to 140% of Area Median Income (AMI) based on household size but currently is closed to new applicants</w:t>
      </w:r>
      <w:r>
        <w:t xml:space="preserve"> due to current one-time funding not recurring. </w:t>
      </w:r>
      <w:r w:rsidR="0021524D">
        <w:t xml:space="preserve">A lien up to </w:t>
      </w:r>
      <w:r w:rsidR="007E3100">
        <w:t>$70,000 is placed on the property</w:t>
      </w:r>
      <w:r w:rsidR="002B2C4C">
        <w:t xml:space="preserve"> for 10 years</w:t>
      </w:r>
      <w:r w:rsidR="007E3100">
        <w:t xml:space="preserve">. </w:t>
      </w:r>
      <w:r>
        <w:t>This program is geared toward reducing climate gentrification by preventing displacement for homeowners.</w:t>
      </w:r>
    </w:p>
    <w:p w14:paraId="44A39455" w14:textId="77777777" w:rsidR="00251146" w:rsidRPr="00F72826" w:rsidRDefault="00251146" w:rsidP="000018B6">
      <w:pPr>
        <w:rPr>
          <w:sz w:val="16"/>
          <w:szCs w:val="16"/>
        </w:rPr>
      </w:pPr>
    </w:p>
    <w:p w14:paraId="53C17E25" w14:textId="4524087C" w:rsidR="00251146" w:rsidRPr="00F000CE" w:rsidRDefault="009E476A" w:rsidP="000018B6">
      <w:r w:rsidRPr="0052116C">
        <w:rPr>
          <w:b/>
          <w:bCs/>
          <w:i/>
          <w:iCs/>
        </w:rPr>
        <w:t xml:space="preserve">Features of </w:t>
      </w:r>
      <w:r w:rsidR="00251146" w:rsidRPr="0052116C">
        <w:rPr>
          <w:b/>
          <w:bCs/>
          <w:i/>
          <w:iCs/>
        </w:rPr>
        <w:t>Current Program:</w:t>
      </w:r>
      <w:r w:rsidR="00F000CE">
        <w:rPr>
          <w:i/>
          <w:iCs/>
        </w:rPr>
        <w:t xml:space="preserve"> </w:t>
      </w:r>
      <w:r w:rsidR="00E84835">
        <w:t>3</w:t>
      </w:r>
      <w:r w:rsidR="003A669E">
        <w:t>7</w:t>
      </w:r>
      <w:r w:rsidR="00E84835">
        <w:t xml:space="preserve"> homes are in the process of being rehabilitated.</w:t>
      </w:r>
    </w:p>
    <w:p w14:paraId="38C62305" w14:textId="77777777" w:rsidR="00661ADA" w:rsidRPr="00F72826" w:rsidRDefault="00661ADA" w:rsidP="000018B6">
      <w:pPr>
        <w:rPr>
          <w:sz w:val="16"/>
          <w:szCs w:val="16"/>
        </w:rPr>
      </w:pPr>
    </w:p>
    <w:p w14:paraId="243A3C47" w14:textId="41F5CAF5" w:rsidR="00661ADA" w:rsidRDefault="009E476A" w:rsidP="000018B6">
      <w:r w:rsidRPr="0052116C">
        <w:rPr>
          <w:b/>
          <w:bCs/>
          <w:i/>
          <w:iCs/>
        </w:rPr>
        <w:t xml:space="preserve">Features of </w:t>
      </w:r>
      <w:r w:rsidR="00251146" w:rsidRPr="0052116C">
        <w:rPr>
          <w:b/>
          <w:bCs/>
          <w:i/>
          <w:iCs/>
        </w:rPr>
        <w:t>Future Expanded Program:</w:t>
      </w:r>
      <w:r w:rsidR="00251146">
        <w:t xml:space="preserve"> </w:t>
      </w:r>
      <w:r w:rsidR="00661ADA">
        <w:t xml:space="preserve">CPRG funding will </w:t>
      </w:r>
      <w:r w:rsidR="00CA7E19">
        <w:t>allow</w:t>
      </w:r>
      <w:r w:rsidR="00661ADA">
        <w:t xml:space="preserve"> the Homeownership Preservation Program to fund windows, doors, roof replacements and expand the program to also fund tr</w:t>
      </w:r>
      <w:r w:rsidR="00D05F7D">
        <w:t>u</w:t>
      </w:r>
      <w:r w:rsidR="00661ADA">
        <w:t xml:space="preserve">sses and solar panels. </w:t>
      </w:r>
      <w:r w:rsidR="00297264">
        <w:t>Funding will be increased to $125,000 per home.</w:t>
      </w:r>
      <w:r w:rsidR="00661ADA">
        <w:t xml:space="preserve"> </w:t>
      </w:r>
      <w:r w:rsidR="0047762B">
        <w:t xml:space="preserve">Funding will also be used to provide outreach </w:t>
      </w:r>
      <w:r w:rsidR="005A0294">
        <w:t>so that more residents</w:t>
      </w:r>
      <w:r w:rsidR="002B2C4C">
        <w:t xml:space="preserve"> can participate in the program.</w:t>
      </w:r>
    </w:p>
    <w:p w14:paraId="692731E1" w14:textId="77777777" w:rsidR="00661ADA" w:rsidRPr="00F72826" w:rsidRDefault="00661ADA" w:rsidP="000018B6">
      <w:pPr>
        <w:rPr>
          <w:sz w:val="16"/>
          <w:szCs w:val="16"/>
        </w:rPr>
      </w:pPr>
    </w:p>
    <w:p w14:paraId="608652A5" w14:textId="546DC7E2" w:rsidR="004E343B" w:rsidRPr="0052116C" w:rsidRDefault="004E343B" w:rsidP="000018B6">
      <w:pPr>
        <w:rPr>
          <w:b/>
          <w:bCs/>
          <w:i/>
          <w:iCs/>
        </w:rPr>
      </w:pPr>
      <w:r w:rsidRPr="0052116C">
        <w:rPr>
          <w:b/>
          <w:bCs/>
          <w:i/>
          <w:iCs/>
        </w:rPr>
        <w:t>Greenhouse Gas Reduction Measures:</w:t>
      </w:r>
    </w:p>
    <w:p w14:paraId="1FB16686" w14:textId="39E385E7" w:rsidR="00661ADA" w:rsidRDefault="00AB48AB" w:rsidP="000018B6">
      <w:r>
        <w:t xml:space="preserve">These </w:t>
      </w:r>
      <w:r w:rsidR="00BD377E">
        <w:t xml:space="preserve">GHG </w:t>
      </w:r>
      <w:r>
        <w:t xml:space="preserve">Reduction Measures </w:t>
      </w:r>
      <w:r w:rsidR="00661ADA">
        <w:t>from the Southeast Florida PCAP include the following for Measure #6:</w:t>
      </w:r>
    </w:p>
    <w:p w14:paraId="73B6D7BA" w14:textId="77777777" w:rsidR="00661ADA" w:rsidRPr="00C70237" w:rsidRDefault="00661ADA" w:rsidP="00356418">
      <w:pPr>
        <w:pStyle w:val="ListParagraph"/>
        <w:numPr>
          <w:ilvl w:val="0"/>
          <w:numId w:val="3"/>
        </w:numPr>
      </w:pPr>
      <w:r w:rsidRPr="00156332">
        <w:rPr>
          <w:i/>
          <w:iCs/>
        </w:rPr>
        <w:t>R-04. Residential Enclosure Upgrades (with roof assessment).</w:t>
      </w:r>
      <w:r w:rsidRPr="00C70237">
        <w:t xml:space="preserve"> </w:t>
      </w:r>
    </w:p>
    <w:p w14:paraId="487EEB7D" w14:textId="77777777" w:rsidR="00661ADA" w:rsidRPr="00C70237" w:rsidRDefault="00661ADA" w:rsidP="00356418">
      <w:pPr>
        <w:pStyle w:val="ListParagraph"/>
        <w:numPr>
          <w:ilvl w:val="0"/>
          <w:numId w:val="3"/>
        </w:numPr>
      </w:pPr>
      <w:r w:rsidRPr="00156332">
        <w:rPr>
          <w:i/>
          <w:iCs/>
        </w:rPr>
        <w:t>R-05. Residential Window, Door, and Skylight Replacement with Assessment.</w:t>
      </w:r>
      <w:r w:rsidRPr="00C70237">
        <w:t xml:space="preserve"> </w:t>
      </w:r>
    </w:p>
    <w:p w14:paraId="184C1E83" w14:textId="2D17C0F9" w:rsidR="00661ADA" w:rsidRPr="00C70237" w:rsidRDefault="00AB48AB" w:rsidP="000018B6">
      <w:r>
        <w:t xml:space="preserve">These </w:t>
      </w:r>
      <w:r w:rsidR="00BD377E">
        <w:t xml:space="preserve">GHG </w:t>
      </w:r>
      <w:r>
        <w:t xml:space="preserve">Reduction Measures </w:t>
      </w:r>
      <w:r w:rsidR="00661ADA" w:rsidRPr="00C70237">
        <w:t>from the Southeast Florida PCAP include the following for Measure #7:</w:t>
      </w:r>
    </w:p>
    <w:p w14:paraId="3B3B51FF" w14:textId="77777777" w:rsidR="00661ADA" w:rsidRPr="00156332" w:rsidRDefault="00661ADA" w:rsidP="00356418">
      <w:pPr>
        <w:pStyle w:val="ListParagraph"/>
        <w:widowControl/>
        <w:numPr>
          <w:ilvl w:val="0"/>
          <w:numId w:val="4"/>
        </w:numPr>
        <w:adjustRightInd w:val="0"/>
        <w:rPr>
          <w:rFonts w:eastAsiaTheme="minorHAnsi"/>
          <w:i/>
          <w:iCs/>
          <w:color w:val="000000"/>
          <w:lang w:bidi="ar-SA"/>
          <w14:ligatures w14:val="standardContextual"/>
        </w:rPr>
      </w:pPr>
      <w:r w:rsidRPr="009A3CB0">
        <w:rPr>
          <w:rFonts w:eastAsiaTheme="minorHAnsi"/>
          <w:i/>
          <w:iCs/>
          <w:lang w:bidi="ar-SA"/>
          <w14:ligatures w14:val="standardContextual"/>
        </w:rPr>
        <w:t xml:space="preserve">R-02. </w:t>
      </w:r>
      <w:r w:rsidRPr="00156332">
        <w:rPr>
          <w:rFonts w:eastAsiaTheme="minorHAnsi"/>
          <w:i/>
          <w:iCs/>
          <w:color w:val="000000"/>
          <w:lang w:bidi="ar-SA"/>
          <w14:ligatures w14:val="standardContextual"/>
        </w:rPr>
        <w:t>Solar Photovoltaics (PV).</w:t>
      </w:r>
      <w:r w:rsidRPr="00156332">
        <w:rPr>
          <w:rFonts w:eastAsiaTheme="minorHAnsi"/>
          <w:b/>
          <w:bCs/>
          <w:i/>
          <w:iCs/>
          <w:color w:val="000000"/>
          <w:lang w:bidi="ar-SA"/>
          <w14:ligatures w14:val="standardContextual"/>
        </w:rPr>
        <w:t xml:space="preserve"> </w:t>
      </w:r>
    </w:p>
    <w:p w14:paraId="6DC56545" w14:textId="77777777" w:rsidR="00661ADA" w:rsidRPr="00F72826" w:rsidRDefault="00661ADA" w:rsidP="000018B6">
      <w:pPr>
        <w:rPr>
          <w:sz w:val="16"/>
          <w:szCs w:val="16"/>
        </w:rPr>
      </w:pPr>
    </w:p>
    <w:p w14:paraId="0FEFA3F7" w14:textId="459F17AF" w:rsidR="00E56CB2" w:rsidRDefault="00E56CB2" w:rsidP="000018B6">
      <w:pPr>
        <w:rPr>
          <w:b/>
          <w:bCs/>
        </w:rPr>
      </w:pPr>
      <w:r w:rsidRPr="0052116C">
        <w:rPr>
          <w:b/>
          <w:bCs/>
          <w:i/>
          <w:iCs/>
        </w:rPr>
        <w:t>Tasks and Milestones:</w:t>
      </w:r>
      <w:r w:rsidRPr="00E56CB2">
        <w:t xml:space="preserve"> Through the CPRG, the following tasks and milestones</w:t>
      </w:r>
      <w:r>
        <w:t xml:space="preserve"> for this program include procuring a contractor</w:t>
      </w:r>
      <w:r w:rsidR="00C373C1" w:rsidRPr="00C373C1">
        <w:t xml:space="preserve"> </w:t>
      </w:r>
      <w:r w:rsidR="00C373C1">
        <w:t>using federal procurement processes</w:t>
      </w:r>
      <w:r>
        <w:t xml:space="preserve">, developing outreach materials, providing outreach to eligible participants, </w:t>
      </w:r>
      <w:r w:rsidR="00F439E1">
        <w:t>holding lotteries for</w:t>
      </w:r>
      <w:r>
        <w:t xml:space="preserve"> eligible participants, and installing </w:t>
      </w:r>
      <w:r w:rsidR="00BD377E">
        <w:t xml:space="preserve">GHG </w:t>
      </w:r>
      <w:r w:rsidR="004F51FC">
        <w:t>R</w:t>
      </w:r>
      <w:r>
        <w:t xml:space="preserve">eduction </w:t>
      </w:r>
      <w:r w:rsidR="004F51FC">
        <w:t>M</w:t>
      </w:r>
      <w:r>
        <w:t xml:space="preserve">easures. </w:t>
      </w:r>
    </w:p>
    <w:p w14:paraId="7AD2734E" w14:textId="77777777" w:rsidR="00374721" w:rsidRDefault="00374721" w:rsidP="000018B6"/>
    <w:p w14:paraId="48CB0CC4" w14:textId="77777777" w:rsidR="00661ADA" w:rsidRPr="00113B4C" w:rsidRDefault="00661ADA" w:rsidP="000018B6">
      <w:pPr>
        <w:rPr>
          <w:b/>
          <w:bCs/>
          <w:sz w:val="24"/>
          <w:szCs w:val="24"/>
        </w:rPr>
      </w:pPr>
      <w:r w:rsidRPr="00113B4C">
        <w:rPr>
          <w:b/>
          <w:bCs/>
          <w:sz w:val="24"/>
          <w:szCs w:val="24"/>
        </w:rPr>
        <w:t>Miami Cools Program</w:t>
      </w:r>
    </w:p>
    <w:p w14:paraId="30B5890E" w14:textId="45E56449" w:rsidR="00661ADA" w:rsidRDefault="00661ADA" w:rsidP="000018B6">
      <w:r w:rsidRPr="002E7BD2">
        <w:t>In 20</w:t>
      </w:r>
      <w:r w:rsidR="00FE1906">
        <w:t>20</w:t>
      </w:r>
      <w:r w:rsidRPr="003A1335">
        <w:t>, the City launched the Miami Cools program wherein free window AC units were distributed to senior and special needs residents to address health concerns associated with heat.</w:t>
      </w:r>
      <w:r>
        <w:t xml:space="preserve"> This program is geared toward reducing utility bills by making homes more climate resilient for both renters and homeowners.</w:t>
      </w:r>
    </w:p>
    <w:p w14:paraId="3F57AD5C" w14:textId="77777777" w:rsidR="00661ADA" w:rsidRPr="00F72826" w:rsidRDefault="00661ADA" w:rsidP="000018B6">
      <w:pPr>
        <w:rPr>
          <w:sz w:val="16"/>
          <w:szCs w:val="16"/>
        </w:rPr>
      </w:pPr>
    </w:p>
    <w:p w14:paraId="0C3A68C7" w14:textId="41EE579B" w:rsidR="00107784" w:rsidRPr="004D1880" w:rsidRDefault="009E476A" w:rsidP="000018B6">
      <w:r w:rsidRPr="0052116C">
        <w:rPr>
          <w:b/>
          <w:bCs/>
          <w:i/>
          <w:iCs/>
        </w:rPr>
        <w:t xml:space="preserve">Features of </w:t>
      </w:r>
      <w:r w:rsidR="00107784" w:rsidRPr="0052116C">
        <w:rPr>
          <w:b/>
          <w:bCs/>
          <w:i/>
          <w:iCs/>
        </w:rPr>
        <w:t>Current Program:</w:t>
      </w:r>
      <w:r w:rsidR="004D1880">
        <w:rPr>
          <w:i/>
          <w:iCs/>
        </w:rPr>
        <w:t xml:space="preserve"> </w:t>
      </w:r>
      <w:r w:rsidR="004D1880">
        <w:t xml:space="preserve">The program </w:t>
      </w:r>
      <w:r w:rsidR="00C93331">
        <w:t>is paused due to lack of funding.</w:t>
      </w:r>
    </w:p>
    <w:p w14:paraId="1C9EF1FA" w14:textId="77777777" w:rsidR="00107784" w:rsidRPr="00F72826" w:rsidRDefault="00107784" w:rsidP="000018B6">
      <w:pPr>
        <w:rPr>
          <w:i/>
          <w:sz w:val="16"/>
          <w:szCs w:val="16"/>
        </w:rPr>
      </w:pPr>
    </w:p>
    <w:p w14:paraId="21A28302" w14:textId="5DEB9365" w:rsidR="00661ADA" w:rsidRDefault="009E476A" w:rsidP="000018B6">
      <w:r w:rsidRPr="0052116C">
        <w:rPr>
          <w:b/>
          <w:bCs/>
          <w:i/>
          <w:iCs/>
        </w:rPr>
        <w:t xml:space="preserve">Features of </w:t>
      </w:r>
      <w:r w:rsidR="00107784" w:rsidRPr="0052116C">
        <w:rPr>
          <w:b/>
          <w:bCs/>
          <w:i/>
          <w:iCs/>
        </w:rPr>
        <w:t>Future Expanded Program:</w:t>
      </w:r>
      <w:r w:rsidR="00107784">
        <w:t xml:space="preserve"> </w:t>
      </w:r>
      <w:r w:rsidR="00661ADA">
        <w:t xml:space="preserve">CPRG funding will reinitiate the program and will fund </w:t>
      </w:r>
      <w:r w:rsidR="00C61C7A">
        <w:t>HVACs</w:t>
      </w:r>
      <w:r w:rsidR="00661ADA">
        <w:t xml:space="preserve">, heat pumps, LED lighting, </w:t>
      </w:r>
      <w:r w:rsidR="006B22F3">
        <w:t>weatherization/</w:t>
      </w:r>
      <w:r w:rsidR="00AE3975">
        <w:t xml:space="preserve">air </w:t>
      </w:r>
      <w:r w:rsidR="00B23A56">
        <w:t xml:space="preserve">leakage </w:t>
      </w:r>
      <w:r w:rsidR="00AE3975">
        <w:t>sealing</w:t>
      </w:r>
      <w:r w:rsidR="0068623F">
        <w:t>,</w:t>
      </w:r>
      <w:r w:rsidR="00661ADA">
        <w:t xml:space="preserve"> </w:t>
      </w:r>
      <w:r w:rsidR="002307AB">
        <w:t xml:space="preserve">and </w:t>
      </w:r>
      <w:r w:rsidR="00661ADA">
        <w:t>smart thermostats.</w:t>
      </w:r>
    </w:p>
    <w:p w14:paraId="31D1CED8" w14:textId="77777777" w:rsidR="004E343B" w:rsidRPr="00F72826" w:rsidRDefault="004E343B" w:rsidP="004E343B">
      <w:pPr>
        <w:rPr>
          <w:i/>
          <w:sz w:val="16"/>
          <w:szCs w:val="16"/>
        </w:rPr>
      </w:pPr>
    </w:p>
    <w:p w14:paraId="1357595B" w14:textId="6E22382B" w:rsidR="004E343B" w:rsidRPr="0052116C" w:rsidRDefault="004E343B" w:rsidP="004E343B">
      <w:pPr>
        <w:rPr>
          <w:b/>
          <w:bCs/>
          <w:i/>
          <w:iCs/>
        </w:rPr>
      </w:pPr>
      <w:r w:rsidRPr="0052116C">
        <w:rPr>
          <w:b/>
          <w:bCs/>
          <w:i/>
          <w:iCs/>
        </w:rPr>
        <w:t>Greenhouse Gas Reduction Measures:</w:t>
      </w:r>
    </w:p>
    <w:p w14:paraId="7DE3CEA3" w14:textId="20144BAD" w:rsidR="00661ADA" w:rsidRDefault="00840299" w:rsidP="000018B6">
      <w:r>
        <w:t xml:space="preserve">These </w:t>
      </w:r>
      <w:r w:rsidR="00BD377E">
        <w:t xml:space="preserve">GHG </w:t>
      </w:r>
      <w:r>
        <w:t xml:space="preserve">Reduction Measures </w:t>
      </w:r>
      <w:r w:rsidR="00661ADA">
        <w:t>from the Southeast Florida PCAP include the following for Measure #6:</w:t>
      </w:r>
    </w:p>
    <w:p w14:paraId="277B333C" w14:textId="77777777" w:rsidR="00661ADA" w:rsidRPr="00C70237" w:rsidRDefault="00661ADA" w:rsidP="00356418">
      <w:pPr>
        <w:pStyle w:val="ListParagraph"/>
        <w:numPr>
          <w:ilvl w:val="0"/>
          <w:numId w:val="3"/>
        </w:numPr>
      </w:pPr>
      <w:r w:rsidRPr="00156332">
        <w:rPr>
          <w:i/>
          <w:iCs/>
        </w:rPr>
        <w:t>R-01. Residential Heat Pump or High-Efficiency A/C Retrofits and Commissioning.</w:t>
      </w:r>
      <w:r w:rsidRPr="00C70237">
        <w:t xml:space="preserve"> </w:t>
      </w:r>
    </w:p>
    <w:p w14:paraId="3C694D8E" w14:textId="77777777" w:rsidR="00661ADA" w:rsidRPr="00C70237" w:rsidRDefault="00661ADA" w:rsidP="00356418">
      <w:pPr>
        <w:pStyle w:val="ListParagraph"/>
        <w:numPr>
          <w:ilvl w:val="0"/>
          <w:numId w:val="3"/>
        </w:numPr>
      </w:pPr>
      <w:r w:rsidRPr="00156332">
        <w:rPr>
          <w:i/>
          <w:iCs/>
        </w:rPr>
        <w:t>R-03. Residential LED Lighting.</w:t>
      </w:r>
      <w:r w:rsidRPr="00C70237">
        <w:t xml:space="preserve"> </w:t>
      </w:r>
    </w:p>
    <w:p w14:paraId="2ED10260" w14:textId="29D972DF" w:rsidR="00661ADA" w:rsidRPr="00C70237" w:rsidRDefault="00661ADA" w:rsidP="00356418">
      <w:pPr>
        <w:pStyle w:val="ListParagraph"/>
        <w:numPr>
          <w:ilvl w:val="0"/>
          <w:numId w:val="3"/>
        </w:numPr>
      </w:pPr>
      <w:r w:rsidRPr="00156332">
        <w:rPr>
          <w:i/>
          <w:iCs/>
        </w:rPr>
        <w:t>R-0</w:t>
      </w:r>
      <w:r w:rsidR="00791D76">
        <w:rPr>
          <w:i/>
          <w:iCs/>
        </w:rPr>
        <w:t>4</w:t>
      </w:r>
      <w:r w:rsidRPr="00156332">
        <w:rPr>
          <w:i/>
          <w:iCs/>
        </w:rPr>
        <w:t xml:space="preserve">. </w:t>
      </w:r>
      <w:r w:rsidR="00771EB1" w:rsidRPr="00156332">
        <w:rPr>
          <w:i/>
          <w:iCs/>
        </w:rPr>
        <w:t>Residential Enclosure Upgrades (with roof assessment).</w:t>
      </w:r>
    </w:p>
    <w:p w14:paraId="0A8CFE8E" w14:textId="77777777" w:rsidR="00661ADA" w:rsidRPr="00C70237" w:rsidRDefault="00661ADA" w:rsidP="00356418">
      <w:pPr>
        <w:pStyle w:val="ListParagraph"/>
        <w:numPr>
          <w:ilvl w:val="0"/>
          <w:numId w:val="3"/>
        </w:numPr>
      </w:pPr>
      <w:r w:rsidRPr="00156332">
        <w:rPr>
          <w:i/>
          <w:iCs/>
        </w:rPr>
        <w:t>R-09. Residential Smart Thermostats.</w:t>
      </w:r>
      <w:r w:rsidRPr="00C70237">
        <w:t xml:space="preserve"> </w:t>
      </w:r>
    </w:p>
    <w:p w14:paraId="5E0E56A4" w14:textId="77777777" w:rsidR="00661ADA" w:rsidRPr="00F72826" w:rsidRDefault="00661ADA" w:rsidP="000018B6">
      <w:pPr>
        <w:rPr>
          <w:sz w:val="16"/>
          <w:szCs w:val="16"/>
        </w:rPr>
      </w:pPr>
    </w:p>
    <w:p w14:paraId="7A1C2D8C" w14:textId="59CF3F68" w:rsidR="00BC4816" w:rsidRDefault="00BC4816" w:rsidP="000018B6">
      <w:pPr>
        <w:rPr>
          <w:b/>
          <w:bCs/>
        </w:rPr>
      </w:pPr>
      <w:r w:rsidRPr="0052116C">
        <w:rPr>
          <w:b/>
          <w:bCs/>
          <w:i/>
          <w:iCs/>
        </w:rPr>
        <w:t>Tasks and Milestones:</w:t>
      </w:r>
      <w:r w:rsidRPr="00E56CB2">
        <w:t xml:space="preserve"> Through the CPRG, the following tasks and milestones</w:t>
      </w:r>
      <w:r>
        <w:t xml:space="preserve"> for this program include procuring a contractor</w:t>
      </w:r>
      <w:r w:rsidR="00C373C1">
        <w:t xml:space="preserve"> using federal procurement processes</w:t>
      </w:r>
      <w:r>
        <w:t xml:space="preserve">, developing outreach materials, providing outreach to eligible participants, holding lotteries for eligible participants, and installing </w:t>
      </w:r>
      <w:r w:rsidR="00BD377E">
        <w:t xml:space="preserve">GHG </w:t>
      </w:r>
      <w:r w:rsidR="00A5385E">
        <w:t>R</w:t>
      </w:r>
      <w:r>
        <w:t xml:space="preserve">eduction </w:t>
      </w:r>
      <w:r w:rsidR="00A5385E">
        <w:t>M</w:t>
      </w:r>
      <w:r>
        <w:t xml:space="preserve">easures. </w:t>
      </w:r>
    </w:p>
    <w:p w14:paraId="63C3EC7A" w14:textId="77777777" w:rsidR="00666E4C" w:rsidRDefault="00666E4C" w:rsidP="000018B6">
      <w:pPr>
        <w:pStyle w:val="ListParagraph"/>
        <w:ind w:left="0"/>
      </w:pPr>
    </w:p>
    <w:p w14:paraId="0CCC5D3D" w14:textId="6F03ED84" w:rsidR="00AE3400" w:rsidRDefault="00164DAC" w:rsidP="000018B6">
      <w:pPr>
        <w:pStyle w:val="ListParagraph"/>
        <w:ind w:left="0"/>
      </w:pPr>
      <w:r w:rsidRPr="0052116C">
        <w:rPr>
          <w:b/>
          <w:bCs/>
          <w:i/>
          <w:iCs/>
        </w:rPr>
        <w:t>Additional Tasks and Milestones for Climate Ready Housing Program Suite:</w:t>
      </w:r>
      <w:r w:rsidRPr="0052116C">
        <w:rPr>
          <w:b/>
          <w:bCs/>
        </w:rPr>
        <w:t xml:space="preserve"> </w:t>
      </w:r>
      <w:r w:rsidR="00BC4816">
        <w:t>Additional milestones and tasks for the overall Climate Ready Housing Program Suite include</w:t>
      </w:r>
      <w:r w:rsidR="00E77EDF">
        <w:t xml:space="preserve"> </w:t>
      </w:r>
      <w:r w:rsidR="00924731">
        <w:t xml:space="preserve">the City Commission </w:t>
      </w:r>
      <w:r w:rsidR="00E77EDF">
        <w:t>accepting the grant funds</w:t>
      </w:r>
      <w:r w:rsidR="00924731">
        <w:t>,</w:t>
      </w:r>
      <w:r w:rsidR="00BC4816">
        <w:t xml:space="preserve"> hiring </w:t>
      </w:r>
      <w:r w:rsidR="00C51866">
        <w:t xml:space="preserve">staff </w:t>
      </w:r>
      <w:r w:rsidR="004B71FA">
        <w:t xml:space="preserve">to serve </w:t>
      </w:r>
      <w:r w:rsidR="00C51866">
        <w:t>as project managers</w:t>
      </w:r>
      <w:r w:rsidR="007935B4">
        <w:t xml:space="preserve">, </w:t>
      </w:r>
      <w:r w:rsidR="00A5385E">
        <w:t xml:space="preserve">hiring contractors to install the GHG Reduction Measures, </w:t>
      </w:r>
      <w:r w:rsidR="00412CDE" w:rsidRPr="00542D35">
        <w:t>working to expand the green economy,</w:t>
      </w:r>
      <w:r w:rsidR="00412CDE">
        <w:t xml:space="preserve"> </w:t>
      </w:r>
      <w:r w:rsidR="00B167E5">
        <w:t xml:space="preserve">traveling locally and nonlocally, </w:t>
      </w:r>
      <w:r w:rsidR="003E2930">
        <w:t xml:space="preserve">developing the </w:t>
      </w:r>
      <w:r w:rsidR="00177CA9">
        <w:t>Quality Assurance Plan</w:t>
      </w:r>
      <w:r w:rsidR="0023595F">
        <w:t xml:space="preserve"> to submit to EP</w:t>
      </w:r>
      <w:r w:rsidR="00412CDE">
        <w:t>A</w:t>
      </w:r>
      <w:r w:rsidR="00177CA9">
        <w:t xml:space="preserve">, and </w:t>
      </w:r>
      <w:r w:rsidR="00FC30BB">
        <w:t xml:space="preserve">preparing and submitting </w:t>
      </w:r>
      <w:r w:rsidR="00AB35D6">
        <w:t xml:space="preserve">to EPA </w:t>
      </w:r>
      <w:r w:rsidR="00FC30BB">
        <w:t xml:space="preserve">the </w:t>
      </w:r>
      <w:r w:rsidR="00F30BF7">
        <w:t xml:space="preserve">semi-annual </w:t>
      </w:r>
      <w:r w:rsidR="00AB35D6">
        <w:t>P</w:t>
      </w:r>
      <w:r w:rsidR="00F30BF7">
        <w:t xml:space="preserve">rogress </w:t>
      </w:r>
      <w:r w:rsidR="00AB35D6">
        <w:t>R</w:t>
      </w:r>
      <w:r w:rsidR="00F30BF7">
        <w:t>eports</w:t>
      </w:r>
      <w:r w:rsidR="0023595F">
        <w:t>, the end of Year 1 LIDAC Benefits Report,</w:t>
      </w:r>
      <w:r w:rsidR="004B71FA">
        <w:t xml:space="preserve"> and the </w:t>
      </w:r>
      <w:r w:rsidR="0023595F">
        <w:t>F</w:t>
      </w:r>
      <w:r w:rsidR="004B71FA">
        <w:t xml:space="preserve">inal </w:t>
      </w:r>
      <w:r w:rsidR="0023595F">
        <w:t>Project Rep</w:t>
      </w:r>
      <w:r w:rsidR="00AB35D6">
        <w:t>ort</w:t>
      </w:r>
      <w:r w:rsidR="00F30BF7">
        <w:t xml:space="preserve">. </w:t>
      </w:r>
      <w:r w:rsidR="00AE3400">
        <w:t>The milestones and tasks a</w:t>
      </w:r>
      <w:r w:rsidR="00E77EDF">
        <w:t>s further</w:t>
      </w:r>
      <w:r w:rsidR="00AE3400">
        <w:t xml:space="preserve"> described in </w:t>
      </w:r>
      <w:r w:rsidR="00A1597E">
        <w:t xml:space="preserve">Section 3 will </w:t>
      </w:r>
      <w:r w:rsidR="004257ED">
        <w:t xml:space="preserve">ensure the success of the </w:t>
      </w:r>
      <w:r w:rsidR="00BD377E">
        <w:t xml:space="preserve">GHG </w:t>
      </w:r>
      <w:r w:rsidR="004F51FC">
        <w:t>R</w:t>
      </w:r>
      <w:r w:rsidR="004257ED">
        <w:t xml:space="preserve">eduction </w:t>
      </w:r>
      <w:r w:rsidR="004F51FC">
        <w:t>M</w:t>
      </w:r>
      <w:r w:rsidR="004257ED">
        <w:t xml:space="preserve">easures within the </w:t>
      </w:r>
      <w:r w:rsidR="003C657F">
        <w:t xml:space="preserve">City of </w:t>
      </w:r>
      <w:r w:rsidR="004257ED">
        <w:t>Miami Climate Ready Housing Program Suite.</w:t>
      </w:r>
    </w:p>
    <w:p w14:paraId="244135E0" w14:textId="3B8E3D4A" w:rsidR="00661ADA" w:rsidRPr="00F55DDD" w:rsidRDefault="00661ADA" w:rsidP="00356418">
      <w:pPr>
        <w:pStyle w:val="Heading3"/>
        <w:numPr>
          <w:ilvl w:val="0"/>
          <w:numId w:val="6"/>
        </w:numPr>
      </w:pPr>
      <w:r w:rsidRPr="00F55DDD">
        <w:t>Demonstration of Funding Need (10 possible</w:t>
      </w:r>
      <w:r w:rsidRPr="00F55DDD">
        <w:rPr>
          <w:spacing w:val="1"/>
        </w:rPr>
        <w:t xml:space="preserve"> </w:t>
      </w:r>
      <w:r w:rsidRPr="00F55DDD">
        <w:t>points)</w:t>
      </w:r>
    </w:p>
    <w:p w14:paraId="74BC8F4A" w14:textId="09182312" w:rsidR="00661ADA" w:rsidRPr="00156332" w:rsidRDefault="00661ADA" w:rsidP="00C81FA3">
      <w:pPr>
        <w:pStyle w:val="BodyText"/>
        <w:rPr>
          <w:sz w:val="22"/>
          <w:szCs w:val="22"/>
        </w:rPr>
      </w:pPr>
      <w:r w:rsidRPr="00156332">
        <w:rPr>
          <w:sz w:val="22"/>
          <w:szCs w:val="22"/>
        </w:rPr>
        <w:t xml:space="preserve">Housing affordability coupled with climate change </w:t>
      </w:r>
      <w:r w:rsidR="00D71B60">
        <w:rPr>
          <w:sz w:val="22"/>
          <w:szCs w:val="22"/>
        </w:rPr>
        <w:t>is a compounding challenge</w:t>
      </w:r>
      <w:r w:rsidRPr="00156332">
        <w:rPr>
          <w:sz w:val="22"/>
          <w:szCs w:val="22"/>
        </w:rPr>
        <w:t xml:space="preserve"> for City of Miami residents. Miami is ground zero for climate change with sea levels projecting to rise 2 feet by 2060. </w:t>
      </w:r>
      <w:r w:rsidR="003560B0">
        <w:rPr>
          <w:sz w:val="22"/>
          <w:szCs w:val="22"/>
        </w:rPr>
        <w:t>W</w:t>
      </w:r>
      <w:r w:rsidR="003560B0" w:rsidRPr="00156332">
        <w:rPr>
          <w:sz w:val="22"/>
          <w:szCs w:val="22"/>
        </w:rPr>
        <w:t>armer temperatures</w:t>
      </w:r>
      <w:r w:rsidRPr="00156332">
        <w:rPr>
          <w:sz w:val="22"/>
          <w:szCs w:val="22"/>
        </w:rPr>
        <w:t xml:space="preserve"> </w:t>
      </w:r>
      <w:r w:rsidR="003560B0">
        <w:rPr>
          <w:sz w:val="22"/>
          <w:szCs w:val="22"/>
        </w:rPr>
        <w:t xml:space="preserve">are causing these </w:t>
      </w:r>
      <w:r w:rsidRPr="00156332">
        <w:rPr>
          <w:sz w:val="22"/>
          <w:szCs w:val="22"/>
        </w:rPr>
        <w:t xml:space="preserve">rising sea levels </w:t>
      </w:r>
      <w:r w:rsidR="003560B0">
        <w:rPr>
          <w:sz w:val="22"/>
          <w:szCs w:val="22"/>
        </w:rPr>
        <w:t>which is leading to</w:t>
      </w:r>
      <w:r w:rsidRPr="00156332">
        <w:rPr>
          <w:sz w:val="22"/>
          <w:szCs w:val="22"/>
        </w:rPr>
        <w:t xml:space="preserve"> </w:t>
      </w:r>
      <w:r w:rsidR="00597459">
        <w:rPr>
          <w:sz w:val="22"/>
          <w:szCs w:val="22"/>
        </w:rPr>
        <w:t xml:space="preserve">increased tidal flooding, </w:t>
      </w:r>
      <w:r w:rsidRPr="00156332">
        <w:rPr>
          <w:sz w:val="22"/>
          <w:szCs w:val="22"/>
        </w:rPr>
        <w:t>more intense storms</w:t>
      </w:r>
      <w:r w:rsidR="00597459">
        <w:rPr>
          <w:sz w:val="22"/>
          <w:szCs w:val="22"/>
        </w:rPr>
        <w:t>,</w:t>
      </w:r>
      <w:r w:rsidRPr="00156332">
        <w:rPr>
          <w:sz w:val="22"/>
          <w:szCs w:val="22"/>
        </w:rPr>
        <w:t xml:space="preserve"> and extreme heat events</w:t>
      </w:r>
      <w:r w:rsidR="003560B0">
        <w:rPr>
          <w:sz w:val="22"/>
          <w:szCs w:val="22"/>
        </w:rPr>
        <w:t xml:space="preserve"> in the City of Miami</w:t>
      </w:r>
      <w:r w:rsidRPr="00156332">
        <w:rPr>
          <w:sz w:val="22"/>
          <w:szCs w:val="22"/>
        </w:rPr>
        <w:t xml:space="preserve">. Property loss or extensive repairs </w:t>
      </w:r>
      <w:r w:rsidR="003560B0">
        <w:rPr>
          <w:sz w:val="22"/>
          <w:szCs w:val="22"/>
        </w:rPr>
        <w:t xml:space="preserve">from these climate change effects </w:t>
      </w:r>
      <w:r w:rsidRPr="00156332">
        <w:rPr>
          <w:sz w:val="22"/>
          <w:szCs w:val="22"/>
        </w:rPr>
        <w:t xml:space="preserve">can significantly impact the ability of residents to have a safe and healthy home, and lead to displacement of families and economic distress across entire communities. </w:t>
      </w:r>
    </w:p>
    <w:p w14:paraId="4ADDF8F1" w14:textId="77777777" w:rsidR="00C81FA3" w:rsidRDefault="00C81FA3" w:rsidP="00C81FA3">
      <w:pPr>
        <w:pStyle w:val="BodyText"/>
        <w:rPr>
          <w:sz w:val="22"/>
          <w:szCs w:val="22"/>
        </w:rPr>
      </w:pPr>
    </w:p>
    <w:p w14:paraId="0D086B3A" w14:textId="098654CF" w:rsidR="00710E8A" w:rsidRDefault="00661ADA" w:rsidP="00C81FA3">
      <w:pPr>
        <w:pStyle w:val="BodyText"/>
        <w:rPr>
          <w:sz w:val="22"/>
          <w:szCs w:val="22"/>
        </w:rPr>
      </w:pPr>
      <w:r w:rsidRPr="00156332">
        <w:rPr>
          <w:sz w:val="22"/>
          <w:szCs w:val="22"/>
        </w:rPr>
        <w:t>In 2017, Hurricane Irma demonstrated the vulnerability of low</w:t>
      </w:r>
      <w:r w:rsidR="006C5BC2">
        <w:rPr>
          <w:sz w:val="22"/>
          <w:szCs w:val="22"/>
        </w:rPr>
        <w:t>-</w:t>
      </w:r>
      <w:r w:rsidRPr="00156332">
        <w:rPr>
          <w:sz w:val="22"/>
          <w:szCs w:val="22"/>
        </w:rPr>
        <w:t>income and elderly renter populations to the impacts of storms and climate change. 70% of Miami’s population are renters which limits the types of climate preparedness and prevention solutions they can install on their own. There are over 190 multifamily affordable housing rental buildings with over 150,000 households within the City of Miami that can benefit from programs that City implements to increase resilience in residential housing and prevent displacement. In addition, many of the City’s homeowners purchased their homes before the housing bubble that the City is currently experiencing. As the climate changes and sea levels rise, residents are seeing increasing risks of flooding from storms, higher tides, and potential storm surge. This is causing some developers to look to higher ground, more in-land, to develop properties.</w:t>
      </w:r>
      <w:r w:rsidR="00EC2DEF">
        <w:rPr>
          <w:sz w:val="22"/>
          <w:szCs w:val="22"/>
        </w:rPr>
        <w:t xml:space="preserve"> </w:t>
      </w:r>
      <w:r w:rsidRPr="00156332">
        <w:rPr>
          <w:sz w:val="22"/>
          <w:szCs w:val="22"/>
        </w:rPr>
        <w:t>This higher ground is often located in Miami’s Climate Justice Communities</w:t>
      </w:r>
      <w:r w:rsidR="004674B9">
        <w:rPr>
          <w:sz w:val="22"/>
          <w:szCs w:val="22"/>
        </w:rPr>
        <w:t>,</w:t>
      </w:r>
      <w:r w:rsidRPr="00156332">
        <w:rPr>
          <w:sz w:val="22"/>
          <w:szCs w:val="22"/>
        </w:rPr>
        <w:t xml:space="preserve"> as described in </w:t>
      </w:r>
      <w:r w:rsidR="00C00125">
        <w:rPr>
          <w:sz w:val="22"/>
          <w:szCs w:val="22"/>
        </w:rPr>
        <w:t>Section 3</w:t>
      </w:r>
      <w:r w:rsidRPr="00156332">
        <w:rPr>
          <w:sz w:val="22"/>
          <w:szCs w:val="22"/>
        </w:rPr>
        <w:t xml:space="preserve">, and the potential for displacement of people living in these areas is ominous. </w:t>
      </w:r>
      <w:r w:rsidR="00A247B8">
        <w:rPr>
          <w:sz w:val="22"/>
          <w:szCs w:val="22"/>
        </w:rPr>
        <w:t>This type of development caused by climate change is referred to as climate gentrification.</w:t>
      </w:r>
      <w:r w:rsidR="00561F60">
        <w:rPr>
          <w:sz w:val="22"/>
          <w:szCs w:val="22"/>
        </w:rPr>
        <w:t xml:space="preserve"> </w:t>
      </w:r>
      <w:r w:rsidRPr="00156332">
        <w:rPr>
          <w:sz w:val="22"/>
          <w:szCs w:val="22"/>
        </w:rPr>
        <w:t>In addition, extreme heat caused by climate change is profoundly impacting the City’s residents. In 2021, the City’s Fire Rescue team received 234 total calls related to heat exhaustion, heat stroke</w:t>
      </w:r>
      <w:r w:rsidR="00392259">
        <w:rPr>
          <w:sz w:val="22"/>
          <w:szCs w:val="22"/>
        </w:rPr>
        <w:t>,</w:t>
      </w:r>
      <w:r w:rsidRPr="00156332">
        <w:rPr>
          <w:sz w:val="22"/>
          <w:szCs w:val="22"/>
        </w:rPr>
        <w:t xml:space="preserve"> or sunstroke and 272 total calls</w:t>
      </w:r>
      <w:r w:rsidR="00392259">
        <w:rPr>
          <w:sz w:val="22"/>
          <w:szCs w:val="22"/>
        </w:rPr>
        <w:t xml:space="preserve"> in 2022</w:t>
      </w:r>
      <w:r w:rsidRPr="00156332">
        <w:rPr>
          <w:sz w:val="22"/>
          <w:szCs w:val="22"/>
        </w:rPr>
        <w:t xml:space="preserve">. Besides direct heat-related illness, heat worsens asthma, heart and lung disorders, and even mental illnesses. Studies show that </w:t>
      </w:r>
      <w:r w:rsidR="00A50163">
        <w:rPr>
          <w:sz w:val="22"/>
          <w:szCs w:val="22"/>
        </w:rPr>
        <w:t xml:space="preserve">heat can </w:t>
      </w:r>
      <w:r w:rsidRPr="00156332">
        <w:rPr>
          <w:sz w:val="22"/>
          <w:szCs w:val="22"/>
        </w:rPr>
        <w:t>exacerbate respiratory disorders (e.g.</w:t>
      </w:r>
      <w:r w:rsidR="00392259">
        <w:rPr>
          <w:sz w:val="22"/>
          <w:szCs w:val="22"/>
        </w:rPr>
        <w:t>,</w:t>
      </w:r>
      <w:r w:rsidRPr="00156332">
        <w:rPr>
          <w:sz w:val="22"/>
          <w:szCs w:val="22"/>
        </w:rPr>
        <w:t xml:space="preserve"> chronic obstructive pulmonary disease and bronchospasm) and cause higher incidences of cardiovascular diseases (e.g.</w:t>
      </w:r>
      <w:r w:rsidR="009E42D8">
        <w:rPr>
          <w:sz w:val="22"/>
          <w:szCs w:val="22"/>
        </w:rPr>
        <w:t>,</w:t>
      </w:r>
      <w:r w:rsidRPr="00156332">
        <w:rPr>
          <w:sz w:val="22"/>
          <w:szCs w:val="22"/>
        </w:rPr>
        <w:t xml:space="preserve"> strokes and dysrhythmia). Rising temperatures can trigger mental health issues including mental fatigue, aggression, and even higher rates of suicide. The Women’s Fund of Miami-Dade developed a campaign specifically calling out risks to pregnant women and increased likelihoods of domestic violence due to extreme heat. </w:t>
      </w:r>
    </w:p>
    <w:p w14:paraId="64603A4A" w14:textId="77777777" w:rsidR="00710E8A" w:rsidRDefault="00710E8A" w:rsidP="00C81FA3">
      <w:pPr>
        <w:pStyle w:val="BodyText"/>
        <w:rPr>
          <w:sz w:val="22"/>
          <w:szCs w:val="22"/>
        </w:rPr>
      </w:pPr>
    </w:p>
    <w:p w14:paraId="2E934484" w14:textId="504C32C1" w:rsidR="00123F6D" w:rsidRPr="00156332" w:rsidRDefault="00661ADA" w:rsidP="00C81FA3">
      <w:pPr>
        <w:pStyle w:val="BodyText"/>
        <w:rPr>
          <w:sz w:val="22"/>
          <w:szCs w:val="22"/>
        </w:rPr>
      </w:pPr>
      <w:r w:rsidRPr="00156332">
        <w:rPr>
          <w:sz w:val="22"/>
          <w:szCs w:val="22"/>
        </w:rPr>
        <w:t>The City’s Climate Ready Housing Programs help provide tools and information to incentivize residential properties to prepare for major storms</w:t>
      </w:r>
      <w:r w:rsidR="00124985">
        <w:rPr>
          <w:sz w:val="22"/>
          <w:szCs w:val="22"/>
        </w:rPr>
        <w:t>, extreme heat,</w:t>
      </w:r>
      <w:r w:rsidRPr="00156332">
        <w:rPr>
          <w:sz w:val="22"/>
          <w:szCs w:val="22"/>
        </w:rPr>
        <w:t xml:space="preserve"> and other natural disasters and prevent displacement from climate gentrification.</w:t>
      </w:r>
      <w:r w:rsidR="00710E8A">
        <w:rPr>
          <w:sz w:val="22"/>
          <w:szCs w:val="22"/>
        </w:rPr>
        <w:t xml:space="preserve"> </w:t>
      </w:r>
      <w:r w:rsidR="00123F6D">
        <w:rPr>
          <w:sz w:val="22"/>
          <w:szCs w:val="22"/>
        </w:rPr>
        <w:t>While the private energy utility, Florida Power &amp; Light (FPL), ha</w:t>
      </w:r>
      <w:r w:rsidR="00382557">
        <w:rPr>
          <w:sz w:val="22"/>
          <w:szCs w:val="22"/>
        </w:rPr>
        <w:t>s</w:t>
      </w:r>
      <w:r w:rsidR="00123F6D">
        <w:rPr>
          <w:sz w:val="22"/>
          <w:szCs w:val="22"/>
        </w:rPr>
        <w:t xml:space="preserve"> </w:t>
      </w:r>
      <w:r w:rsidR="00F53343">
        <w:rPr>
          <w:sz w:val="22"/>
          <w:szCs w:val="22"/>
        </w:rPr>
        <w:t xml:space="preserve">customer assistance programs for low-income customers, </w:t>
      </w:r>
      <w:r w:rsidR="003D3EB2">
        <w:rPr>
          <w:sz w:val="22"/>
          <w:szCs w:val="22"/>
        </w:rPr>
        <w:t>the need</w:t>
      </w:r>
      <w:r w:rsidR="00C42AEC">
        <w:rPr>
          <w:sz w:val="22"/>
          <w:szCs w:val="22"/>
        </w:rPr>
        <w:t>s</w:t>
      </w:r>
      <w:r w:rsidR="003D3EB2">
        <w:rPr>
          <w:sz w:val="22"/>
          <w:szCs w:val="22"/>
        </w:rPr>
        <w:t xml:space="preserve"> of the City’s residents are not completely met</w:t>
      </w:r>
      <w:r w:rsidR="0066682B">
        <w:rPr>
          <w:sz w:val="22"/>
          <w:szCs w:val="22"/>
        </w:rPr>
        <w:t xml:space="preserve"> and the City is not seeing significant decreases in </w:t>
      </w:r>
      <w:r w:rsidR="00C7359C">
        <w:rPr>
          <w:sz w:val="22"/>
          <w:szCs w:val="22"/>
        </w:rPr>
        <w:t xml:space="preserve">GHG </w:t>
      </w:r>
      <w:r w:rsidR="0066682B">
        <w:rPr>
          <w:sz w:val="22"/>
          <w:szCs w:val="22"/>
        </w:rPr>
        <w:t xml:space="preserve">emissions from </w:t>
      </w:r>
      <w:r w:rsidR="00931D44">
        <w:rPr>
          <w:sz w:val="22"/>
          <w:szCs w:val="22"/>
        </w:rPr>
        <w:t xml:space="preserve">existence of these programs. The City must lead in assisting residents with cost saving and environmental enhancing measures </w:t>
      </w:r>
      <w:r w:rsidR="002428CA">
        <w:rPr>
          <w:sz w:val="22"/>
          <w:szCs w:val="22"/>
        </w:rPr>
        <w:t xml:space="preserve">to be as resilient as possible. </w:t>
      </w:r>
      <w:r w:rsidR="00690ED8">
        <w:rPr>
          <w:sz w:val="22"/>
          <w:szCs w:val="22"/>
        </w:rPr>
        <w:t>Additional funding is needed to sustain t</w:t>
      </w:r>
      <w:r w:rsidR="00C55119">
        <w:rPr>
          <w:sz w:val="22"/>
          <w:szCs w:val="22"/>
        </w:rPr>
        <w:t>he City’s leadership</w:t>
      </w:r>
      <w:r w:rsidR="003F580B">
        <w:rPr>
          <w:sz w:val="22"/>
          <w:szCs w:val="22"/>
        </w:rPr>
        <w:t xml:space="preserve"> </w:t>
      </w:r>
      <w:r w:rsidR="006C5A39">
        <w:rPr>
          <w:sz w:val="22"/>
          <w:szCs w:val="22"/>
        </w:rPr>
        <w:t>with</w:t>
      </w:r>
      <w:r w:rsidR="003F580B">
        <w:rPr>
          <w:sz w:val="22"/>
          <w:szCs w:val="22"/>
        </w:rPr>
        <w:t xml:space="preserve"> the </w:t>
      </w:r>
      <w:r w:rsidR="003C657F">
        <w:rPr>
          <w:sz w:val="22"/>
          <w:szCs w:val="22"/>
        </w:rPr>
        <w:t xml:space="preserve">City of </w:t>
      </w:r>
      <w:r w:rsidR="003F580B">
        <w:rPr>
          <w:sz w:val="22"/>
          <w:szCs w:val="22"/>
        </w:rPr>
        <w:t xml:space="preserve">Miami Climate Ready Housing Program Suite. </w:t>
      </w:r>
      <w:r w:rsidR="00DA12D8">
        <w:rPr>
          <w:sz w:val="22"/>
          <w:szCs w:val="22"/>
        </w:rPr>
        <w:t>This Program Suite will successfully implement the GHG Reduction Measures.</w:t>
      </w:r>
    </w:p>
    <w:p w14:paraId="01F7DEF5" w14:textId="77777777" w:rsidR="00C81FA3" w:rsidRDefault="00C81FA3" w:rsidP="00C81FA3">
      <w:pPr>
        <w:pStyle w:val="BodyText"/>
        <w:rPr>
          <w:b/>
          <w:bCs/>
          <w:sz w:val="22"/>
          <w:szCs w:val="22"/>
        </w:rPr>
      </w:pPr>
    </w:p>
    <w:p w14:paraId="10ABA269" w14:textId="70AEEE46" w:rsidR="00661ADA" w:rsidRPr="00156332" w:rsidRDefault="00661ADA" w:rsidP="00C81FA3">
      <w:pPr>
        <w:pStyle w:val="BodyText"/>
        <w:rPr>
          <w:b/>
          <w:bCs/>
          <w:sz w:val="22"/>
          <w:szCs w:val="22"/>
        </w:rPr>
      </w:pPr>
      <w:r w:rsidRPr="00156332">
        <w:rPr>
          <w:b/>
          <w:bCs/>
          <w:sz w:val="22"/>
          <w:szCs w:val="22"/>
        </w:rPr>
        <w:t xml:space="preserve">Keep Safe Miami Program: </w:t>
      </w:r>
    </w:p>
    <w:p w14:paraId="238257AC" w14:textId="41CDD56A" w:rsidR="00661ADA" w:rsidRPr="00156332" w:rsidRDefault="00661ADA" w:rsidP="00C81FA3">
      <w:pPr>
        <w:pStyle w:val="BodyText"/>
        <w:rPr>
          <w:i/>
          <w:iCs/>
          <w:sz w:val="22"/>
          <w:szCs w:val="22"/>
        </w:rPr>
      </w:pPr>
      <w:r w:rsidRPr="00156332">
        <w:rPr>
          <w:i/>
          <w:iCs/>
          <w:sz w:val="22"/>
          <w:szCs w:val="22"/>
        </w:rPr>
        <w:t>Funding Sources: SSDN (non-federal, non-renewable</w:t>
      </w:r>
      <w:r w:rsidR="00D55611">
        <w:rPr>
          <w:i/>
          <w:iCs/>
          <w:sz w:val="22"/>
          <w:szCs w:val="22"/>
        </w:rPr>
        <w:t>, 2-year</w:t>
      </w:r>
      <w:r w:rsidRPr="00156332">
        <w:rPr>
          <w:i/>
          <w:iCs/>
          <w:sz w:val="22"/>
          <w:szCs w:val="22"/>
        </w:rPr>
        <w:t>), HUD CDBG (federal</w:t>
      </w:r>
      <w:r w:rsidRPr="00206ADC">
        <w:rPr>
          <w:i/>
          <w:sz w:val="22"/>
          <w:szCs w:val="22"/>
        </w:rPr>
        <w:t>, 1 year</w:t>
      </w:r>
      <w:r w:rsidRPr="00156332">
        <w:rPr>
          <w:i/>
          <w:iCs/>
          <w:sz w:val="22"/>
          <w:szCs w:val="22"/>
        </w:rPr>
        <w:t>)</w:t>
      </w:r>
    </w:p>
    <w:p w14:paraId="5A6A222F" w14:textId="77777777" w:rsidR="00661ADA" w:rsidRPr="00156332" w:rsidRDefault="00661ADA" w:rsidP="005B1CE2">
      <w:pPr>
        <w:pStyle w:val="BodyText"/>
        <w:spacing w:after="120"/>
        <w:rPr>
          <w:i/>
          <w:iCs/>
          <w:sz w:val="22"/>
          <w:szCs w:val="22"/>
        </w:rPr>
      </w:pPr>
      <w:r w:rsidRPr="00156332">
        <w:rPr>
          <w:i/>
          <w:iCs/>
          <w:sz w:val="22"/>
          <w:szCs w:val="22"/>
        </w:rPr>
        <w:t>Additional Funding Applied For: EPA CPRG (pending)</w:t>
      </w:r>
    </w:p>
    <w:p w14:paraId="34AE4C37" w14:textId="29F3F0C9" w:rsidR="00661ADA" w:rsidRPr="00156332" w:rsidRDefault="00661ADA" w:rsidP="00C81FA3">
      <w:pPr>
        <w:pStyle w:val="BodyText"/>
        <w:rPr>
          <w:sz w:val="22"/>
          <w:szCs w:val="22"/>
        </w:rPr>
      </w:pPr>
      <w:r w:rsidRPr="00156332">
        <w:rPr>
          <w:sz w:val="22"/>
          <w:szCs w:val="22"/>
        </w:rPr>
        <w:t xml:space="preserve">The City of Miami received a grant from the Southeast </w:t>
      </w:r>
      <w:r w:rsidR="00CE396E">
        <w:rPr>
          <w:sz w:val="22"/>
          <w:szCs w:val="22"/>
        </w:rPr>
        <w:t xml:space="preserve">Sustainability </w:t>
      </w:r>
      <w:r w:rsidRPr="00156332">
        <w:rPr>
          <w:sz w:val="22"/>
          <w:szCs w:val="22"/>
        </w:rPr>
        <w:t>Directors Network (SSDN) in 2020 to develop the Keep Safe Miami program. Th</w:t>
      </w:r>
      <w:r w:rsidR="009342D2">
        <w:rPr>
          <w:sz w:val="22"/>
          <w:szCs w:val="22"/>
        </w:rPr>
        <w:t>is SSDN grant enabled the</w:t>
      </w:r>
      <w:r w:rsidRPr="00156332">
        <w:rPr>
          <w:sz w:val="22"/>
          <w:szCs w:val="22"/>
        </w:rPr>
        <w:t xml:space="preserve"> City </w:t>
      </w:r>
      <w:r w:rsidR="009342D2">
        <w:rPr>
          <w:sz w:val="22"/>
          <w:szCs w:val="22"/>
        </w:rPr>
        <w:t>to fund</w:t>
      </w:r>
      <w:r w:rsidRPr="00156332">
        <w:rPr>
          <w:sz w:val="22"/>
          <w:szCs w:val="22"/>
        </w:rPr>
        <w:t xml:space="preserve"> Enterprise Partners to develop the </w:t>
      </w:r>
      <w:r w:rsidR="00E7557F" w:rsidRPr="00E7557F">
        <w:rPr>
          <w:sz w:val="22"/>
          <w:szCs w:val="22"/>
        </w:rPr>
        <w:t>energy resilience</w:t>
      </w:r>
      <w:r w:rsidRPr="00156332">
        <w:rPr>
          <w:sz w:val="22"/>
          <w:szCs w:val="22"/>
        </w:rPr>
        <w:t xml:space="preserve"> assessment tool, criteria for participating in the program, and technical assistant to help administer the assessment tool. The SSDN grant ended in 2022. The City uses </w:t>
      </w:r>
      <w:r w:rsidR="00087068">
        <w:rPr>
          <w:sz w:val="22"/>
          <w:szCs w:val="22"/>
        </w:rPr>
        <w:t>U.S. Housing and Urban Development (</w:t>
      </w:r>
      <w:r w:rsidRPr="00156332">
        <w:rPr>
          <w:sz w:val="22"/>
          <w:szCs w:val="22"/>
        </w:rPr>
        <w:t>HUD</w:t>
      </w:r>
      <w:r w:rsidR="00087068">
        <w:rPr>
          <w:sz w:val="22"/>
          <w:szCs w:val="22"/>
        </w:rPr>
        <w:t>)</w:t>
      </w:r>
      <w:r w:rsidRPr="00156332">
        <w:rPr>
          <w:sz w:val="22"/>
          <w:szCs w:val="22"/>
        </w:rPr>
        <w:t xml:space="preserve"> Community Development Block Grant (CDBG) funds to administer the forgivable loans. While initial outreach in the beginning of the program was strong, the City has seen hesitancy from the building owners/operators to participate in the program due to a lack of incentives</w:t>
      </w:r>
      <w:r w:rsidR="00B503D5">
        <w:rPr>
          <w:sz w:val="22"/>
          <w:szCs w:val="22"/>
        </w:rPr>
        <w:t xml:space="preserve"> in implementing the </w:t>
      </w:r>
      <w:r w:rsidR="00C7359C">
        <w:rPr>
          <w:sz w:val="22"/>
          <w:szCs w:val="22"/>
        </w:rPr>
        <w:t xml:space="preserve">GHG </w:t>
      </w:r>
      <w:r w:rsidR="004F51FC">
        <w:rPr>
          <w:sz w:val="22"/>
          <w:szCs w:val="22"/>
        </w:rPr>
        <w:t>R</w:t>
      </w:r>
      <w:r w:rsidR="00B503D5">
        <w:rPr>
          <w:sz w:val="22"/>
          <w:szCs w:val="22"/>
        </w:rPr>
        <w:t xml:space="preserve">eduction </w:t>
      </w:r>
      <w:r w:rsidR="004F51FC">
        <w:rPr>
          <w:sz w:val="22"/>
          <w:szCs w:val="22"/>
        </w:rPr>
        <w:t>M</w:t>
      </w:r>
      <w:r w:rsidR="00B503D5">
        <w:rPr>
          <w:sz w:val="22"/>
          <w:szCs w:val="22"/>
        </w:rPr>
        <w:t>easures</w:t>
      </w:r>
      <w:r w:rsidRPr="00156332">
        <w:rPr>
          <w:sz w:val="22"/>
          <w:szCs w:val="22"/>
        </w:rPr>
        <w:t xml:space="preserve">. In addition, once grant funds for Enterprise Partners ran </w:t>
      </w:r>
      <w:r w:rsidRPr="00D55611">
        <w:rPr>
          <w:sz w:val="22"/>
          <w:szCs w:val="22"/>
        </w:rPr>
        <w:t>out only one year</w:t>
      </w:r>
      <w:r w:rsidR="00D55611">
        <w:rPr>
          <w:sz w:val="22"/>
          <w:szCs w:val="22"/>
        </w:rPr>
        <w:t xml:space="preserve"> into</w:t>
      </w:r>
      <w:r w:rsidRPr="00156332">
        <w:rPr>
          <w:sz w:val="22"/>
          <w:szCs w:val="22"/>
        </w:rPr>
        <w:t xml:space="preserve"> </w:t>
      </w:r>
      <w:r w:rsidR="00D55611">
        <w:rPr>
          <w:sz w:val="22"/>
          <w:szCs w:val="22"/>
        </w:rPr>
        <w:t xml:space="preserve">implementing </w:t>
      </w:r>
      <w:r w:rsidRPr="00156332">
        <w:rPr>
          <w:sz w:val="22"/>
          <w:szCs w:val="22"/>
        </w:rPr>
        <w:t>the program</w:t>
      </w:r>
      <w:r w:rsidR="00D55611">
        <w:rPr>
          <w:sz w:val="22"/>
          <w:szCs w:val="22"/>
        </w:rPr>
        <w:t xml:space="preserve"> (the first year was spent designing the program and assessment)</w:t>
      </w:r>
      <w:r w:rsidRPr="00156332">
        <w:rPr>
          <w:sz w:val="22"/>
          <w:szCs w:val="22"/>
        </w:rPr>
        <w:t>, outreach to the development community on the availability of the program greatly decreased. The City is seeking CPRG funds to fund the building improvements shown through the assessment. The City will place a 10</w:t>
      </w:r>
      <w:r w:rsidR="004E7C07">
        <w:rPr>
          <w:sz w:val="22"/>
          <w:szCs w:val="22"/>
        </w:rPr>
        <w:t>-</w:t>
      </w:r>
      <w:r w:rsidRPr="00156332">
        <w:rPr>
          <w:sz w:val="22"/>
          <w:szCs w:val="22"/>
        </w:rPr>
        <w:t xml:space="preserve">year lien on the property to ensure that rents remain affordable, similar to other programs the City administers. The City will also use the 5-year CPRG funding to fund a position within the City to provide sustained outreach for the program to ensure </w:t>
      </w:r>
      <w:r w:rsidR="004C012B" w:rsidRPr="00156332">
        <w:rPr>
          <w:sz w:val="22"/>
          <w:szCs w:val="22"/>
        </w:rPr>
        <w:t>its</w:t>
      </w:r>
      <w:r w:rsidRPr="00156332">
        <w:rPr>
          <w:sz w:val="22"/>
          <w:szCs w:val="22"/>
        </w:rPr>
        <w:t xml:space="preserve"> success</w:t>
      </w:r>
      <w:r w:rsidR="00BC4369">
        <w:rPr>
          <w:sz w:val="22"/>
          <w:szCs w:val="22"/>
        </w:rPr>
        <w:t xml:space="preserve"> in attracting participants and installing the nine (9) GHG Reduction Measures in our plan. </w:t>
      </w:r>
      <w:r w:rsidRPr="00156332">
        <w:rPr>
          <w:sz w:val="22"/>
          <w:szCs w:val="22"/>
        </w:rPr>
        <w:t xml:space="preserve"> </w:t>
      </w:r>
    </w:p>
    <w:p w14:paraId="555EFA9D" w14:textId="77777777" w:rsidR="00C81FA3" w:rsidRDefault="00C81FA3" w:rsidP="00C81FA3">
      <w:pPr>
        <w:pStyle w:val="BodyText"/>
        <w:rPr>
          <w:b/>
          <w:bCs/>
          <w:sz w:val="22"/>
          <w:szCs w:val="22"/>
        </w:rPr>
      </w:pPr>
    </w:p>
    <w:p w14:paraId="1DAEA1C4" w14:textId="5CE196B1" w:rsidR="00661ADA" w:rsidRPr="00156332" w:rsidRDefault="00661ADA" w:rsidP="00C81FA3">
      <w:pPr>
        <w:pStyle w:val="BodyText"/>
        <w:rPr>
          <w:sz w:val="22"/>
          <w:szCs w:val="22"/>
        </w:rPr>
      </w:pPr>
      <w:r w:rsidRPr="00156332">
        <w:rPr>
          <w:b/>
          <w:bCs/>
          <w:sz w:val="22"/>
          <w:szCs w:val="22"/>
        </w:rPr>
        <w:t>Homeowner Preservation Program:</w:t>
      </w:r>
      <w:r w:rsidRPr="00156332">
        <w:rPr>
          <w:sz w:val="22"/>
          <w:szCs w:val="22"/>
        </w:rPr>
        <w:t xml:space="preserve"> </w:t>
      </w:r>
    </w:p>
    <w:p w14:paraId="4F809021" w14:textId="77777777" w:rsidR="00661ADA" w:rsidRPr="00156332" w:rsidRDefault="00661ADA" w:rsidP="00C81FA3">
      <w:pPr>
        <w:pStyle w:val="BodyText"/>
        <w:rPr>
          <w:i/>
          <w:iCs/>
          <w:sz w:val="22"/>
          <w:szCs w:val="22"/>
        </w:rPr>
      </w:pPr>
      <w:r w:rsidRPr="00156332">
        <w:rPr>
          <w:i/>
          <w:iCs/>
          <w:sz w:val="22"/>
          <w:szCs w:val="22"/>
        </w:rPr>
        <w:t>Funding Source: Miami Forever Bond (non-federal, non-renewable)</w:t>
      </w:r>
    </w:p>
    <w:p w14:paraId="1226171C" w14:textId="77777777" w:rsidR="00661ADA" w:rsidRPr="00156332" w:rsidRDefault="00661ADA" w:rsidP="000B3A93">
      <w:pPr>
        <w:pStyle w:val="BodyText"/>
        <w:spacing w:after="120"/>
        <w:rPr>
          <w:i/>
          <w:iCs/>
          <w:sz w:val="22"/>
          <w:szCs w:val="22"/>
        </w:rPr>
      </w:pPr>
      <w:r w:rsidRPr="00156332">
        <w:rPr>
          <w:i/>
          <w:iCs/>
          <w:sz w:val="22"/>
          <w:szCs w:val="22"/>
        </w:rPr>
        <w:t>Additional Funding Applied For: EPA CPRG (pending)</w:t>
      </w:r>
    </w:p>
    <w:p w14:paraId="5A514DD5" w14:textId="2E874BD9" w:rsidR="00661ADA" w:rsidRPr="00156332" w:rsidRDefault="00661ADA" w:rsidP="00C81FA3">
      <w:pPr>
        <w:pStyle w:val="BodyText"/>
        <w:rPr>
          <w:sz w:val="22"/>
          <w:szCs w:val="22"/>
        </w:rPr>
      </w:pPr>
      <w:r w:rsidRPr="00156332">
        <w:rPr>
          <w:sz w:val="22"/>
          <w:szCs w:val="22"/>
        </w:rPr>
        <w:t xml:space="preserve">The City of Miami is using one-time funds from the Miami Forever Bond, a general obligation bond, to fund the Homeowner Preservation Program. This program is funded at $3,000,000 with funds allocated to eligible participants (up to $70,000) in each of the City’s five districts. </w:t>
      </w:r>
      <w:r w:rsidR="0090772D">
        <w:rPr>
          <w:sz w:val="22"/>
          <w:szCs w:val="22"/>
        </w:rPr>
        <w:t>Currently $1,3</w:t>
      </w:r>
      <w:r w:rsidR="00DB6EC7">
        <w:rPr>
          <w:sz w:val="22"/>
          <w:szCs w:val="22"/>
        </w:rPr>
        <w:t xml:space="preserve">00,000 are allocated to homes. </w:t>
      </w:r>
      <w:r w:rsidRPr="00156332">
        <w:rPr>
          <w:sz w:val="22"/>
          <w:szCs w:val="22"/>
        </w:rPr>
        <w:t xml:space="preserve">Experience with the program shows that in some areas the demand exceeds the availability of funding. One district has an especially high demand as a </w:t>
      </w:r>
      <w:r w:rsidR="003D7D7F">
        <w:rPr>
          <w:sz w:val="22"/>
          <w:szCs w:val="22"/>
        </w:rPr>
        <w:t>City C</w:t>
      </w:r>
      <w:r w:rsidRPr="00156332">
        <w:rPr>
          <w:sz w:val="22"/>
          <w:szCs w:val="22"/>
        </w:rPr>
        <w:t xml:space="preserve">ommissioner candidate up for election campaigned the district </w:t>
      </w:r>
      <w:r w:rsidR="003D7D7F">
        <w:rPr>
          <w:sz w:val="22"/>
          <w:szCs w:val="22"/>
        </w:rPr>
        <w:t xml:space="preserve">and heavily </w:t>
      </w:r>
      <w:r w:rsidRPr="00156332">
        <w:rPr>
          <w:sz w:val="22"/>
          <w:szCs w:val="22"/>
        </w:rPr>
        <w:t>socializ</w:t>
      </w:r>
      <w:r w:rsidR="003D7D7F">
        <w:rPr>
          <w:sz w:val="22"/>
          <w:szCs w:val="22"/>
        </w:rPr>
        <w:t>ed</w:t>
      </w:r>
      <w:r w:rsidRPr="00156332">
        <w:rPr>
          <w:sz w:val="22"/>
          <w:szCs w:val="22"/>
        </w:rPr>
        <w:t xml:space="preserve"> this program. </w:t>
      </w:r>
      <w:r w:rsidR="00F50CCC">
        <w:rPr>
          <w:sz w:val="22"/>
          <w:szCs w:val="22"/>
        </w:rPr>
        <w:t>This district has used all their allocated funding</w:t>
      </w:r>
      <w:r w:rsidR="003D7D7F">
        <w:rPr>
          <w:sz w:val="22"/>
          <w:szCs w:val="22"/>
        </w:rPr>
        <w:t xml:space="preserve"> from this effort</w:t>
      </w:r>
      <w:r w:rsidR="00F50CCC">
        <w:rPr>
          <w:sz w:val="22"/>
          <w:szCs w:val="22"/>
        </w:rPr>
        <w:t>.</w:t>
      </w:r>
      <w:r w:rsidRPr="00156332">
        <w:rPr>
          <w:sz w:val="22"/>
          <w:szCs w:val="22"/>
        </w:rPr>
        <w:t xml:space="preserve"> Other districts did not receive this type of public engagement and if outreach were performed at a higher level, demand would also increase in other districts. Experience also shows that some properties, while eligible, were not able to move forward due to extensive termite damage that required funding above what the program allocated per home as trusses in the homes needed to be replaced to facilitate roof replacements. Termites are prevalent in southeast Florida and many homes are affected and tenting at regular intervals</w:t>
      </w:r>
      <w:r w:rsidR="00752B09">
        <w:rPr>
          <w:sz w:val="22"/>
          <w:szCs w:val="22"/>
        </w:rPr>
        <w:t xml:space="preserve"> is needed</w:t>
      </w:r>
      <w:r w:rsidRPr="00156332">
        <w:rPr>
          <w:sz w:val="22"/>
          <w:szCs w:val="22"/>
        </w:rPr>
        <w:t xml:space="preserve"> to prevent and eradicate infestations. Tenting is expensive, approximately $</w:t>
      </w:r>
      <w:r w:rsidR="004A5B34">
        <w:rPr>
          <w:sz w:val="22"/>
          <w:szCs w:val="22"/>
        </w:rPr>
        <w:t>2</w:t>
      </w:r>
      <w:r w:rsidRPr="00156332">
        <w:rPr>
          <w:sz w:val="22"/>
          <w:szCs w:val="22"/>
        </w:rPr>
        <w:t>,000, and many low to middle-income or fixed income homeowners are not able to afford this measure, causing their homes to sustain structural damage in the tr</w:t>
      </w:r>
      <w:r w:rsidR="00BC0925">
        <w:rPr>
          <w:sz w:val="22"/>
          <w:szCs w:val="22"/>
        </w:rPr>
        <w:t>u</w:t>
      </w:r>
      <w:r w:rsidRPr="00156332">
        <w:rPr>
          <w:sz w:val="22"/>
          <w:szCs w:val="22"/>
        </w:rPr>
        <w:t xml:space="preserve">sses from termites. </w:t>
      </w:r>
      <w:r w:rsidR="005B10F8" w:rsidRPr="005B10F8">
        <w:rPr>
          <w:sz w:val="22"/>
          <w:szCs w:val="22"/>
        </w:rPr>
        <w:t>Initially 103 applicants were eligible</w:t>
      </w:r>
      <w:r w:rsidR="005B10F8">
        <w:rPr>
          <w:sz w:val="22"/>
          <w:szCs w:val="22"/>
        </w:rPr>
        <w:t xml:space="preserve"> for the program</w:t>
      </w:r>
      <w:r w:rsidR="005B10F8" w:rsidRPr="005B10F8">
        <w:rPr>
          <w:sz w:val="22"/>
          <w:szCs w:val="22"/>
        </w:rPr>
        <w:t xml:space="preserve">; </w:t>
      </w:r>
      <w:r w:rsidR="005B10F8">
        <w:rPr>
          <w:sz w:val="22"/>
          <w:szCs w:val="22"/>
        </w:rPr>
        <w:t xml:space="preserve">currently </w:t>
      </w:r>
      <w:r w:rsidR="005B10F8" w:rsidRPr="005B10F8">
        <w:rPr>
          <w:sz w:val="22"/>
          <w:szCs w:val="22"/>
        </w:rPr>
        <w:t>3</w:t>
      </w:r>
      <w:r w:rsidR="00B128B2">
        <w:rPr>
          <w:sz w:val="22"/>
          <w:szCs w:val="22"/>
        </w:rPr>
        <w:t>7</w:t>
      </w:r>
      <w:r w:rsidR="005B10F8" w:rsidRPr="005B10F8">
        <w:rPr>
          <w:sz w:val="22"/>
          <w:szCs w:val="22"/>
        </w:rPr>
        <w:t xml:space="preserve"> </w:t>
      </w:r>
      <w:r w:rsidR="005B10F8">
        <w:rPr>
          <w:sz w:val="22"/>
          <w:szCs w:val="22"/>
        </w:rPr>
        <w:t>have</w:t>
      </w:r>
      <w:r w:rsidR="005B10F8" w:rsidRPr="005B10F8">
        <w:rPr>
          <w:sz w:val="22"/>
          <w:szCs w:val="22"/>
        </w:rPr>
        <w:t xml:space="preserve"> proceed</w:t>
      </w:r>
      <w:r w:rsidR="005B10F8">
        <w:rPr>
          <w:sz w:val="22"/>
          <w:szCs w:val="22"/>
        </w:rPr>
        <w:t>ed</w:t>
      </w:r>
      <w:r w:rsidR="005B10F8" w:rsidRPr="005B10F8">
        <w:rPr>
          <w:sz w:val="22"/>
          <w:szCs w:val="22"/>
        </w:rPr>
        <w:t xml:space="preserve"> to the engineering/site assessment phase</w:t>
      </w:r>
      <w:r w:rsidR="00E009FC">
        <w:rPr>
          <w:sz w:val="22"/>
          <w:szCs w:val="22"/>
        </w:rPr>
        <w:t>, mostly due to structural issues within the homes</w:t>
      </w:r>
      <w:r w:rsidR="005B10F8">
        <w:rPr>
          <w:sz w:val="22"/>
          <w:szCs w:val="22"/>
        </w:rPr>
        <w:t>.</w:t>
      </w:r>
      <w:r w:rsidRPr="00156332">
        <w:rPr>
          <w:sz w:val="22"/>
          <w:szCs w:val="22"/>
        </w:rPr>
        <w:t xml:space="preserve"> </w:t>
      </w:r>
      <w:r w:rsidR="00B3085D">
        <w:rPr>
          <w:sz w:val="22"/>
          <w:szCs w:val="22"/>
        </w:rPr>
        <w:t>T</w:t>
      </w:r>
      <w:r w:rsidRPr="00156332">
        <w:rPr>
          <w:sz w:val="22"/>
          <w:szCs w:val="22"/>
        </w:rPr>
        <w:t>he middle-income resident eligibility cause</w:t>
      </w:r>
      <w:r w:rsidR="00B3085D">
        <w:rPr>
          <w:sz w:val="22"/>
          <w:szCs w:val="22"/>
        </w:rPr>
        <w:t>s</w:t>
      </w:r>
      <w:r w:rsidRPr="00156332">
        <w:rPr>
          <w:sz w:val="22"/>
          <w:szCs w:val="22"/>
        </w:rPr>
        <w:t xml:space="preserve"> the program to not quality for </w:t>
      </w:r>
      <w:r w:rsidR="00B3085D">
        <w:rPr>
          <w:sz w:val="22"/>
          <w:szCs w:val="22"/>
        </w:rPr>
        <w:t xml:space="preserve">HUD </w:t>
      </w:r>
      <w:r w:rsidRPr="00156332">
        <w:rPr>
          <w:sz w:val="22"/>
          <w:szCs w:val="22"/>
        </w:rPr>
        <w:t>CDBG funds. The City is seeking CPRG funds to expand the program to meet existing and future demand</w:t>
      </w:r>
      <w:r w:rsidR="009B3AE3">
        <w:rPr>
          <w:sz w:val="22"/>
          <w:szCs w:val="22"/>
        </w:rPr>
        <w:t xml:space="preserve">, </w:t>
      </w:r>
      <w:r w:rsidRPr="00156332">
        <w:rPr>
          <w:sz w:val="22"/>
          <w:szCs w:val="22"/>
        </w:rPr>
        <w:t>increase up to $150,000 per eligible household in order to include additional structural improvements</w:t>
      </w:r>
      <w:r w:rsidR="006B4004">
        <w:rPr>
          <w:sz w:val="22"/>
          <w:szCs w:val="22"/>
        </w:rPr>
        <w:t xml:space="preserve">, add the ability to </w:t>
      </w:r>
      <w:r w:rsidR="006F7BE9">
        <w:rPr>
          <w:sz w:val="22"/>
          <w:szCs w:val="22"/>
        </w:rPr>
        <w:t>add solar panels to the newly constructed roofs, and</w:t>
      </w:r>
      <w:r w:rsidR="00165737">
        <w:rPr>
          <w:sz w:val="22"/>
          <w:szCs w:val="22"/>
        </w:rPr>
        <w:t xml:space="preserve"> provide a higher level of outreach </w:t>
      </w:r>
      <w:r w:rsidR="00512898">
        <w:rPr>
          <w:sz w:val="22"/>
          <w:szCs w:val="22"/>
        </w:rPr>
        <w:t>to eligible participants</w:t>
      </w:r>
      <w:r w:rsidRPr="00156332">
        <w:rPr>
          <w:sz w:val="22"/>
          <w:szCs w:val="22"/>
        </w:rPr>
        <w:t xml:space="preserve"> to cast a wider net of low to middle</w:t>
      </w:r>
      <w:r w:rsidR="00CA7216">
        <w:rPr>
          <w:sz w:val="22"/>
          <w:szCs w:val="22"/>
        </w:rPr>
        <w:t>-</w:t>
      </w:r>
      <w:r w:rsidRPr="00156332">
        <w:rPr>
          <w:sz w:val="22"/>
          <w:szCs w:val="22"/>
        </w:rPr>
        <w:t xml:space="preserve">income homeowners </w:t>
      </w:r>
      <w:r w:rsidR="00CA7216">
        <w:rPr>
          <w:sz w:val="22"/>
          <w:szCs w:val="22"/>
        </w:rPr>
        <w:t xml:space="preserve">to be </w:t>
      </w:r>
      <w:r w:rsidRPr="00156332">
        <w:rPr>
          <w:sz w:val="22"/>
          <w:szCs w:val="22"/>
        </w:rPr>
        <w:t xml:space="preserve">able to benefit from the program to prevent displacement from climate gentrification. </w:t>
      </w:r>
      <w:r w:rsidR="00F71C8A">
        <w:rPr>
          <w:sz w:val="22"/>
          <w:szCs w:val="22"/>
        </w:rPr>
        <w:t xml:space="preserve">This funding will successfully </w:t>
      </w:r>
      <w:r w:rsidR="00C56ADC">
        <w:rPr>
          <w:sz w:val="22"/>
          <w:szCs w:val="22"/>
        </w:rPr>
        <w:t>install</w:t>
      </w:r>
      <w:r w:rsidR="00F71C8A">
        <w:rPr>
          <w:sz w:val="22"/>
          <w:szCs w:val="22"/>
        </w:rPr>
        <w:t xml:space="preserve"> t</w:t>
      </w:r>
      <w:r w:rsidR="00C56ADC">
        <w:rPr>
          <w:sz w:val="22"/>
          <w:szCs w:val="22"/>
        </w:rPr>
        <w:t>hree (3) of the GHG Reduction Measures in our plan.</w:t>
      </w:r>
    </w:p>
    <w:p w14:paraId="0B67D64F" w14:textId="77777777" w:rsidR="00C81FA3" w:rsidRDefault="00C81FA3" w:rsidP="00C81FA3">
      <w:pPr>
        <w:pStyle w:val="BodyText"/>
        <w:rPr>
          <w:b/>
          <w:bCs/>
          <w:sz w:val="22"/>
          <w:szCs w:val="22"/>
        </w:rPr>
      </w:pPr>
    </w:p>
    <w:p w14:paraId="7C23DB36" w14:textId="5539ED06" w:rsidR="00661ADA" w:rsidRPr="00156332" w:rsidRDefault="00661ADA" w:rsidP="00C81FA3">
      <w:pPr>
        <w:pStyle w:val="BodyText"/>
        <w:rPr>
          <w:b/>
          <w:bCs/>
          <w:sz w:val="22"/>
          <w:szCs w:val="22"/>
        </w:rPr>
      </w:pPr>
      <w:r w:rsidRPr="00156332">
        <w:rPr>
          <w:b/>
          <w:bCs/>
          <w:sz w:val="22"/>
          <w:szCs w:val="22"/>
        </w:rPr>
        <w:t>Miami Cools Program:</w:t>
      </w:r>
    </w:p>
    <w:p w14:paraId="069DA9F8" w14:textId="1AEEB798" w:rsidR="00661ADA" w:rsidRPr="00156332" w:rsidRDefault="00661ADA" w:rsidP="00C81FA3">
      <w:pPr>
        <w:pStyle w:val="BodyText"/>
        <w:rPr>
          <w:i/>
          <w:iCs/>
          <w:sz w:val="22"/>
          <w:szCs w:val="22"/>
        </w:rPr>
      </w:pPr>
      <w:r w:rsidRPr="00156332">
        <w:rPr>
          <w:i/>
          <w:iCs/>
          <w:sz w:val="22"/>
          <w:szCs w:val="22"/>
        </w:rPr>
        <w:t xml:space="preserve">Funding Source: </w:t>
      </w:r>
      <w:r w:rsidR="00D557A1" w:rsidRPr="00D557A1">
        <w:rPr>
          <w:i/>
          <w:iCs/>
          <w:sz w:val="22"/>
          <w:szCs w:val="22"/>
        </w:rPr>
        <w:t xml:space="preserve">American Rescue Plan Act (ARPA) </w:t>
      </w:r>
      <w:r w:rsidRPr="00D557A1">
        <w:rPr>
          <w:i/>
          <w:sz w:val="22"/>
          <w:szCs w:val="22"/>
        </w:rPr>
        <w:t>federal, non-renewable)</w:t>
      </w:r>
    </w:p>
    <w:p w14:paraId="698E529A" w14:textId="77777777" w:rsidR="00661ADA" w:rsidRPr="00156332" w:rsidRDefault="00661ADA" w:rsidP="000B3A93">
      <w:pPr>
        <w:pStyle w:val="BodyText"/>
        <w:spacing w:after="120"/>
        <w:rPr>
          <w:i/>
          <w:iCs/>
          <w:sz w:val="22"/>
          <w:szCs w:val="22"/>
        </w:rPr>
      </w:pPr>
      <w:r w:rsidRPr="00156332">
        <w:rPr>
          <w:i/>
          <w:iCs/>
          <w:sz w:val="22"/>
          <w:szCs w:val="22"/>
        </w:rPr>
        <w:t>Additional Funding Applied For: EPA EJ G2G Grant (not selected), EPA CPRG (pending)</w:t>
      </w:r>
    </w:p>
    <w:p w14:paraId="1403D10A" w14:textId="602EDB77" w:rsidR="00661ADA" w:rsidRPr="00156332" w:rsidRDefault="00661ADA" w:rsidP="00C81FA3">
      <w:pPr>
        <w:pStyle w:val="BodyText"/>
        <w:rPr>
          <w:sz w:val="22"/>
          <w:szCs w:val="22"/>
        </w:rPr>
      </w:pPr>
      <w:r w:rsidRPr="00156332">
        <w:rPr>
          <w:sz w:val="22"/>
          <w:szCs w:val="22"/>
        </w:rPr>
        <w:t xml:space="preserve">The City of Miami used one-time </w:t>
      </w:r>
      <w:r w:rsidR="00D557A1">
        <w:rPr>
          <w:sz w:val="22"/>
          <w:szCs w:val="22"/>
        </w:rPr>
        <w:t xml:space="preserve">ARPA </w:t>
      </w:r>
      <w:r w:rsidRPr="00156332">
        <w:rPr>
          <w:sz w:val="22"/>
          <w:szCs w:val="22"/>
        </w:rPr>
        <w:t xml:space="preserve">funds in 2020 to initiate </w:t>
      </w:r>
      <w:r w:rsidR="00A670D1">
        <w:rPr>
          <w:sz w:val="22"/>
          <w:szCs w:val="22"/>
        </w:rPr>
        <w:t>Anti-Poverty Initiative Projects. T</w:t>
      </w:r>
      <w:r w:rsidRPr="00156332">
        <w:rPr>
          <w:sz w:val="22"/>
          <w:szCs w:val="22"/>
        </w:rPr>
        <w:t>he Miami Cools Program</w:t>
      </w:r>
      <w:r w:rsidR="00A670D1">
        <w:rPr>
          <w:sz w:val="22"/>
          <w:szCs w:val="22"/>
        </w:rPr>
        <w:t xml:space="preserve"> received a portion of this funding</w:t>
      </w:r>
      <w:r w:rsidRPr="00156332">
        <w:rPr>
          <w:sz w:val="22"/>
          <w:szCs w:val="22"/>
        </w:rPr>
        <w:t xml:space="preserve">. Through this program the City provided </w:t>
      </w:r>
      <w:r w:rsidR="006B482F" w:rsidRPr="008D0DFE">
        <w:rPr>
          <w:sz w:val="22"/>
          <w:szCs w:val="22"/>
        </w:rPr>
        <w:t>50</w:t>
      </w:r>
      <w:r w:rsidRPr="00156332">
        <w:rPr>
          <w:sz w:val="22"/>
          <w:szCs w:val="22"/>
        </w:rPr>
        <w:t xml:space="preserve"> </w:t>
      </w:r>
      <w:r>
        <w:rPr>
          <w:sz w:val="22"/>
          <w:szCs w:val="22"/>
        </w:rPr>
        <w:t>window air conditioning</w:t>
      </w:r>
      <w:r w:rsidRPr="00156332">
        <w:rPr>
          <w:sz w:val="22"/>
          <w:szCs w:val="22"/>
        </w:rPr>
        <w:t xml:space="preserve"> units to low-income </w:t>
      </w:r>
      <w:r>
        <w:rPr>
          <w:sz w:val="22"/>
          <w:szCs w:val="22"/>
        </w:rPr>
        <w:t>residents (</w:t>
      </w:r>
      <w:r w:rsidRPr="00156332">
        <w:rPr>
          <w:sz w:val="22"/>
          <w:szCs w:val="22"/>
        </w:rPr>
        <w:t>renters</w:t>
      </w:r>
      <w:r>
        <w:rPr>
          <w:sz w:val="22"/>
          <w:szCs w:val="22"/>
        </w:rPr>
        <w:t xml:space="preserve"> and homeowners)</w:t>
      </w:r>
      <w:r w:rsidRPr="00156332">
        <w:rPr>
          <w:sz w:val="22"/>
          <w:szCs w:val="22"/>
        </w:rPr>
        <w:t xml:space="preserve"> in need of cooling solutions. Due to the fact that public housing buildings in Miami-Dade </w:t>
      </w:r>
      <w:r w:rsidR="008F7641">
        <w:rPr>
          <w:sz w:val="22"/>
          <w:szCs w:val="22"/>
        </w:rPr>
        <w:t xml:space="preserve">County </w:t>
      </w:r>
      <w:r w:rsidRPr="00156332">
        <w:rPr>
          <w:sz w:val="22"/>
          <w:szCs w:val="22"/>
        </w:rPr>
        <w:t xml:space="preserve">are not required to have air conditioning, many </w:t>
      </w:r>
      <w:r>
        <w:rPr>
          <w:sz w:val="22"/>
          <w:szCs w:val="22"/>
        </w:rPr>
        <w:t xml:space="preserve">rental </w:t>
      </w:r>
      <w:r w:rsidRPr="00156332">
        <w:rPr>
          <w:sz w:val="22"/>
          <w:szCs w:val="22"/>
        </w:rPr>
        <w:t xml:space="preserve">residents are in need of energy efficient cooling solutions. </w:t>
      </w:r>
      <w:r>
        <w:rPr>
          <w:sz w:val="22"/>
          <w:szCs w:val="22"/>
        </w:rPr>
        <w:t xml:space="preserve">These </w:t>
      </w:r>
      <w:r w:rsidR="00AE2967">
        <w:rPr>
          <w:sz w:val="22"/>
          <w:szCs w:val="22"/>
        </w:rPr>
        <w:t xml:space="preserve">and </w:t>
      </w:r>
      <w:r>
        <w:rPr>
          <w:sz w:val="22"/>
          <w:szCs w:val="22"/>
        </w:rPr>
        <w:t xml:space="preserve">other types of cooling measures are important as they can be easily installed and at a </w:t>
      </w:r>
      <w:r w:rsidR="00070C45">
        <w:rPr>
          <w:sz w:val="22"/>
          <w:szCs w:val="22"/>
        </w:rPr>
        <w:t>relatively</w:t>
      </w:r>
      <w:r>
        <w:rPr>
          <w:sz w:val="22"/>
          <w:szCs w:val="22"/>
        </w:rPr>
        <w:t xml:space="preserve"> low cost. However, these measures have the potential to save long-term costs for the </w:t>
      </w:r>
      <w:r w:rsidR="000D28EA">
        <w:rPr>
          <w:sz w:val="22"/>
          <w:szCs w:val="22"/>
        </w:rPr>
        <w:t>residents</w:t>
      </w:r>
      <w:r>
        <w:rPr>
          <w:sz w:val="22"/>
          <w:szCs w:val="22"/>
        </w:rPr>
        <w:t xml:space="preserve">. The City is seeking CPRG funds to reinitiate this program and expand it to include other types of energy efficient cooling measures that can help renters live in resilience residences as well as save money on their utility bills. </w:t>
      </w:r>
      <w:r w:rsidR="00A9655C">
        <w:rPr>
          <w:sz w:val="22"/>
          <w:szCs w:val="22"/>
        </w:rPr>
        <w:t>This funding will successfully install four (4) of the GHG Reduction Measures in our plan.</w:t>
      </w:r>
    </w:p>
    <w:p w14:paraId="0217A3D9" w14:textId="1934F903" w:rsidR="00661ADA" w:rsidRPr="00F55DDD" w:rsidRDefault="00661ADA" w:rsidP="00356418">
      <w:pPr>
        <w:pStyle w:val="Heading3"/>
        <w:numPr>
          <w:ilvl w:val="0"/>
          <w:numId w:val="6"/>
        </w:numPr>
      </w:pPr>
      <w:r w:rsidRPr="00F55DDD">
        <w:rPr>
          <w:u w:val="single"/>
        </w:rPr>
        <w:t>Transformative Impact</w:t>
      </w:r>
      <w:r w:rsidRPr="00F55DDD">
        <w:t xml:space="preserve"> (15 possible</w:t>
      </w:r>
      <w:r w:rsidRPr="00F55DDD">
        <w:rPr>
          <w:spacing w:val="1"/>
        </w:rPr>
        <w:t xml:space="preserve"> </w:t>
      </w:r>
      <w:r w:rsidRPr="00F55DDD">
        <w:t>points)</w:t>
      </w:r>
    </w:p>
    <w:p w14:paraId="65B07BE4" w14:textId="26455FF6" w:rsidR="00661ADA" w:rsidRDefault="00661ADA" w:rsidP="00C81FA3">
      <w:pPr>
        <w:pStyle w:val="BodyText"/>
        <w:rPr>
          <w:sz w:val="22"/>
          <w:szCs w:val="22"/>
        </w:rPr>
      </w:pPr>
      <w:bookmarkStart w:id="1" w:name="_Hlk162604745"/>
      <w:r w:rsidRPr="00661ADA">
        <w:rPr>
          <w:sz w:val="22"/>
          <w:szCs w:val="22"/>
        </w:rPr>
        <w:t xml:space="preserve">The City of Miami is taking actions to achieve our goal to be carbon neutral by 2050, with an interim goal to reduce 60% of our 2018 emissions by 2035. To meet these goals, the City needs funding to implement programs to reduce </w:t>
      </w:r>
      <w:r w:rsidR="00C7359C">
        <w:rPr>
          <w:sz w:val="22"/>
          <w:szCs w:val="22"/>
        </w:rPr>
        <w:t xml:space="preserve">GHG </w:t>
      </w:r>
      <w:r w:rsidRPr="00661ADA">
        <w:rPr>
          <w:sz w:val="22"/>
          <w:szCs w:val="22"/>
        </w:rPr>
        <w:t xml:space="preserve">emissions. As identified in both the </w:t>
      </w:r>
      <w:hyperlink r:id="rId19" w:history="1">
        <w:r w:rsidR="00AD4174" w:rsidRPr="00395CE8">
          <w:rPr>
            <w:rStyle w:val="Hyperlink"/>
            <w:sz w:val="22"/>
            <w:szCs w:val="22"/>
          </w:rPr>
          <w:t>Miami Forever Climate Ready Strategy</w:t>
        </w:r>
      </w:hyperlink>
      <w:r w:rsidR="00AD4174" w:rsidRPr="00395CE8">
        <w:rPr>
          <w:sz w:val="22"/>
          <w:szCs w:val="22"/>
        </w:rPr>
        <w:t xml:space="preserve"> </w:t>
      </w:r>
      <w:r w:rsidRPr="00661ADA">
        <w:rPr>
          <w:sz w:val="22"/>
          <w:szCs w:val="22"/>
        </w:rPr>
        <w:t xml:space="preserve">(adaptation plan) and </w:t>
      </w:r>
      <w:hyperlink r:id="rId20" w:history="1">
        <w:r w:rsidR="00AD4174" w:rsidRPr="005D2060">
          <w:rPr>
            <w:rStyle w:val="Hyperlink"/>
            <w:sz w:val="22"/>
            <w:szCs w:val="22"/>
          </w:rPr>
          <w:t>Miami Forever Carbon Neutral Plan</w:t>
        </w:r>
      </w:hyperlink>
      <w:r w:rsidRPr="00661ADA">
        <w:rPr>
          <w:sz w:val="22"/>
          <w:szCs w:val="22"/>
        </w:rPr>
        <w:t xml:space="preserve"> (mitigation plan), residential programs are needed to prepare for and prevent climate change. </w:t>
      </w:r>
      <w:bookmarkEnd w:id="1"/>
      <w:r w:rsidRPr="00661ADA">
        <w:rPr>
          <w:sz w:val="22"/>
          <w:szCs w:val="22"/>
        </w:rPr>
        <w:t xml:space="preserve">The City of Miami prepares </w:t>
      </w:r>
      <w:r w:rsidR="00C7359C">
        <w:rPr>
          <w:sz w:val="22"/>
          <w:szCs w:val="22"/>
        </w:rPr>
        <w:t xml:space="preserve">GHG </w:t>
      </w:r>
      <w:r w:rsidRPr="00661ADA">
        <w:rPr>
          <w:sz w:val="22"/>
          <w:szCs w:val="22"/>
        </w:rPr>
        <w:t xml:space="preserve">Inventories to measure our progress toward reducing </w:t>
      </w:r>
      <w:r w:rsidR="00C7359C">
        <w:rPr>
          <w:sz w:val="22"/>
          <w:szCs w:val="22"/>
        </w:rPr>
        <w:t xml:space="preserve">GHG </w:t>
      </w:r>
      <w:r w:rsidRPr="00661ADA">
        <w:rPr>
          <w:sz w:val="22"/>
          <w:szCs w:val="22"/>
        </w:rPr>
        <w:t>emissions. In our 20</w:t>
      </w:r>
      <w:r w:rsidR="00967E80">
        <w:rPr>
          <w:sz w:val="22"/>
          <w:szCs w:val="22"/>
        </w:rPr>
        <w:t>19</w:t>
      </w:r>
      <w:r w:rsidRPr="00661ADA">
        <w:rPr>
          <w:sz w:val="22"/>
          <w:szCs w:val="22"/>
        </w:rPr>
        <w:t xml:space="preserve"> Citywide </w:t>
      </w:r>
      <w:r w:rsidR="00C7359C">
        <w:rPr>
          <w:sz w:val="22"/>
          <w:szCs w:val="22"/>
        </w:rPr>
        <w:t xml:space="preserve">GHG </w:t>
      </w:r>
      <w:r w:rsidRPr="00661ADA">
        <w:rPr>
          <w:sz w:val="22"/>
          <w:szCs w:val="22"/>
        </w:rPr>
        <w:t xml:space="preserve">Inventory, Buildings (both </w:t>
      </w:r>
      <w:r w:rsidR="00CC4ACC">
        <w:rPr>
          <w:sz w:val="22"/>
          <w:szCs w:val="22"/>
        </w:rPr>
        <w:t>C</w:t>
      </w:r>
      <w:r w:rsidRPr="00661ADA">
        <w:rPr>
          <w:sz w:val="22"/>
          <w:szCs w:val="22"/>
        </w:rPr>
        <w:t xml:space="preserve">ommercial and </w:t>
      </w:r>
      <w:r w:rsidR="00CC4ACC">
        <w:rPr>
          <w:sz w:val="22"/>
          <w:szCs w:val="22"/>
        </w:rPr>
        <w:t>R</w:t>
      </w:r>
      <w:r w:rsidRPr="00661ADA">
        <w:rPr>
          <w:sz w:val="22"/>
          <w:szCs w:val="22"/>
        </w:rPr>
        <w:t>esidential) made up 5</w:t>
      </w:r>
      <w:r w:rsidR="004C5CCE">
        <w:rPr>
          <w:sz w:val="22"/>
          <w:szCs w:val="22"/>
        </w:rPr>
        <w:t>6</w:t>
      </w:r>
      <w:r w:rsidRPr="00661ADA">
        <w:rPr>
          <w:sz w:val="22"/>
          <w:szCs w:val="22"/>
        </w:rPr>
        <w:t xml:space="preserve">% of the City’s </w:t>
      </w:r>
      <w:r w:rsidR="00CC4ACC">
        <w:rPr>
          <w:sz w:val="22"/>
          <w:szCs w:val="22"/>
        </w:rPr>
        <w:t xml:space="preserve">total </w:t>
      </w:r>
      <w:r w:rsidR="00C7359C">
        <w:rPr>
          <w:sz w:val="22"/>
          <w:szCs w:val="22"/>
        </w:rPr>
        <w:t xml:space="preserve">GHG </w:t>
      </w:r>
      <w:r w:rsidRPr="00661ADA">
        <w:rPr>
          <w:sz w:val="22"/>
          <w:szCs w:val="22"/>
        </w:rPr>
        <w:t xml:space="preserve">emissions. </w:t>
      </w:r>
      <w:r w:rsidR="00CC4ACC">
        <w:rPr>
          <w:sz w:val="22"/>
          <w:szCs w:val="22"/>
        </w:rPr>
        <w:t>Of this</w:t>
      </w:r>
      <w:r w:rsidRPr="00661ADA">
        <w:rPr>
          <w:sz w:val="22"/>
          <w:szCs w:val="22"/>
        </w:rPr>
        <w:t xml:space="preserve">, Residential </w:t>
      </w:r>
      <w:r w:rsidR="003339EE">
        <w:rPr>
          <w:sz w:val="22"/>
          <w:szCs w:val="22"/>
        </w:rPr>
        <w:t>B</w:t>
      </w:r>
      <w:r w:rsidRPr="00661ADA">
        <w:rPr>
          <w:sz w:val="22"/>
          <w:szCs w:val="22"/>
        </w:rPr>
        <w:t xml:space="preserve">uildings </w:t>
      </w:r>
      <w:r w:rsidR="001C534A">
        <w:rPr>
          <w:sz w:val="22"/>
          <w:szCs w:val="22"/>
        </w:rPr>
        <w:t>represented</w:t>
      </w:r>
      <w:r w:rsidRPr="00661ADA">
        <w:rPr>
          <w:sz w:val="22"/>
          <w:szCs w:val="22"/>
        </w:rPr>
        <w:t xml:space="preserve"> </w:t>
      </w:r>
      <w:r w:rsidR="002C027D">
        <w:rPr>
          <w:sz w:val="22"/>
          <w:szCs w:val="22"/>
        </w:rPr>
        <w:t>3</w:t>
      </w:r>
      <w:r w:rsidR="003339EE">
        <w:rPr>
          <w:sz w:val="22"/>
          <w:szCs w:val="22"/>
        </w:rPr>
        <w:t>5</w:t>
      </w:r>
      <w:r w:rsidRPr="00661ADA">
        <w:rPr>
          <w:sz w:val="22"/>
          <w:szCs w:val="22"/>
        </w:rPr>
        <w:t>%</w:t>
      </w:r>
      <w:r w:rsidR="003339EE">
        <w:rPr>
          <w:sz w:val="22"/>
          <w:szCs w:val="22"/>
        </w:rPr>
        <w:t xml:space="preserve"> of the total emissions</w:t>
      </w:r>
      <w:r w:rsidR="001C534A">
        <w:rPr>
          <w:sz w:val="22"/>
          <w:szCs w:val="22"/>
        </w:rPr>
        <w:t>.</w:t>
      </w:r>
    </w:p>
    <w:p w14:paraId="5AA58690" w14:textId="77777777" w:rsidR="00891544" w:rsidRDefault="00891544" w:rsidP="00C81FA3">
      <w:pPr>
        <w:pStyle w:val="BodyText"/>
        <w:rPr>
          <w:sz w:val="22"/>
          <w:szCs w:val="22"/>
        </w:rPr>
      </w:pPr>
    </w:p>
    <w:p w14:paraId="06D736D9" w14:textId="1B76587D" w:rsidR="00DF332F" w:rsidRDefault="00891544" w:rsidP="00C81FA3">
      <w:pPr>
        <w:pStyle w:val="BodyText"/>
        <w:rPr>
          <w:sz w:val="22"/>
          <w:szCs w:val="22"/>
        </w:rPr>
      </w:pPr>
      <w:r>
        <w:rPr>
          <w:sz w:val="22"/>
          <w:szCs w:val="22"/>
        </w:rPr>
        <w:t xml:space="preserve">In the </w:t>
      </w:r>
      <w:hyperlink r:id="rId21" w:history="1">
        <w:r w:rsidRPr="005D2060">
          <w:rPr>
            <w:rStyle w:val="Hyperlink"/>
            <w:sz w:val="22"/>
            <w:szCs w:val="22"/>
          </w:rPr>
          <w:t xml:space="preserve">Miami Forever Carbon Neutral </w:t>
        </w:r>
        <w:r w:rsidR="005D2060" w:rsidRPr="005D2060">
          <w:rPr>
            <w:rStyle w:val="Hyperlink"/>
            <w:sz w:val="22"/>
            <w:szCs w:val="22"/>
          </w:rPr>
          <w:t>P</w:t>
        </w:r>
        <w:r w:rsidRPr="005D2060">
          <w:rPr>
            <w:rStyle w:val="Hyperlink"/>
            <w:sz w:val="22"/>
            <w:szCs w:val="22"/>
          </w:rPr>
          <w:t>lan</w:t>
        </w:r>
      </w:hyperlink>
      <w:r>
        <w:rPr>
          <w:sz w:val="22"/>
          <w:szCs w:val="22"/>
        </w:rPr>
        <w:t xml:space="preserve">, the City’s </w:t>
      </w:r>
      <w:r w:rsidR="00C7359C">
        <w:rPr>
          <w:sz w:val="22"/>
          <w:szCs w:val="22"/>
        </w:rPr>
        <w:t xml:space="preserve">GHG </w:t>
      </w:r>
      <w:r>
        <w:rPr>
          <w:sz w:val="22"/>
          <w:szCs w:val="22"/>
        </w:rPr>
        <w:t xml:space="preserve">Reduction Plan, </w:t>
      </w:r>
      <w:r w:rsidR="00643069">
        <w:rPr>
          <w:sz w:val="22"/>
          <w:szCs w:val="22"/>
        </w:rPr>
        <w:t xml:space="preserve">goals and corresponding </w:t>
      </w:r>
      <w:r w:rsidR="003175E5">
        <w:rPr>
          <w:sz w:val="22"/>
          <w:szCs w:val="22"/>
        </w:rPr>
        <w:t xml:space="preserve">actions </w:t>
      </w:r>
      <w:r w:rsidR="00C01771">
        <w:rPr>
          <w:sz w:val="22"/>
          <w:szCs w:val="22"/>
        </w:rPr>
        <w:t>have been developed</w:t>
      </w:r>
      <w:r w:rsidR="00643069">
        <w:rPr>
          <w:sz w:val="22"/>
          <w:szCs w:val="22"/>
        </w:rPr>
        <w:t xml:space="preserve"> </w:t>
      </w:r>
      <w:r w:rsidR="008057AE">
        <w:rPr>
          <w:sz w:val="22"/>
          <w:szCs w:val="22"/>
        </w:rPr>
        <w:t>for the City to decarbonize</w:t>
      </w:r>
      <w:r w:rsidR="00C01771">
        <w:rPr>
          <w:sz w:val="22"/>
          <w:szCs w:val="22"/>
        </w:rPr>
        <w:t xml:space="preserve">. </w:t>
      </w:r>
      <w:r w:rsidR="00DF332F">
        <w:rPr>
          <w:sz w:val="22"/>
          <w:szCs w:val="22"/>
        </w:rPr>
        <w:t xml:space="preserve">The goals that support the </w:t>
      </w:r>
      <w:r w:rsidR="003C657F">
        <w:rPr>
          <w:sz w:val="22"/>
          <w:szCs w:val="22"/>
        </w:rPr>
        <w:t xml:space="preserve">City of </w:t>
      </w:r>
      <w:r w:rsidR="00DF332F">
        <w:rPr>
          <w:sz w:val="22"/>
          <w:szCs w:val="22"/>
        </w:rPr>
        <w:t>Miami Climate Ready Housing Program Suite include:</w:t>
      </w:r>
    </w:p>
    <w:p w14:paraId="2BC4367F" w14:textId="60C65C99" w:rsidR="00DF332F" w:rsidRDefault="00DF332F" w:rsidP="0052116C">
      <w:pPr>
        <w:pStyle w:val="BodyText"/>
        <w:spacing w:before="60"/>
        <w:ind w:left="360"/>
        <w:rPr>
          <w:sz w:val="22"/>
          <w:szCs w:val="22"/>
        </w:rPr>
      </w:pPr>
      <w:r>
        <w:rPr>
          <w:sz w:val="22"/>
          <w:szCs w:val="22"/>
        </w:rPr>
        <w:t>Goal 2: Renewable Energy</w:t>
      </w:r>
      <w:r w:rsidR="0023231B">
        <w:rPr>
          <w:sz w:val="22"/>
          <w:szCs w:val="22"/>
        </w:rPr>
        <w:t>: 110% carbon-free electricity by 2035</w:t>
      </w:r>
    </w:p>
    <w:p w14:paraId="398312E0" w14:textId="7ACD2882" w:rsidR="00DF332F" w:rsidRDefault="00DF332F" w:rsidP="0052116C">
      <w:pPr>
        <w:pStyle w:val="BodyText"/>
        <w:spacing w:before="60"/>
        <w:ind w:left="360"/>
        <w:rPr>
          <w:sz w:val="22"/>
          <w:szCs w:val="22"/>
        </w:rPr>
      </w:pPr>
      <w:r>
        <w:rPr>
          <w:sz w:val="22"/>
          <w:szCs w:val="22"/>
        </w:rPr>
        <w:t xml:space="preserve">Goal 4: Energy Efficiency: </w:t>
      </w:r>
      <w:r w:rsidRPr="00DF332F">
        <w:rPr>
          <w:sz w:val="22"/>
          <w:szCs w:val="22"/>
        </w:rPr>
        <w:t>Improve energy efficiency in buildings to decrease overall energy consumption and support achievement of Goal 2: Renewable Energ</w:t>
      </w:r>
      <w:r>
        <w:rPr>
          <w:sz w:val="22"/>
          <w:szCs w:val="22"/>
        </w:rPr>
        <w:t>y</w:t>
      </w:r>
    </w:p>
    <w:p w14:paraId="67204657" w14:textId="6B1CADEF" w:rsidR="00166E30" w:rsidRDefault="00960135" w:rsidP="0052116C">
      <w:pPr>
        <w:pStyle w:val="BodyText"/>
        <w:spacing w:before="60"/>
        <w:ind w:left="360"/>
        <w:rPr>
          <w:sz w:val="22"/>
          <w:szCs w:val="22"/>
        </w:rPr>
      </w:pPr>
      <w:r>
        <w:rPr>
          <w:sz w:val="22"/>
          <w:szCs w:val="22"/>
        </w:rPr>
        <w:t>G</w:t>
      </w:r>
      <w:r w:rsidR="00166E30">
        <w:rPr>
          <w:sz w:val="22"/>
          <w:szCs w:val="22"/>
        </w:rPr>
        <w:t xml:space="preserve">oal </w:t>
      </w:r>
      <w:r w:rsidR="009D5B1D">
        <w:rPr>
          <w:sz w:val="22"/>
          <w:szCs w:val="22"/>
        </w:rPr>
        <w:t>5</w:t>
      </w:r>
      <w:r w:rsidR="00166E30">
        <w:rPr>
          <w:sz w:val="22"/>
          <w:szCs w:val="22"/>
        </w:rPr>
        <w:t>:</w:t>
      </w:r>
      <w:r w:rsidR="009D5B1D">
        <w:rPr>
          <w:sz w:val="22"/>
          <w:szCs w:val="22"/>
        </w:rPr>
        <w:t xml:space="preserve"> New Green Economy - </w:t>
      </w:r>
      <w:r w:rsidR="009D5B1D" w:rsidRPr="009D5B1D">
        <w:rPr>
          <w:sz w:val="22"/>
          <w:szCs w:val="22"/>
        </w:rPr>
        <w:t>Additional Enabling Actions</w:t>
      </w:r>
      <w:r w:rsidR="00FD0406">
        <w:rPr>
          <w:sz w:val="22"/>
          <w:szCs w:val="22"/>
        </w:rPr>
        <w:t xml:space="preserve">: Advocate and educate, integrate </w:t>
      </w:r>
      <w:r w:rsidR="00B425B8">
        <w:rPr>
          <w:sz w:val="22"/>
          <w:szCs w:val="22"/>
        </w:rPr>
        <w:t>climate</w:t>
      </w:r>
      <w:r w:rsidR="00FD0406">
        <w:rPr>
          <w:sz w:val="22"/>
          <w:szCs w:val="22"/>
        </w:rPr>
        <w:t xml:space="preserve"> into governance, and reduce solid waste.</w:t>
      </w:r>
    </w:p>
    <w:p w14:paraId="3F200A2E" w14:textId="20DB5322" w:rsidR="00DF332F" w:rsidRDefault="00DF332F" w:rsidP="00C81FA3">
      <w:pPr>
        <w:pStyle w:val="BodyText"/>
        <w:rPr>
          <w:sz w:val="22"/>
          <w:szCs w:val="22"/>
        </w:rPr>
      </w:pPr>
    </w:p>
    <w:p w14:paraId="6EA72080" w14:textId="5F812CF7" w:rsidR="00891544" w:rsidRDefault="00C01771" w:rsidP="00C81FA3">
      <w:pPr>
        <w:pStyle w:val="BodyText"/>
        <w:rPr>
          <w:sz w:val="22"/>
          <w:szCs w:val="22"/>
        </w:rPr>
      </w:pPr>
      <w:r>
        <w:rPr>
          <w:sz w:val="22"/>
          <w:szCs w:val="22"/>
        </w:rPr>
        <w:t>Through the CPRG</w:t>
      </w:r>
      <w:r w:rsidR="0023231B">
        <w:rPr>
          <w:sz w:val="22"/>
          <w:szCs w:val="22"/>
        </w:rPr>
        <w:t xml:space="preserve">’s funding of the </w:t>
      </w:r>
      <w:r w:rsidR="003C657F">
        <w:rPr>
          <w:sz w:val="22"/>
          <w:szCs w:val="22"/>
        </w:rPr>
        <w:t xml:space="preserve">City of </w:t>
      </w:r>
      <w:r w:rsidR="0023231B">
        <w:rPr>
          <w:sz w:val="22"/>
          <w:szCs w:val="22"/>
        </w:rPr>
        <w:t>Miami Climate Ready Housing Program Suite</w:t>
      </w:r>
      <w:r>
        <w:rPr>
          <w:sz w:val="22"/>
          <w:szCs w:val="22"/>
        </w:rPr>
        <w:t>, the City can implement these action</w:t>
      </w:r>
      <w:r w:rsidR="00B425B8">
        <w:rPr>
          <w:sz w:val="22"/>
          <w:szCs w:val="22"/>
        </w:rPr>
        <w:t>s</w:t>
      </w:r>
      <w:r w:rsidR="0023231B">
        <w:rPr>
          <w:sz w:val="22"/>
          <w:szCs w:val="22"/>
        </w:rPr>
        <w:t xml:space="preserve"> from the </w:t>
      </w:r>
      <w:hyperlink r:id="rId22" w:history="1">
        <w:r w:rsidR="00B425B8" w:rsidRPr="005D2060">
          <w:rPr>
            <w:rStyle w:val="Hyperlink"/>
            <w:sz w:val="22"/>
            <w:szCs w:val="22"/>
          </w:rPr>
          <w:t xml:space="preserve">Miami Forever Carbon Neutral </w:t>
        </w:r>
        <w:r w:rsidR="005D2060" w:rsidRPr="005D2060">
          <w:rPr>
            <w:rStyle w:val="Hyperlink"/>
            <w:sz w:val="22"/>
            <w:szCs w:val="22"/>
          </w:rPr>
          <w:t>P</w:t>
        </w:r>
        <w:r w:rsidR="00B425B8" w:rsidRPr="005D2060">
          <w:rPr>
            <w:rStyle w:val="Hyperlink"/>
            <w:sz w:val="22"/>
            <w:szCs w:val="22"/>
          </w:rPr>
          <w:t>lan</w:t>
        </w:r>
      </w:hyperlink>
      <w:r>
        <w:rPr>
          <w:sz w:val="22"/>
          <w:szCs w:val="22"/>
        </w:rPr>
        <w:t>:</w:t>
      </w:r>
    </w:p>
    <w:p w14:paraId="03395860" w14:textId="7F617E1F" w:rsidR="00C01771" w:rsidRDefault="00732DB5" w:rsidP="00356418">
      <w:pPr>
        <w:pStyle w:val="BodyText"/>
        <w:numPr>
          <w:ilvl w:val="0"/>
          <w:numId w:val="4"/>
        </w:numPr>
        <w:rPr>
          <w:sz w:val="22"/>
          <w:szCs w:val="22"/>
        </w:rPr>
      </w:pPr>
      <w:r>
        <w:rPr>
          <w:sz w:val="22"/>
          <w:szCs w:val="22"/>
        </w:rPr>
        <w:t>Renewable Energy (</w:t>
      </w:r>
      <w:r w:rsidR="00484FF6" w:rsidRPr="00484FF6">
        <w:rPr>
          <w:sz w:val="22"/>
          <w:szCs w:val="22"/>
        </w:rPr>
        <w:t>R-4</w:t>
      </w:r>
      <w:r>
        <w:rPr>
          <w:sz w:val="22"/>
          <w:szCs w:val="22"/>
        </w:rPr>
        <w:t>)</w:t>
      </w:r>
      <w:r w:rsidR="00484FF6" w:rsidRPr="00484FF6">
        <w:rPr>
          <w:sz w:val="22"/>
          <w:szCs w:val="22"/>
        </w:rPr>
        <w:t xml:space="preserve">: Provide additional policy and financial incentives to encourage private solar installations and identify incentives that would appeal to owners of affordable housing. </w:t>
      </w:r>
    </w:p>
    <w:p w14:paraId="2BC5FAAB" w14:textId="43E0B95E" w:rsidR="00BB6C46" w:rsidRDefault="00BB6C46" w:rsidP="00356418">
      <w:pPr>
        <w:pStyle w:val="BodyText"/>
        <w:numPr>
          <w:ilvl w:val="0"/>
          <w:numId w:val="4"/>
        </w:numPr>
        <w:rPr>
          <w:sz w:val="22"/>
          <w:szCs w:val="22"/>
        </w:rPr>
      </w:pPr>
      <w:r>
        <w:rPr>
          <w:sz w:val="22"/>
          <w:szCs w:val="22"/>
        </w:rPr>
        <w:t>Energy Efficiency (</w:t>
      </w:r>
      <w:r w:rsidRPr="00BB6C46">
        <w:rPr>
          <w:sz w:val="22"/>
          <w:szCs w:val="22"/>
        </w:rPr>
        <w:t>E-6</w:t>
      </w:r>
      <w:r>
        <w:rPr>
          <w:sz w:val="22"/>
          <w:szCs w:val="22"/>
        </w:rPr>
        <w:t>)</w:t>
      </w:r>
      <w:r w:rsidRPr="00BB6C46">
        <w:rPr>
          <w:sz w:val="22"/>
          <w:szCs w:val="22"/>
        </w:rPr>
        <w:t>: Establish residential, single-family home energy conservation requirements</w:t>
      </w:r>
      <w:r>
        <w:rPr>
          <w:sz w:val="22"/>
          <w:szCs w:val="22"/>
        </w:rPr>
        <w:t>.</w:t>
      </w:r>
    </w:p>
    <w:p w14:paraId="0E126BD8" w14:textId="385AC090" w:rsidR="004D5A08" w:rsidRDefault="004D5A08" w:rsidP="00356418">
      <w:pPr>
        <w:pStyle w:val="BodyText"/>
        <w:numPr>
          <w:ilvl w:val="0"/>
          <w:numId w:val="4"/>
        </w:numPr>
        <w:rPr>
          <w:sz w:val="22"/>
          <w:szCs w:val="22"/>
        </w:rPr>
      </w:pPr>
      <w:r>
        <w:rPr>
          <w:sz w:val="22"/>
          <w:szCs w:val="22"/>
        </w:rPr>
        <w:t>Energy Efficiency (</w:t>
      </w:r>
      <w:r w:rsidRPr="004D5A08">
        <w:rPr>
          <w:sz w:val="22"/>
          <w:szCs w:val="22"/>
        </w:rPr>
        <w:t>E-8</w:t>
      </w:r>
      <w:r>
        <w:rPr>
          <w:sz w:val="22"/>
          <w:szCs w:val="22"/>
        </w:rPr>
        <w:t>)</w:t>
      </w:r>
      <w:r w:rsidRPr="004D5A08">
        <w:rPr>
          <w:sz w:val="22"/>
          <w:szCs w:val="22"/>
        </w:rPr>
        <w:t>: Provide incentives for construction firms to use locally-sourced materials with low-embodied carbon and high-efficiency fixtures</w:t>
      </w:r>
      <w:r>
        <w:rPr>
          <w:sz w:val="22"/>
          <w:szCs w:val="22"/>
        </w:rPr>
        <w:t>.</w:t>
      </w:r>
    </w:p>
    <w:p w14:paraId="74C6CB8C" w14:textId="7BC93E32" w:rsidR="005825D8" w:rsidRPr="005825D8" w:rsidRDefault="0075378E" w:rsidP="00356418">
      <w:pPr>
        <w:pStyle w:val="BodyText"/>
        <w:numPr>
          <w:ilvl w:val="0"/>
          <w:numId w:val="4"/>
        </w:numPr>
        <w:rPr>
          <w:sz w:val="22"/>
          <w:szCs w:val="22"/>
        </w:rPr>
      </w:pPr>
      <w:r>
        <w:rPr>
          <w:sz w:val="22"/>
          <w:szCs w:val="22"/>
        </w:rPr>
        <w:t>Green Economy (</w:t>
      </w:r>
      <w:r w:rsidR="005825D8" w:rsidRPr="005825D8">
        <w:rPr>
          <w:sz w:val="22"/>
          <w:szCs w:val="22"/>
        </w:rPr>
        <w:t>A-11</w:t>
      </w:r>
      <w:r>
        <w:rPr>
          <w:sz w:val="22"/>
          <w:szCs w:val="22"/>
        </w:rPr>
        <w:t>)</w:t>
      </w:r>
      <w:r w:rsidR="005825D8" w:rsidRPr="005825D8">
        <w:rPr>
          <w:sz w:val="22"/>
          <w:szCs w:val="22"/>
        </w:rPr>
        <w:t>: Develop a financial and technical assistance program that helps residents, particularly low</w:t>
      </w:r>
      <w:r w:rsidR="005825D8">
        <w:rPr>
          <w:sz w:val="22"/>
          <w:szCs w:val="22"/>
        </w:rPr>
        <w:t>-</w:t>
      </w:r>
      <w:r w:rsidR="005825D8" w:rsidRPr="005825D8">
        <w:rPr>
          <w:sz w:val="22"/>
          <w:szCs w:val="22"/>
        </w:rPr>
        <w:t>income, to pursue climate action.</w:t>
      </w:r>
    </w:p>
    <w:p w14:paraId="768A8A55" w14:textId="77777777" w:rsidR="000B1E97" w:rsidRDefault="000B1E97" w:rsidP="00C81FA3">
      <w:pPr>
        <w:pStyle w:val="BodyText"/>
        <w:rPr>
          <w:sz w:val="22"/>
          <w:szCs w:val="22"/>
        </w:rPr>
      </w:pPr>
    </w:p>
    <w:p w14:paraId="5AB2186E" w14:textId="5CFF59A3" w:rsidR="00A6143A" w:rsidRDefault="000B1E97" w:rsidP="00C81FA3">
      <w:pPr>
        <w:pStyle w:val="BodyText"/>
        <w:rPr>
          <w:sz w:val="22"/>
          <w:szCs w:val="22"/>
        </w:rPr>
      </w:pPr>
      <w:r>
        <w:rPr>
          <w:sz w:val="22"/>
          <w:szCs w:val="22"/>
        </w:rPr>
        <w:t xml:space="preserve">CPRG funding is expected to decrease carbon emissions in the </w:t>
      </w:r>
      <w:r w:rsidRPr="005837B3">
        <w:rPr>
          <w:sz w:val="22"/>
          <w:szCs w:val="22"/>
        </w:rPr>
        <w:t xml:space="preserve">City </w:t>
      </w:r>
      <w:r w:rsidR="00BE3565" w:rsidRPr="005837B3">
        <w:rPr>
          <w:sz w:val="22"/>
          <w:szCs w:val="22"/>
        </w:rPr>
        <w:t>as described in Section 2</w:t>
      </w:r>
      <w:r w:rsidRPr="005837B3">
        <w:rPr>
          <w:sz w:val="22"/>
          <w:szCs w:val="22"/>
        </w:rPr>
        <w:t>.</w:t>
      </w:r>
      <w:r w:rsidR="005513CA">
        <w:rPr>
          <w:sz w:val="22"/>
          <w:szCs w:val="22"/>
        </w:rPr>
        <w:t xml:space="preserve"> </w:t>
      </w:r>
      <w:r w:rsidR="00661ADA" w:rsidRPr="00661ADA">
        <w:rPr>
          <w:sz w:val="22"/>
          <w:szCs w:val="22"/>
        </w:rPr>
        <w:t xml:space="preserve">CPRG funding will have a transformative impact on reducing the City’s </w:t>
      </w:r>
      <w:r w:rsidR="00C7359C">
        <w:rPr>
          <w:sz w:val="22"/>
          <w:szCs w:val="22"/>
        </w:rPr>
        <w:t xml:space="preserve">GHG </w:t>
      </w:r>
      <w:r w:rsidR="00661ADA" w:rsidRPr="00661ADA">
        <w:rPr>
          <w:sz w:val="22"/>
          <w:szCs w:val="22"/>
        </w:rPr>
        <w:t>emissions by scaling up established Climate Ready Housing programs</w:t>
      </w:r>
      <w:r w:rsidR="005E5A30">
        <w:rPr>
          <w:sz w:val="22"/>
          <w:szCs w:val="22"/>
        </w:rPr>
        <w:t>.</w:t>
      </w:r>
      <w:r w:rsidR="003E362F">
        <w:rPr>
          <w:sz w:val="22"/>
          <w:szCs w:val="22"/>
        </w:rPr>
        <w:t xml:space="preserve"> </w:t>
      </w:r>
      <w:r w:rsidR="00661ADA" w:rsidRPr="00661ADA">
        <w:rPr>
          <w:sz w:val="22"/>
          <w:szCs w:val="22"/>
        </w:rPr>
        <w:t xml:space="preserve">These programs were developed through community input spurred by the need to assist the public with the effects of climate change. These programs are limited in funding or are largely one-time funding sources. Expanding the programs’ impacts will have a </w:t>
      </w:r>
      <w:r w:rsidR="005636B0">
        <w:rPr>
          <w:sz w:val="22"/>
          <w:szCs w:val="22"/>
        </w:rPr>
        <w:t>profound</w:t>
      </w:r>
      <w:r w:rsidR="00661ADA" w:rsidRPr="00661ADA">
        <w:rPr>
          <w:sz w:val="22"/>
          <w:szCs w:val="22"/>
        </w:rPr>
        <w:t xml:space="preserve"> impact on the lives of people living in the City</w:t>
      </w:r>
      <w:r w:rsidR="00DA150D">
        <w:rPr>
          <w:sz w:val="22"/>
          <w:szCs w:val="22"/>
        </w:rPr>
        <w:t>.</w:t>
      </w:r>
      <w:r w:rsidR="00661ADA" w:rsidRPr="00661ADA">
        <w:rPr>
          <w:sz w:val="22"/>
          <w:szCs w:val="22"/>
        </w:rPr>
        <w:t xml:space="preserve"> </w:t>
      </w:r>
    </w:p>
    <w:p w14:paraId="1D3A80C9" w14:textId="77777777" w:rsidR="00F32B88" w:rsidRDefault="00F32B88" w:rsidP="00C81FA3">
      <w:pPr>
        <w:pStyle w:val="BodyText"/>
        <w:rPr>
          <w:sz w:val="22"/>
          <w:szCs w:val="22"/>
        </w:rPr>
      </w:pPr>
    </w:p>
    <w:p w14:paraId="32BB8EE8" w14:textId="04E33EAF" w:rsidR="00F32B88" w:rsidRPr="00E7572E" w:rsidRDefault="00F32B88" w:rsidP="00C81FA3">
      <w:pPr>
        <w:pStyle w:val="BodyText"/>
        <w:rPr>
          <w:sz w:val="22"/>
          <w:szCs w:val="22"/>
        </w:rPr>
      </w:pPr>
      <w:r>
        <w:rPr>
          <w:sz w:val="22"/>
          <w:szCs w:val="22"/>
        </w:rPr>
        <w:t xml:space="preserve">The </w:t>
      </w:r>
      <w:r w:rsidRPr="00E7572E">
        <w:rPr>
          <w:sz w:val="22"/>
          <w:szCs w:val="22"/>
        </w:rPr>
        <w:t>t</w:t>
      </w:r>
      <w:r>
        <w:rPr>
          <w:sz w:val="22"/>
          <w:szCs w:val="22"/>
        </w:rPr>
        <w:t>ransformation</w:t>
      </w:r>
      <w:r w:rsidR="005636B0">
        <w:rPr>
          <w:sz w:val="22"/>
          <w:szCs w:val="22"/>
        </w:rPr>
        <w:t>al</w:t>
      </w:r>
      <w:r>
        <w:rPr>
          <w:sz w:val="22"/>
          <w:szCs w:val="22"/>
        </w:rPr>
        <w:t xml:space="preserve"> impact of preventing climate gentrification is an impact of climate change most notably affecting the City of Miami. As the largest City in the County, on the coast of the Atlantic Ocean, and with a population experiencing a high rate of poverty juxtaposed with a smaller group of the population of extremely wealthy residents, the City sees increased inequities from the effects of climate change. Most of the higher-income residents live on the coast, where the land elevation is near sea level</w:t>
      </w:r>
      <w:r w:rsidR="00BE0A81">
        <w:rPr>
          <w:sz w:val="22"/>
          <w:szCs w:val="22"/>
        </w:rPr>
        <w:t xml:space="preserve"> (approximately 3 feet above sea level)</w:t>
      </w:r>
      <w:r>
        <w:rPr>
          <w:sz w:val="22"/>
          <w:szCs w:val="22"/>
        </w:rPr>
        <w:t xml:space="preserve">. The higher land elevations </w:t>
      </w:r>
      <w:r w:rsidR="005513CA">
        <w:rPr>
          <w:sz w:val="22"/>
          <w:szCs w:val="22"/>
        </w:rPr>
        <w:t>tend to be inland</w:t>
      </w:r>
      <w:r w:rsidR="007A145A">
        <w:rPr>
          <w:sz w:val="22"/>
          <w:szCs w:val="22"/>
        </w:rPr>
        <w:t>, created geographically by a ridge that in some places</w:t>
      </w:r>
      <w:r w:rsidR="00BE0A81">
        <w:rPr>
          <w:sz w:val="22"/>
          <w:szCs w:val="22"/>
        </w:rPr>
        <w:t xml:space="preserve"> is up to 12 feet</w:t>
      </w:r>
      <w:r w:rsidR="0095082E">
        <w:rPr>
          <w:sz w:val="22"/>
          <w:szCs w:val="22"/>
        </w:rPr>
        <w:t xml:space="preserve"> and typically an average of 6 feet above sea level</w:t>
      </w:r>
      <w:r w:rsidR="00BE0A81">
        <w:rPr>
          <w:sz w:val="22"/>
          <w:szCs w:val="22"/>
        </w:rPr>
        <w:t>.</w:t>
      </w:r>
      <w:r w:rsidR="008F4426">
        <w:rPr>
          <w:sz w:val="22"/>
          <w:szCs w:val="22"/>
        </w:rPr>
        <w:t xml:space="preserve"> These areas </w:t>
      </w:r>
      <w:r w:rsidR="00963DB3">
        <w:rPr>
          <w:sz w:val="22"/>
          <w:szCs w:val="22"/>
        </w:rPr>
        <w:t>coincide with the City’s Climate Justice Communitie</w:t>
      </w:r>
      <w:r w:rsidR="00231EB5">
        <w:rPr>
          <w:sz w:val="22"/>
          <w:szCs w:val="22"/>
        </w:rPr>
        <w:t>s</w:t>
      </w:r>
      <w:r w:rsidR="00963DB3">
        <w:rPr>
          <w:sz w:val="22"/>
          <w:szCs w:val="22"/>
        </w:rPr>
        <w:t>.</w:t>
      </w:r>
      <w:r w:rsidR="0095082E">
        <w:rPr>
          <w:sz w:val="22"/>
          <w:szCs w:val="22"/>
        </w:rPr>
        <w:t xml:space="preserve"> As </w:t>
      </w:r>
      <w:r w:rsidR="008F4426">
        <w:rPr>
          <w:sz w:val="22"/>
          <w:szCs w:val="22"/>
        </w:rPr>
        <w:t xml:space="preserve">the sea level rises, many wealthier residents will look to move inland to move away from increased flooding. Some developers are already purchasing </w:t>
      </w:r>
      <w:r w:rsidR="00963DB3">
        <w:rPr>
          <w:sz w:val="22"/>
          <w:szCs w:val="22"/>
        </w:rPr>
        <w:t>entire</w:t>
      </w:r>
      <w:r w:rsidR="008F4426">
        <w:rPr>
          <w:sz w:val="22"/>
          <w:szCs w:val="22"/>
        </w:rPr>
        <w:t xml:space="preserve"> blocks</w:t>
      </w:r>
      <w:r w:rsidR="00963DB3">
        <w:rPr>
          <w:sz w:val="22"/>
          <w:szCs w:val="22"/>
        </w:rPr>
        <w:t xml:space="preserve"> within the Climate Justice Communities as they see </w:t>
      </w:r>
      <w:r w:rsidR="00F5389B">
        <w:rPr>
          <w:sz w:val="22"/>
          <w:szCs w:val="22"/>
        </w:rPr>
        <w:t>developing on higher land elevations as a better business model. This is creating cultural divides and pricing out existing residents who live in these areas</w:t>
      </w:r>
      <w:r w:rsidR="00D776A9">
        <w:rPr>
          <w:sz w:val="22"/>
          <w:szCs w:val="22"/>
        </w:rPr>
        <w:t xml:space="preserve">, enabling gentrification to occur that is caused by climate change. Funding the </w:t>
      </w:r>
      <w:r w:rsidR="003C657F">
        <w:rPr>
          <w:sz w:val="22"/>
          <w:szCs w:val="22"/>
        </w:rPr>
        <w:t>City of</w:t>
      </w:r>
      <w:r w:rsidR="00D776A9">
        <w:rPr>
          <w:sz w:val="22"/>
          <w:szCs w:val="22"/>
        </w:rPr>
        <w:t xml:space="preserve"> Miami Climate Ready Housing Program Suite helps lower-income residents stay in their homes</w:t>
      </w:r>
      <w:r w:rsidR="006F04D9">
        <w:rPr>
          <w:sz w:val="22"/>
          <w:szCs w:val="22"/>
        </w:rPr>
        <w:t xml:space="preserve">, both by being able to afford housing costs as well as have their homes be resilient to </w:t>
      </w:r>
      <w:r w:rsidR="00267F66">
        <w:rPr>
          <w:sz w:val="22"/>
          <w:szCs w:val="22"/>
        </w:rPr>
        <w:t xml:space="preserve">climate change. </w:t>
      </w:r>
    </w:p>
    <w:p w14:paraId="6AD88DCE" w14:textId="77777777" w:rsidR="00A6143A" w:rsidRDefault="00A6143A" w:rsidP="00C81FA3">
      <w:pPr>
        <w:pStyle w:val="BodyText"/>
        <w:rPr>
          <w:sz w:val="22"/>
          <w:szCs w:val="22"/>
        </w:rPr>
      </w:pPr>
    </w:p>
    <w:p w14:paraId="5D4C57A1" w14:textId="557AA094" w:rsidR="00661ADA" w:rsidRPr="00661ADA" w:rsidRDefault="00661ADA" w:rsidP="00C81FA3">
      <w:pPr>
        <w:pStyle w:val="BodyText"/>
        <w:rPr>
          <w:sz w:val="22"/>
          <w:szCs w:val="22"/>
        </w:rPr>
      </w:pPr>
      <w:r w:rsidRPr="00661ADA">
        <w:rPr>
          <w:sz w:val="22"/>
          <w:szCs w:val="22"/>
        </w:rPr>
        <w:t xml:space="preserve">Funding the expansion of these </w:t>
      </w:r>
      <w:r w:rsidR="005A4BEF">
        <w:rPr>
          <w:sz w:val="22"/>
          <w:szCs w:val="22"/>
        </w:rPr>
        <w:t>P</w:t>
      </w:r>
      <w:r w:rsidRPr="00661ADA">
        <w:rPr>
          <w:sz w:val="22"/>
          <w:szCs w:val="22"/>
        </w:rPr>
        <w:t xml:space="preserve">rograms enables: </w:t>
      </w:r>
    </w:p>
    <w:p w14:paraId="54CA9627" w14:textId="77777777" w:rsidR="00661ADA" w:rsidRPr="00661ADA" w:rsidRDefault="00661ADA" w:rsidP="00356418">
      <w:pPr>
        <w:pStyle w:val="BodyText"/>
        <w:numPr>
          <w:ilvl w:val="0"/>
          <w:numId w:val="5"/>
        </w:numPr>
        <w:ind w:left="720"/>
        <w:rPr>
          <w:sz w:val="22"/>
          <w:szCs w:val="22"/>
        </w:rPr>
      </w:pPr>
      <w:r w:rsidRPr="00661ADA">
        <w:rPr>
          <w:sz w:val="22"/>
          <w:szCs w:val="22"/>
        </w:rPr>
        <w:t>Reduction of existing greenhouse gases,</w:t>
      </w:r>
    </w:p>
    <w:p w14:paraId="7AEF27C3" w14:textId="0E99C624" w:rsidR="00661ADA" w:rsidRPr="00661ADA" w:rsidRDefault="00661ADA" w:rsidP="00356418">
      <w:pPr>
        <w:pStyle w:val="BodyText"/>
        <w:numPr>
          <w:ilvl w:val="0"/>
          <w:numId w:val="5"/>
        </w:numPr>
        <w:ind w:left="720"/>
        <w:rPr>
          <w:sz w:val="22"/>
          <w:szCs w:val="22"/>
        </w:rPr>
      </w:pPr>
      <w:r w:rsidRPr="00661ADA">
        <w:rPr>
          <w:sz w:val="22"/>
          <w:szCs w:val="22"/>
        </w:rPr>
        <w:t xml:space="preserve">Reduction of new </w:t>
      </w:r>
      <w:r w:rsidR="00C7359C">
        <w:rPr>
          <w:sz w:val="22"/>
          <w:szCs w:val="22"/>
        </w:rPr>
        <w:t xml:space="preserve">GHG </w:t>
      </w:r>
      <w:r w:rsidRPr="00661ADA">
        <w:rPr>
          <w:sz w:val="22"/>
          <w:szCs w:val="22"/>
        </w:rPr>
        <w:t>emissions to be produced,</w:t>
      </w:r>
    </w:p>
    <w:p w14:paraId="43D55CA0" w14:textId="77777777" w:rsidR="00661ADA" w:rsidRPr="00661ADA" w:rsidRDefault="00661ADA" w:rsidP="00356418">
      <w:pPr>
        <w:pStyle w:val="BodyText"/>
        <w:numPr>
          <w:ilvl w:val="0"/>
          <w:numId w:val="5"/>
        </w:numPr>
        <w:ind w:left="720"/>
        <w:rPr>
          <w:sz w:val="22"/>
          <w:szCs w:val="22"/>
        </w:rPr>
      </w:pPr>
      <w:r w:rsidRPr="00661ADA">
        <w:rPr>
          <w:sz w:val="22"/>
          <w:szCs w:val="22"/>
        </w:rPr>
        <w:t>Decrease of residential energy bill burden,</w:t>
      </w:r>
    </w:p>
    <w:p w14:paraId="6B4F3878" w14:textId="77777777" w:rsidR="00661ADA" w:rsidRPr="00661ADA" w:rsidRDefault="00661ADA" w:rsidP="00356418">
      <w:pPr>
        <w:pStyle w:val="BodyText"/>
        <w:numPr>
          <w:ilvl w:val="0"/>
          <w:numId w:val="5"/>
        </w:numPr>
        <w:ind w:left="720"/>
        <w:rPr>
          <w:sz w:val="22"/>
          <w:szCs w:val="22"/>
        </w:rPr>
      </w:pPr>
      <w:r w:rsidRPr="00661ADA">
        <w:rPr>
          <w:sz w:val="22"/>
          <w:szCs w:val="22"/>
        </w:rPr>
        <w:t xml:space="preserve">Ability to obtain residential wind insurance, </w:t>
      </w:r>
    </w:p>
    <w:p w14:paraId="59364555" w14:textId="11222D3D" w:rsidR="00661ADA" w:rsidRPr="00661ADA" w:rsidRDefault="00661ADA" w:rsidP="00356418">
      <w:pPr>
        <w:pStyle w:val="BodyText"/>
        <w:numPr>
          <w:ilvl w:val="0"/>
          <w:numId w:val="5"/>
        </w:numPr>
        <w:ind w:left="720"/>
        <w:rPr>
          <w:sz w:val="22"/>
          <w:szCs w:val="22"/>
        </w:rPr>
      </w:pPr>
      <w:r w:rsidRPr="00661ADA">
        <w:rPr>
          <w:sz w:val="22"/>
          <w:szCs w:val="22"/>
        </w:rPr>
        <w:t xml:space="preserve">Improvement of the City’s </w:t>
      </w:r>
      <w:r w:rsidR="00AD6B0A">
        <w:rPr>
          <w:sz w:val="22"/>
          <w:szCs w:val="22"/>
        </w:rPr>
        <w:t>Federal Emergency Management Agency (</w:t>
      </w:r>
      <w:r w:rsidRPr="00661ADA">
        <w:rPr>
          <w:sz w:val="22"/>
          <w:szCs w:val="22"/>
        </w:rPr>
        <w:t>FEMA</w:t>
      </w:r>
      <w:r w:rsidR="00AD6B0A">
        <w:rPr>
          <w:sz w:val="22"/>
          <w:szCs w:val="22"/>
        </w:rPr>
        <w:t>)</w:t>
      </w:r>
      <w:r w:rsidRPr="00661ADA">
        <w:rPr>
          <w:sz w:val="22"/>
          <w:szCs w:val="22"/>
        </w:rPr>
        <w:t xml:space="preserve"> Community Rating Score which provides a reduction in new residential flood insurance policies, </w:t>
      </w:r>
    </w:p>
    <w:p w14:paraId="120EC3E5" w14:textId="77777777" w:rsidR="00661ADA" w:rsidRPr="00661ADA" w:rsidRDefault="00661ADA" w:rsidP="00356418">
      <w:pPr>
        <w:pStyle w:val="BodyText"/>
        <w:numPr>
          <w:ilvl w:val="0"/>
          <w:numId w:val="5"/>
        </w:numPr>
        <w:ind w:left="720"/>
        <w:rPr>
          <w:sz w:val="22"/>
          <w:szCs w:val="22"/>
        </w:rPr>
      </w:pPr>
      <w:r w:rsidRPr="00661ADA">
        <w:rPr>
          <w:sz w:val="22"/>
          <w:szCs w:val="22"/>
        </w:rPr>
        <w:t>Stability of rental prices amid increased inflation and the City’s housing affordability crisis,</w:t>
      </w:r>
    </w:p>
    <w:p w14:paraId="5B7DDEE3" w14:textId="77777777" w:rsidR="00661ADA" w:rsidRPr="00661ADA" w:rsidRDefault="00661ADA" w:rsidP="00356418">
      <w:pPr>
        <w:pStyle w:val="BodyText"/>
        <w:numPr>
          <w:ilvl w:val="0"/>
          <w:numId w:val="5"/>
        </w:numPr>
        <w:ind w:left="720"/>
        <w:rPr>
          <w:sz w:val="22"/>
          <w:szCs w:val="22"/>
        </w:rPr>
      </w:pPr>
      <w:r w:rsidRPr="00661ADA">
        <w:rPr>
          <w:sz w:val="22"/>
          <w:szCs w:val="22"/>
        </w:rPr>
        <w:t xml:space="preserve">Prevention of displacement for lower-income renters and homeowners, </w:t>
      </w:r>
    </w:p>
    <w:p w14:paraId="06DC9B3C" w14:textId="77777777" w:rsidR="00661ADA" w:rsidRPr="00661ADA" w:rsidRDefault="00661ADA" w:rsidP="00356418">
      <w:pPr>
        <w:pStyle w:val="BodyText"/>
        <w:numPr>
          <w:ilvl w:val="0"/>
          <w:numId w:val="5"/>
        </w:numPr>
        <w:ind w:left="720"/>
        <w:rPr>
          <w:sz w:val="22"/>
          <w:szCs w:val="22"/>
        </w:rPr>
      </w:pPr>
      <w:r w:rsidRPr="00661ADA">
        <w:rPr>
          <w:sz w:val="22"/>
          <w:szCs w:val="22"/>
        </w:rPr>
        <w:t>Prevention of overall climate migration, and</w:t>
      </w:r>
    </w:p>
    <w:p w14:paraId="3FD8BA64" w14:textId="13928837" w:rsidR="00E7572E" w:rsidRPr="00F32B88" w:rsidRDefault="00661ADA" w:rsidP="00356418">
      <w:pPr>
        <w:pStyle w:val="BodyText"/>
        <w:numPr>
          <w:ilvl w:val="0"/>
          <w:numId w:val="5"/>
        </w:numPr>
        <w:ind w:left="720"/>
        <w:rPr>
          <w:sz w:val="22"/>
          <w:szCs w:val="22"/>
        </w:rPr>
      </w:pPr>
      <w:r w:rsidRPr="00661ADA">
        <w:rPr>
          <w:sz w:val="22"/>
          <w:szCs w:val="22"/>
        </w:rPr>
        <w:t xml:space="preserve">Ability of </w:t>
      </w:r>
      <w:r w:rsidR="00B440F6">
        <w:rPr>
          <w:sz w:val="22"/>
          <w:szCs w:val="22"/>
        </w:rPr>
        <w:t xml:space="preserve">the </w:t>
      </w:r>
      <w:r w:rsidRPr="00661ADA">
        <w:rPr>
          <w:sz w:val="22"/>
          <w:szCs w:val="22"/>
        </w:rPr>
        <w:t>cultural integrity of the City to be maintained by preventing neighborhood redevelopment</w:t>
      </w:r>
      <w:r w:rsidR="00B8781A">
        <w:rPr>
          <w:sz w:val="22"/>
          <w:szCs w:val="22"/>
        </w:rPr>
        <w:t xml:space="preserve"> from climate gentrification.</w:t>
      </w:r>
    </w:p>
    <w:p w14:paraId="22C9E815" w14:textId="42B9E4CF" w:rsidR="00F55DDD" w:rsidRDefault="00F55DDD" w:rsidP="00A549AC">
      <w:pPr>
        <w:pStyle w:val="Heading2"/>
      </w:pPr>
      <w:r w:rsidRPr="776C0AE4">
        <w:t>Section 2: Impact of G</w:t>
      </w:r>
      <w:r w:rsidR="004F1440">
        <w:t>reenhouse Gas</w:t>
      </w:r>
      <w:r w:rsidRPr="776C0AE4">
        <w:t xml:space="preserve"> Reduction Measures (60 possible points)</w:t>
      </w:r>
    </w:p>
    <w:p w14:paraId="012FB570" w14:textId="1E677DF7" w:rsidR="00467BBE" w:rsidRPr="00467BBE" w:rsidRDefault="00E77CD6" w:rsidP="00467BBE">
      <w:bookmarkStart w:id="2" w:name="_Hlk162715846"/>
      <w:r>
        <w:t xml:space="preserve">Detailed information on the </w:t>
      </w:r>
      <w:r w:rsidRPr="00E77CD6">
        <w:t>magnitude of both near-term and long-term cumulative GHG emission reductions, the relative cost-effectiveness of those reductions, and the reasonableness and quality of the assumptions and calculations used to determine the reductions and cost-effectiveness of those reductions</w:t>
      </w:r>
      <w:r w:rsidR="0065376C">
        <w:t xml:space="preserve"> are including in the Technical Appendix Attachment. </w:t>
      </w:r>
    </w:p>
    <w:bookmarkEnd w:id="2"/>
    <w:p w14:paraId="0E8318B9" w14:textId="44453531" w:rsidR="00F55DDD" w:rsidRDefault="00F55DDD" w:rsidP="00356418">
      <w:pPr>
        <w:pStyle w:val="Heading3"/>
        <w:numPr>
          <w:ilvl w:val="0"/>
          <w:numId w:val="7"/>
        </w:numPr>
      </w:pPr>
      <w:r w:rsidRPr="00F55DDD">
        <w:t>Magnitude of GHG Reductions from 2025 through 2030 (20 possible</w:t>
      </w:r>
      <w:r w:rsidRPr="00F55DDD">
        <w:rPr>
          <w:spacing w:val="-9"/>
        </w:rPr>
        <w:t xml:space="preserve"> </w:t>
      </w:r>
      <w:r w:rsidRPr="00F55DDD">
        <w:t>points)</w:t>
      </w:r>
    </w:p>
    <w:p w14:paraId="4794BC1B" w14:textId="672F3F0D" w:rsidR="00206BDB" w:rsidRPr="00467BBE" w:rsidRDefault="00FD5DE8" w:rsidP="00206BDB">
      <w:r>
        <w:t xml:space="preserve">See Technical </w:t>
      </w:r>
      <w:r w:rsidR="0065376C">
        <w:t xml:space="preserve">Appendix </w:t>
      </w:r>
      <w:r w:rsidR="00520D47">
        <w:t>Attachment</w:t>
      </w:r>
      <w:r w:rsidR="00B04793">
        <w:t xml:space="preserve"> for magnitude of GHG Reductions from 2025 through 2030.</w:t>
      </w:r>
      <w:r w:rsidR="00520D47">
        <w:t xml:space="preserve"> </w:t>
      </w:r>
    </w:p>
    <w:p w14:paraId="1124C0FD" w14:textId="73C35CA0" w:rsidR="00F55DDD" w:rsidRDefault="00F55DDD" w:rsidP="00356418">
      <w:pPr>
        <w:pStyle w:val="Heading3"/>
        <w:numPr>
          <w:ilvl w:val="0"/>
          <w:numId w:val="7"/>
        </w:numPr>
      </w:pPr>
      <w:r w:rsidRPr="00F55DDD">
        <w:t>Magnitude of GHG Reductions from 2025 through 2050 (10 possible</w:t>
      </w:r>
      <w:r w:rsidRPr="00F55DDD">
        <w:rPr>
          <w:spacing w:val="-9"/>
        </w:rPr>
        <w:t xml:space="preserve"> </w:t>
      </w:r>
      <w:r w:rsidRPr="00F55DDD">
        <w:t>points)</w:t>
      </w:r>
    </w:p>
    <w:p w14:paraId="79704211" w14:textId="54BC81B8" w:rsidR="00520D47" w:rsidRPr="00467BBE" w:rsidRDefault="00520D47" w:rsidP="00520D47">
      <w:r>
        <w:t xml:space="preserve">See Technical </w:t>
      </w:r>
      <w:r w:rsidR="0065376C">
        <w:t xml:space="preserve">Appendix </w:t>
      </w:r>
      <w:r>
        <w:t>Attachment</w:t>
      </w:r>
      <w:r w:rsidR="00B04793">
        <w:t xml:space="preserve"> for magnitude of GHG Reductions from 2025 through 2050.</w:t>
      </w:r>
      <w:r>
        <w:t xml:space="preserve"> </w:t>
      </w:r>
    </w:p>
    <w:p w14:paraId="568CFA77" w14:textId="6A788F02" w:rsidR="00F55DDD" w:rsidRDefault="00F55DDD" w:rsidP="00356418">
      <w:pPr>
        <w:pStyle w:val="Heading3"/>
        <w:numPr>
          <w:ilvl w:val="0"/>
          <w:numId w:val="7"/>
        </w:numPr>
      </w:pPr>
      <w:r w:rsidRPr="00F55DDD">
        <w:t>Cost Effectiveness of GHG Reductions (15 possible</w:t>
      </w:r>
      <w:r w:rsidRPr="00F55DDD">
        <w:rPr>
          <w:spacing w:val="-1"/>
        </w:rPr>
        <w:t xml:space="preserve"> </w:t>
      </w:r>
      <w:r w:rsidRPr="00F55DDD">
        <w:t>points)</w:t>
      </w:r>
    </w:p>
    <w:p w14:paraId="286F44B0" w14:textId="6A276762" w:rsidR="00520D47" w:rsidRPr="00467BBE" w:rsidRDefault="00520D47" w:rsidP="00520D47">
      <w:r>
        <w:t xml:space="preserve">See Technical </w:t>
      </w:r>
      <w:r w:rsidR="0065376C">
        <w:t xml:space="preserve">Appendix </w:t>
      </w:r>
      <w:r>
        <w:t>Attachment</w:t>
      </w:r>
      <w:r w:rsidR="00B04793">
        <w:t xml:space="preserve"> for cost effectiveness of GHG Reductions. </w:t>
      </w:r>
      <w:r>
        <w:t xml:space="preserve"> </w:t>
      </w:r>
    </w:p>
    <w:p w14:paraId="512E8B2D" w14:textId="19841494" w:rsidR="00F55DDD" w:rsidRDefault="00F55DDD" w:rsidP="00356418">
      <w:pPr>
        <w:pStyle w:val="Heading3"/>
        <w:numPr>
          <w:ilvl w:val="0"/>
          <w:numId w:val="7"/>
        </w:numPr>
      </w:pPr>
      <w:r w:rsidRPr="00F55DDD">
        <w:t>Documentation of GHG Reduction Assumptions (15 possible</w:t>
      </w:r>
      <w:r w:rsidRPr="00F55DDD">
        <w:rPr>
          <w:spacing w:val="-3"/>
        </w:rPr>
        <w:t xml:space="preserve"> </w:t>
      </w:r>
      <w:r w:rsidRPr="00F55DDD">
        <w:t>points)</w:t>
      </w:r>
    </w:p>
    <w:p w14:paraId="6154B777" w14:textId="76F693F4" w:rsidR="00520D47" w:rsidRDefault="00520D47" w:rsidP="00520D47">
      <w:r>
        <w:t xml:space="preserve">See Technical </w:t>
      </w:r>
      <w:r w:rsidR="0065376C">
        <w:t xml:space="preserve">Appendix </w:t>
      </w:r>
      <w:r>
        <w:t>Attachment</w:t>
      </w:r>
      <w:r w:rsidR="00B04793">
        <w:t xml:space="preserve"> for documentation of GHG Reduction Assumptions. </w:t>
      </w:r>
    </w:p>
    <w:p w14:paraId="7B42EDE9" w14:textId="77777777" w:rsidR="00F55DDD" w:rsidRPr="00F55DDD" w:rsidRDefault="00F55DDD" w:rsidP="00426934">
      <w:pPr>
        <w:pStyle w:val="Heading2"/>
      </w:pPr>
      <w:r w:rsidRPr="00F55DDD">
        <w:t>Section 3: Environmental Results – Outputs, Outcomes, and Performance Measures (30 possible points)</w:t>
      </w:r>
    </w:p>
    <w:p w14:paraId="51AE0ED3" w14:textId="233D4081" w:rsidR="00F55DDD" w:rsidRPr="00F55DDD" w:rsidRDefault="00F55DDD" w:rsidP="00356418">
      <w:pPr>
        <w:pStyle w:val="Heading3"/>
        <w:numPr>
          <w:ilvl w:val="0"/>
          <w:numId w:val="8"/>
        </w:numPr>
      </w:pPr>
      <w:r w:rsidRPr="00F55DDD">
        <w:t>Expected Outputs and Outcomes (10 possible</w:t>
      </w:r>
      <w:r w:rsidRPr="00F55DDD">
        <w:rPr>
          <w:spacing w:val="-5"/>
        </w:rPr>
        <w:t xml:space="preserve"> </w:t>
      </w:r>
      <w:r w:rsidRPr="00F55DDD">
        <w:t>points)</w:t>
      </w:r>
    </w:p>
    <w:p w14:paraId="656C7FBA" w14:textId="4924E49B" w:rsidR="005279A5" w:rsidRDefault="00DD721F" w:rsidP="0059426C">
      <w:pPr>
        <w:pStyle w:val="BodyText"/>
        <w:spacing w:before="90"/>
        <w:rPr>
          <w:sz w:val="22"/>
          <w:szCs w:val="22"/>
        </w:rPr>
      </w:pPr>
      <w:r>
        <w:rPr>
          <w:sz w:val="22"/>
          <w:szCs w:val="22"/>
        </w:rPr>
        <w:t xml:space="preserve">Implementation of the </w:t>
      </w:r>
      <w:r w:rsidR="00C7359C">
        <w:rPr>
          <w:sz w:val="22"/>
          <w:szCs w:val="22"/>
        </w:rPr>
        <w:t xml:space="preserve">GHG </w:t>
      </w:r>
      <w:r w:rsidR="009A33FA">
        <w:rPr>
          <w:sz w:val="22"/>
          <w:szCs w:val="22"/>
        </w:rPr>
        <w:t>Reduction Measures will have the following outputs and outcomes in the City:</w:t>
      </w:r>
    </w:p>
    <w:p w14:paraId="0027BF31" w14:textId="4573E329" w:rsidR="00DD721F" w:rsidRPr="0098429B" w:rsidRDefault="003F674C" w:rsidP="00A101E8">
      <w:pPr>
        <w:pStyle w:val="BodyText"/>
        <w:spacing w:before="90"/>
        <w:ind w:right="607"/>
        <w:rPr>
          <w:b/>
          <w:bCs/>
          <w:i/>
          <w:iCs/>
          <w:sz w:val="22"/>
          <w:szCs w:val="22"/>
        </w:rPr>
      </w:pPr>
      <w:r w:rsidRPr="0098429B">
        <w:rPr>
          <w:b/>
          <w:bCs/>
          <w:i/>
          <w:iCs/>
          <w:sz w:val="22"/>
          <w:szCs w:val="22"/>
        </w:rPr>
        <w:t>Expected Outputs and Outcomes</w:t>
      </w:r>
    </w:p>
    <w:tbl>
      <w:tblPr>
        <w:tblStyle w:val="TableGrid"/>
        <w:tblW w:w="10165" w:type="dxa"/>
        <w:tblCellMar>
          <w:top w:w="29" w:type="dxa"/>
          <w:bottom w:w="29" w:type="dxa"/>
        </w:tblCellMar>
        <w:tblLook w:val="04A0" w:firstRow="1" w:lastRow="0" w:firstColumn="1" w:lastColumn="0" w:noHBand="0" w:noVBand="1"/>
      </w:tblPr>
      <w:tblGrid>
        <w:gridCol w:w="1435"/>
        <w:gridCol w:w="2970"/>
        <w:gridCol w:w="3780"/>
        <w:gridCol w:w="1980"/>
      </w:tblGrid>
      <w:tr w:rsidR="00991167" w:rsidRPr="00991167" w14:paraId="49412651" w14:textId="77777777" w:rsidTr="00B80A30">
        <w:tc>
          <w:tcPr>
            <w:tcW w:w="1435" w:type="dxa"/>
            <w:shd w:val="clear" w:color="auto" w:fill="A02B93" w:themeFill="accent5"/>
          </w:tcPr>
          <w:p w14:paraId="3B3F0A2D" w14:textId="275DB2C8" w:rsidR="00EC3A09" w:rsidRPr="009C2385" w:rsidRDefault="00AD0FD6" w:rsidP="006360ED">
            <w:pPr>
              <w:pStyle w:val="BodyText"/>
              <w:jc w:val="center"/>
              <w:rPr>
                <w:b/>
                <w:bCs/>
                <w:color w:val="FFFFFF" w:themeColor="background1"/>
                <w:sz w:val="28"/>
                <w:szCs w:val="28"/>
              </w:rPr>
            </w:pPr>
            <w:r w:rsidRPr="009C2385">
              <w:rPr>
                <w:b/>
                <w:bCs/>
                <w:color w:val="FFFFFF" w:themeColor="background1"/>
                <w:sz w:val="28"/>
                <w:szCs w:val="28"/>
              </w:rPr>
              <w:t>PCAP Measure</w:t>
            </w:r>
          </w:p>
        </w:tc>
        <w:tc>
          <w:tcPr>
            <w:tcW w:w="2970" w:type="dxa"/>
            <w:shd w:val="clear" w:color="auto" w:fill="A02B93" w:themeFill="accent5"/>
          </w:tcPr>
          <w:p w14:paraId="7C762581" w14:textId="0DCA716E" w:rsidR="00EC3A09" w:rsidRPr="009C2385" w:rsidRDefault="00C7359C" w:rsidP="006360ED">
            <w:pPr>
              <w:pStyle w:val="BodyText"/>
              <w:jc w:val="center"/>
              <w:rPr>
                <w:b/>
                <w:bCs/>
                <w:color w:val="FFFFFF" w:themeColor="background1"/>
                <w:sz w:val="28"/>
                <w:szCs w:val="28"/>
              </w:rPr>
            </w:pPr>
            <w:r>
              <w:rPr>
                <w:b/>
                <w:bCs/>
                <w:color w:val="FFFFFF" w:themeColor="background1"/>
                <w:sz w:val="28"/>
                <w:szCs w:val="28"/>
              </w:rPr>
              <w:t xml:space="preserve">GHG </w:t>
            </w:r>
            <w:r w:rsidR="00AD0FD6" w:rsidRPr="009C2385">
              <w:rPr>
                <w:b/>
                <w:bCs/>
                <w:color w:val="FFFFFF" w:themeColor="background1"/>
                <w:sz w:val="28"/>
                <w:szCs w:val="28"/>
              </w:rPr>
              <w:t>Reduction Measure</w:t>
            </w:r>
          </w:p>
        </w:tc>
        <w:tc>
          <w:tcPr>
            <w:tcW w:w="3780" w:type="dxa"/>
            <w:shd w:val="clear" w:color="auto" w:fill="A02B93" w:themeFill="accent5"/>
          </w:tcPr>
          <w:p w14:paraId="5B89B8CD" w14:textId="74189906" w:rsidR="00EC3A09" w:rsidRPr="009C2385" w:rsidRDefault="00EA589C" w:rsidP="006360ED">
            <w:pPr>
              <w:pStyle w:val="BodyText"/>
              <w:ind w:right="10"/>
              <w:jc w:val="center"/>
              <w:rPr>
                <w:b/>
                <w:bCs/>
                <w:color w:val="FFFFFF" w:themeColor="background1"/>
                <w:sz w:val="28"/>
                <w:szCs w:val="28"/>
              </w:rPr>
            </w:pPr>
            <w:r w:rsidRPr="009C2385">
              <w:rPr>
                <w:b/>
                <w:bCs/>
                <w:color w:val="FFFFFF" w:themeColor="background1"/>
                <w:sz w:val="28"/>
                <w:szCs w:val="28"/>
              </w:rPr>
              <w:t>Output</w:t>
            </w:r>
            <w:r w:rsidR="00601875" w:rsidRPr="009C2385">
              <w:rPr>
                <w:b/>
                <w:bCs/>
                <w:color w:val="FFFFFF" w:themeColor="background1"/>
                <w:sz w:val="28"/>
                <w:szCs w:val="28"/>
              </w:rPr>
              <w:t>s</w:t>
            </w:r>
          </w:p>
        </w:tc>
        <w:tc>
          <w:tcPr>
            <w:tcW w:w="1980" w:type="dxa"/>
            <w:shd w:val="clear" w:color="auto" w:fill="A02B93" w:themeFill="accent5"/>
          </w:tcPr>
          <w:p w14:paraId="097A0B17" w14:textId="77777777" w:rsidR="00EC3A09" w:rsidRPr="009C2385" w:rsidRDefault="00EA589C" w:rsidP="006360ED">
            <w:pPr>
              <w:pStyle w:val="BodyText"/>
              <w:jc w:val="center"/>
              <w:rPr>
                <w:b/>
                <w:bCs/>
                <w:color w:val="FFFFFF" w:themeColor="background1"/>
                <w:sz w:val="28"/>
                <w:szCs w:val="28"/>
              </w:rPr>
            </w:pPr>
            <w:r w:rsidRPr="009C2385">
              <w:rPr>
                <w:b/>
                <w:bCs/>
                <w:color w:val="FFFFFF" w:themeColor="background1"/>
                <w:sz w:val="28"/>
                <w:szCs w:val="28"/>
              </w:rPr>
              <w:t>Outcome</w:t>
            </w:r>
            <w:r w:rsidR="00601875" w:rsidRPr="009C2385">
              <w:rPr>
                <w:b/>
                <w:bCs/>
                <w:color w:val="FFFFFF" w:themeColor="background1"/>
                <w:sz w:val="28"/>
                <w:szCs w:val="28"/>
              </w:rPr>
              <w:t>s</w:t>
            </w:r>
          </w:p>
          <w:p w14:paraId="4D8382E3" w14:textId="5A57C5DB" w:rsidR="00EC3EEC" w:rsidRPr="00991167" w:rsidRDefault="00EC3EEC" w:rsidP="006360ED">
            <w:pPr>
              <w:pStyle w:val="BodyText"/>
              <w:jc w:val="center"/>
              <w:rPr>
                <w:b/>
                <w:bCs/>
                <w:color w:val="FFFFFF" w:themeColor="background1"/>
              </w:rPr>
            </w:pPr>
            <w:r w:rsidRPr="009C2385">
              <w:rPr>
                <w:b/>
                <w:bCs/>
                <w:color w:val="FFFFFF" w:themeColor="background1"/>
                <w:sz w:val="18"/>
                <w:szCs w:val="18"/>
              </w:rPr>
              <w:t>(Outcome</w:t>
            </w:r>
            <w:r w:rsidR="009910F3" w:rsidRPr="009C2385">
              <w:rPr>
                <w:b/>
                <w:bCs/>
                <w:color w:val="FFFFFF" w:themeColor="background1"/>
                <w:sz w:val="18"/>
                <w:szCs w:val="18"/>
              </w:rPr>
              <w:t>s</w:t>
            </w:r>
            <w:r w:rsidRPr="009C2385">
              <w:rPr>
                <w:b/>
                <w:bCs/>
                <w:color w:val="FFFFFF" w:themeColor="background1"/>
                <w:sz w:val="18"/>
                <w:szCs w:val="18"/>
              </w:rPr>
              <w:t xml:space="preserve"> below appl</w:t>
            </w:r>
            <w:r w:rsidR="009910F3" w:rsidRPr="009C2385">
              <w:rPr>
                <w:b/>
                <w:bCs/>
                <w:color w:val="FFFFFF" w:themeColor="background1"/>
                <w:sz w:val="18"/>
                <w:szCs w:val="18"/>
              </w:rPr>
              <w:t>y</w:t>
            </w:r>
            <w:r w:rsidRPr="009C2385">
              <w:rPr>
                <w:b/>
                <w:bCs/>
                <w:color w:val="FFFFFF" w:themeColor="background1"/>
                <w:sz w:val="18"/>
                <w:szCs w:val="18"/>
              </w:rPr>
              <w:t xml:space="preserve"> to </w:t>
            </w:r>
            <w:r w:rsidR="00B80A30">
              <w:rPr>
                <w:b/>
                <w:bCs/>
                <w:color w:val="FFFFFF" w:themeColor="background1"/>
                <w:sz w:val="18"/>
                <w:szCs w:val="18"/>
              </w:rPr>
              <w:t>every</w:t>
            </w:r>
            <w:r w:rsidRPr="009C2385">
              <w:rPr>
                <w:b/>
                <w:bCs/>
                <w:color w:val="FFFFFF" w:themeColor="background1"/>
                <w:sz w:val="18"/>
                <w:szCs w:val="18"/>
              </w:rPr>
              <w:t xml:space="preserve"> </w:t>
            </w:r>
            <w:r w:rsidR="00C7359C">
              <w:rPr>
                <w:b/>
                <w:bCs/>
                <w:color w:val="FFFFFF" w:themeColor="background1"/>
                <w:sz w:val="18"/>
                <w:szCs w:val="18"/>
              </w:rPr>
              <w:t xml:space="preserve">GHG </w:t>
            </w:r>
            <w:r w:rsidRPr="009C2385">
              <w:rPr>
                <w:b/>
                <w:bCs/>
                <w:color w:val="FFFFFF" w:themeColor="background1"/>
                <w:sz w:val="18"/>
                <w:szCs w:val="18"/>
              </w:rPr>
              <w:t>Reduction Measure</w:t>
            </w:r>
            <w:r w:rsidR="009A33FA" w:rsidRPr="009C2385">
              <w:rPr>
                <w:b/>
                <w:bCs/>
                <w:color w:val="FFFFFF" w:themeColor="background1"/>
                <w:sz w:val="18"/>
                <w:szCs w:val="18"/>
              </w:rPr>
              <w:t xml:space="preserve"> in the</w:t>
            </w:r>
            <w:r w:rsidR="006F10BB" w:rsidRPr="009C2385">
              <w:rPr>
                <w:b/>
                <w:bCs/>
                <w:color w:val="FFFFFF" w:themeColor="background1"/>
                <w:sz w:val="18"/>
                <w:szCs w:val="18"/>
              </w:rPr>
              <w:t xml:space="preserve"> table</w:t>
            </w:r>
            <w:r w:rsidRPr="009C2385">
              <w:rPr>
                <w:b/>
                <w:bCs/>
                <w:color w:val="FFFFFF" w:themeColor="background1"/>
                <w:sz w:val="18"/>
                <w:szCs w:val="18"/>
              </w:rPr>
              <w:t>)</w:t>
            </w:r>
          </w:p>
        </w:tc>
      </w:tr>
      <w:tr w:rsidR="004F67CC" w14:paraId="322F9CB9" w14:textId="77777777" w:rsidTr="00B80A30">
        <w:tc>
          <w:tcPr>
            <w:tcW w:w="1435" w:type="dxa"/>
            <w:vMerge w:val="restart"/>
          </w:tcPr>
          <w:p w14:paraId="6367C1D2" w14:textId="17E7C733" w:rsidR="004F67CC" w:rsidRDefault="004F67CC" w:rsidP="006360ED">
            <w:pPr>
              <w:pStyle w:val="BodyText"/>
              <w:rPr>
                <w:sz w:val="22"/>
                <w:szCs w:val="22"/>
              </w:rPr>
            </w:pPr>
            <w:r>
              <w:rPr>
                <w:sz w:val="22"/>
                <w:szCs w:val="22"/>
              </w:rPr>
              <w:t>Measure #6</w:t>
            </w:r>
          </w:p>
        </w:tc>
        <w:tc>
          <w:tcPr>
            <w:tcW w:w="2970" w:type="dxa"/>
          </w:tcPr>
          <w:p w14:paraId="1E8391AC" w14:textId="0F0A3211" w:rsidR="004F67CC" w:rsidRDefault="004F67CC" w:rsidP="006360ED">
            <w:pPr>
              <w:pStyle w:val="BodyText"/>
              <w:rPr>
                <w:sz w:val="22"/>
                <w:szCs w:val="22"/>
              </w:rPr>
            </w:pPr>
            <w:r w:rsidRPr="00181245">
              <w:rPr>
                <w:sz w:val="22"/>
                <w:szCs w:val="22"/>
              </w:rPr>
              <w:t>R-01. Residential Heat Pump or High-Efficiency A/C Retrofits and Commissioning.</w:t>
            </w:r>
          </w:p>
        </w:tc>
        <w:tc>
          <w:tcPr>
            <w:tcW w:w="3780" w:type="dxa"/>
          </w:tcPr>
          <w:p w14:paraId="6EA8FFD7" w14:textId="2D31C61A" w:rsidR="004F67CC" w:rsidRDefault="004F67CC" w:rsidP="00356418">
            <w:pPr>
              <w:pStyle w:val="ListParagraph"/>
              <w:numPr>
                <w:ilvl w:val="0"/>
                <w:numId w:val="2"/>
              </w:numPr>
              <w:ind w:left="220" w:hanging="180"/>
            </w:pPr>
            <w:r>
              <w:t>Number of heat pump upgrades</w:t>
            </w:r>
          </w:p>
          <w:p w14:paraId="39A25D57" w14:textId="40A40036" w:rsidR="004F67CC" w:rsidRDefault="004F67CC" w:rsidP="00356418">
            <w:pPr>
              <w:pStyle w:val="ListParagraph"/>
              <w:numPr>
                <w:ilvl w:val="0"/>
                <w:numId w:val="2"/>
              </w:numPr>
              <w:ind w:left="220" w:hanging="180"/>
            </w:pPr>
            <w:r>
              <w:t xml:space="preserve">Number of AC retrofit upgrades </w:t>
            </w:r>
          </w:p>
          <w:p w14:paraId="7722968A" w14:textId="549704E7" w:rsidR="004F67CC" w:rsidRDefault="004F67CC" w:rsidP="00356418">
            <w:pPr>
              <w:pStyle w:val="ListParagraph"/>
              <w:numPr>
                <w:ilvl w:val="0"/>
                <w:numId w:val="2"/>
              </w:numPr>
              <w:ind w:left="220" w:hanging="180"/>
            </w:pPr>
            <w:r>
              <w:t>Number of AC commissioning upgrades</w:t>
            </w:r>
          </w:p>
          <w:p w14:paraId="53E03F76" w14:textId="0DC64849" w:rsidR="004241A9" w:rsidRDefault="004241A9" w:rsidP="00356418">
            <w:pPr>
              <w:pStyle w:val="ListParagraph"/>
              <w:numPr>
                <w:ilvl w:val="0"/>
                <w:numId w:val="2"/>
              </w:numPr>
              <w:ind w:left="220" w:hanging="180"/>
            </w:pPr>
            <w:r>
              <w:t xml:space="preserve">Number of homes </w:t>
            </w:r>
            <w:r w:rsidR="00C64C40">
              <w:t xml:space="preserve">that </w:t>
            </w:r>
            <w:r>
              <w:t xml:space="preserve">measure </w:t>
            </w:r>
            <w:r w:rsidR="00C64C40">
              <w:t xml:space="preserve">is </w:t>
            </w:r>
            <w:r>
              <w:t>implemented</w:t>
            </w:r>
          </w:p>
          <w:p w14:paraId="24E3B2F7" w14:textId="77777777" w:rsidR="004F67CC" w:rsidRDefault="004F67CC" w:rsidP="00356418">
            <w:pPr>
              <w:pStyle w:val="ListParagraph"/>
              <w:numPr>
                <w:ilvl w:val="0"/>
                <w:numId w:val="2"/>
              </w:numPr>
              <w:ind w:left="220" w:hanging="180"/>
            </w:pPr>
            <w:r>
              <w:t xml:space="preserve">Megawatt-hours (MWh) electricity consumption reduced </w:t>
            </w:r>
          </w:p>
          <w:p w14:paraId="38783B0B" w14:textId="5C9C1FBF" w:rsidR="004F67CC" w:rsidRPr="00C04FE6" w:rsidRDefault="004F67CC" w:rsidP="00356418">
            <w:pPr>
              <w:pStyle w:val="ListParagraph"/>
              <w:numPr>
                <w:ilvl w:val="0"/>
                <w:numId w:val="1"/>
              </w:numPr>
              <w:ind w:left="220" w:hanging="180"/>
            </w:pPr>
            <w:r>
              <w:t>Grid emission factors</w:t>
            </w:r>
          </w:p>
        </w:tc>
        <w:tc>
          <w:tcPr>
            <w:tcW w:w="1980" w:type="dxa"/>
            <w:vMerge w:val="restart"/>
          </w:tcPr>
          <w:p w14:paraId="6280FAFB" w14:textId="163409E2" w:rsidR="004F67CC" w:rsidRDefault="00C7359C" w:rsidP="00356418">
            <w:pPr>
              <w:pStyle w:val="ListParagraph"/>
              <w:numPr>
                <w:ilvl w:val="0"/>
                <w:numId w:val="1"/>
              </w:numPr>
              <w:ind w:left="230" w:hanging="180"/>
            </w:pPr>
            <w:r>
              <w:t xml:space="preserve">GHG </w:t>
            </w:r>
            <w:r w:rsidR="004F67CC">
              <w:t>reduction</w:t>
            </w:r>
          </w:p>
          <w:p w14:paraId="5B5CF8F2" w14:textId="331C97BB" w:rsidR="004F67CC" w:rsidRDefault="004F67CC" w:rsidP="00356418">
            <w:pPr>
              <w:pStyle w:val="ListParagraph"/>
              <w:numPr>
                <w:ilvl w:val="0"/>
                <w:numId w:val="1"/>
              </w:numPr>
              <w:ind w:left="230" w:hanging="180"/>
            </w:pPr>
            <w:r>
              <w:t>Utility bill savings</w:t>
            </w:r>
            <w:r w:rsidR="007E186B">
              <w:t xml:space="preserve"> (</w:t>
            </w:r>
            <w:r w:rsidR="00754682">
              <w:t xml:space="preserve">costs </w:t>
            </w:r>
            <w:r w:rsidR="007E186B">
              <w:t xml:space="preserve">estimated from </w:t>
            </w:r>
            <w:r w:rsidR="00576CDE">
              <w:t>MWH</w:t>
            </w:r>
            <w:r w:rsidR="00754682">
              <w:t>s</w:t>
            </w:r>
            <w:r w:rsidR="00576CDE">
              <w:t xml:space="preserve"> saved)</w:t>
            </w:r>
          </w:p>
          <w:p w14:paraId="003B0018" w14:textId="7F2BB752" w:rsidR="004F67CC" w:rsidRDefault="008A1AA7" w:rsidP="00356418">
            <w:pPr>
              <w:pStyle w:val="ListParagraph"/>
              <w:numPr>
                <w:ilvl w:val="0"/>
                <w:numId w:val="1"/>
              </w:numPr>
              <w:ind w:left="230" w:hanging="180"/>
            </w:pPr>
            <w:r>
              <w:t>C</w:t>
            </w:r>
            <w:r w:rsidR="004F67CC" w:rsidRPr="006276D3">
              <w:t>limate gentrification</w:t>
            </w:r>
            <w:r>
              <w:t xml:space="preserve"> prevention</w:t>
            </w:r>
            <w:r w:rsidR="004F67CC" w:rsidRPr="006276D3">
              <w:t>, meaning less residents within climate justice communities will be forced from their homes due to climate related migration from wealthier communities. Reasons for being pushed out are various but can include the home’s habitability.</w:t>
            </w:r>
          </w:p>
          <w:p w14:paraId="1FAD8F2E" w14:textId="77777777" w:rsidR="00B860E2" w:rsidRDefault="0005778C" w:rsidP="00356418">
            <w:pPr>
              <w:pStyle w:val="ListParagraph"/>
              <w:numPr>
                <w:ilvl w:val="0"/>
                <w:numId w:val="1"/>
              </w:numPr>
              <w:ind w:left="230" w:hanging="180"/>
            </w:pPr>
            <w:r w:rsidRPr="0005778C">
              <w:t xml:space="preserve">Enhanced City understanding of climate justice neighborhood needs, challenges, and solutions for </w:t>
            </w:r>
            <w:r>
              <w:t xml:space="preserve">climate change </w:t>
            </w:r>
            <w:r w:rsidRPr="0005778C">
              <w:t>health and environmental effects.</w:t>
            </w:r>
          </w:p>
          <w:p w14:paraId="777DDA60" w14:textId="03946A6F" w:rsidR="00984A0B" w:rsidRPr="002D0431" w:rsidRDefault="00984A0B" w:rsidP="00356418">
            <w:pPr>
              <w:pStyle w:val="ListParagraph"/>
              <w:numPr>
                <w:ilvl w:val="0"/>
                <w:numId w:val="1"/>
              </w:numPr>
              <w:ind w:left="230" w:hanging="180"/>
            </w:pPr>
            <w:r w:rsidRPr="00984A0B">
              <w:t>Increased resident participation in City initiatives.</w:t>
            </w:r>
          </w:p>
        </w:tc>
      </w:tr>
      <w:tr w:rsidR="004F67CC" w14:paraId="0BDE0838" w14:textId="77777777" w:rsidTr="00B80A30">
        <w:tc>
          <w:tcPr>
            <w:tcW w:w="1435" w:type="dxa"/>
            <w:vMerge/>
          </w:tcPr>
          <w:p w14:paraId="679C24D2" w14:textId="77777777" w:rsidR="004F67CC" w:rsidRDefault="004F67CC" w:rsidP="006360ED">
            <w:pPr>
              <w:pStyle w:val="BodyText"/>
              <w:ind w:right="607"/>
              <w:rPr>
                <w:sz w:val="22"/>
                <w:szCs w:val="22"/>
              </w:rPr>
            </w:pPr>
          </w:p>
        </w:tc>
        <w:tc>
          <w:tcPr>
            <w:tcW w:w="2970" w:type="dxa"/>
          </w:tcPr>
          <w:p w14:paraId="6C3D6E4B" w14:textId="4DF32753" w:rsidR="004F67CC" w:rsidRDefault="004F67CC" w:rsidP="006360ED">
            <w:pPr>
              <w:pStyle w:val="BodyText"/>
              <w:rPr>
                <w:sz w:val="22"/>
                <w:szCs w:val="22"/>
              </w:rPr>
            </w:pPr>
            <w:r w:rsidRPr="00181245">
              <w:rPr>
                <w:sz w:val="22"/>
                <w:szCs w:val="22"/>
              </w:rPr>
              <w:t>R-03. Residential LED Lighting.</w:t>
            </w:r>
          </w:p>
        </w:tc>
        <w:tc>
          <w:tcPr>
            <w:tcW w:w="3780" w:type="dxa"/>
          </w:tcPr>
          <w:p w14:paraId="398272C1" w14:textId="62755033" w:rsidR="004F67CC" w:rsidRDefault="004F67CC" w:rsidP="00356418">
            <w:pPr>
              <w:pStyle w:val="ListParagraph"/>
              <w:numPr>
                <w:ilvl w:val="0"/>
                <w:numId w:val="2"/>
              </w:numPr>
              <w:ind w:left="220" w:hanging="180"/>
            </w:pPr>
            <w:r>
              <w:t xml:space="preserve">Number of LED lighting upgrades </w:t>
            </w:r>
          </w:p>
          <w:p w14:paraId="5B67AAE1" w14:textId="77777777" w:rsidR="00C64C40" w:rsidRDefault="00C64C40" w:rsidP="00356418">
            <w:pPr>
              <w:pStyle w:val="ListParagraph"/>
              <w:numPr>
                <w:ilvl w:val="0"/>
                <w:numId w:val="2"/>
              </w:numPr>
              <w:ind w:left="220" w:hanging="180"/>
            </w:pPr>
            <w:r>
              <w:t>Number of homes that measure is implemented</w:t>
            </w:r>
          </w:p>
          <w:p w14:paraId="5C7919C6" w14:textId="77777777" w:rsidR="004F67CC" w:rsidRDefault="004F67CC" w:rsidP="00356418">
            <w:pPr>
              <w:pStyle w:val="ListParagraph"/>
              <w:numPr>
                <w:ilvl w:val="0"/>
                <w:numId w:val="2"/>
              </w:numPr>
              <w:ind w:left="220" w:hanging="180"/>
            </w:pPr>
            <w:r>
              <w:t xml:space="preserve">Megawatt-hours (MWh) electricity consumption reduced </w:t>
            </w:r>
          </w:p>
          <w:p w14:paraId="0BBD2391" w14:textId="73EB61DB" w:rsidR="004F67CC" w:rsidRPr="00C04FE6" w:rsidRDefault="004F67CC" w:rsidP="00356418">
            <w:pPr>
              <w:pStyle w:val="ListParagraph"/>
              <w:numPr>
                <w:ilvl w:val="0"/>
                <w:numId w:val="1"/>
              </w:numPr>
              <w:ind w:left="220" w:hanging="180"/>
            </w:pPr>
            <w:r>
              <w:t>Grid emission factors</w:t>
            </w:r>
          </w:p>
        </w:tc>
        <w:tc>
          <w:tcPr>
            <w:tcW w:w="1980" w:type="dxa"/>
            <w:vMerge/>
          </w:tcPr>
          <w:p w14:paraId="720A2FF0" w14:textId="0984D6FE" w:rsidR="004F67CC" w:rsidRPr="002D0431" w:rsidRDefault="004F67CC" w:rsidP="00356418">
            <w:pPr>
              <w:pStyle w:val="ListParagraph"/>
              <w:numPr>
                <w:ilvl w:val="0"/>
                <w:numId w:val="1"/>
              </w:numPr>
              <w:ind w:left="230" w:hanging="180"/>
            </w:pPr>
          </w:p>
        </w:tc>
      </w:tr>
      <w:tr w:rsidR="004F67CC" w14:paraId="37311E09" w14:textId="77777777" w:rsidTr="00B80A30">
        <w:tc>
          <w:tcPr>
            <w:tcW w:w="1435" w:type="dxa"/>
            <w:vMerge/>
          </w:tcPr>
          <w:p w14:paraId="5FEE13E6" w14:textId="77777777" w:rsidR="004F67CC" w:rsidRDefault="004F67CC" w:rsidP="006360ED">
            <w:pPr>
              <w:pStyle w:val="BodyText"/>
              <w:ind w:right="607"/>
              <w:rPr>
                <w:sz w:val="22"/>
                <w:szCs w:val="22"/>
              </w:rPr>
            </w:pPr>
          </w:p>
        </w:tc>
        <w:tc>
          <w:tcPr>
            <w:tcW w:w="2970" w:type="dxa"/>
          </w:tcPr>
          <w:p w14:paraId="4B7E4A4D" w14:textId="5C8D1109" w:rsidR="004F67CC" w:rsidRDefault="004F67CC" w:rsidP="006360ED">
            <w:pPr>
              <w:pStyle w:val="BodyText"/>
              <w:rPr>
                <w:sz w:val="22"/>
                <w:szCs w:val="22"/>
              </w:rPr>
            </w:pPr>
            <w:r w:rsidRPr="00181245">
              <w:rPr>
                <w:sz w:val="22"/>
                <w:szCs w:val="22"/>
              </w:rPr>
              <w:t>R-04. Residential Enclosure Upgrades (with roof assessment).</w:t>
            </w:r>
          </w:p>
        </w:tc>
        <w:tc>
          <w:tcPr>
            <w:tcW w:w="3780" w:type="dxa"/>
          </w:tcPr>
          <w:p w14:paraId="1C2D4375" w14:textId="77777777" w:rsidR="004F67CC" w:rsidRDefault="004F67CC" w:rsidP="00356418">
            <w:pPr>
              <w:pStyle w:val="ListParagraph"/>
              <w:numPr>
                <w:ilvl w:val="0"/>
                <w:numId w:val="2"/>
              </w:numPr>
              <w:ind w:left="220" w:hanging="180"/>
            </w:pPr>
            <w:r>
              <w:t>Number of air sealing upgrades</w:t>
            </w:r>
          </w:p>
          <w:p w14:paraId="62788FE6" w14:textId="692245FD" w:rsidR="004F67CC" w:rsidRDefault="004F67CC" w:rsidP="00356418">
            <w:pPr>
              <w:pStyle w:val="ListParagraph"/>
              <w:numPr>
                <w:ilvl w:val="0"/>
                <w:numId w:val="2"/>
              </w:numPr>
              <w:ind w:left="220" w:hanging="180"/>
            </w:pPr>
            <w:r>
              <w:t xml:space="preserve">Number of windows </w:t>
            </w:r>
            <w:r w:rsidR="00140C00">
              <w:t>weather-stripped</w:t>
            </w:r>
          </w:p>
          <w:p w14:paraId="41FE8A16" w14:textId="62E3EB87" w:rsidR="004F67CC" w:rsidRDefault="004F67CC" w:rsidP="00356418">
            <w:pPr>
              <w:pStyle w:val="ListParagraph"/>
              <w:numPr>
                <w:ilvl w:val="0"/>
                <w:numId w:val="2"/>
              </w:numPr>
              <w:ind w:left="220" w:hanging="180"/>
            </w:pPr>
            <w:r>
              <w:t>Number of door weat</w:t>
            </w:r>
            <w:r w:rsidR="00140C00">
              <w:t>h</w:t>
            </w:r>
            <w:r>
              <w:t>er</w:t>
            </w:r>
            <w:r w:rsidR="00140C00">
              <w:t>-</w:t>
            </w:r>
            <w:r>
              <w:t>striped</w:t>
            </w:r>
          </w:p>
          <w:p w14:paraId="14EDFBC2" w14:textId="2F5A46AF" w:rsidR="004976F8" w:rsidRDefault="004976F8" w:rsidP="00356418">
            <w:pPr>
              <w:pStyle w:val="ListParagraph"/>
              <w:numPr>
                <w:ilvl w:val="0"/>
                <w:numId w:val="2"/>
              </w:numPr>
              <w:ind w:left="220" w:hanging="180"/>
            </w:pPr>
            <w:r>
              <w:t xml:space="preserve">Number of </w:t>
            </w:r>
            <w:r w:rsidR="00B77784">
              <w:t>insulation installations</w:t>
            </w:r>
          </w:p>
          <w:p w14:paraId="68EFD592" w14:textId="71AD3092" w:rsidR="004F67CC" w:rsidRDefault="004F67CC" w:rsidP="00356418">
            <w:pPr>
              <w:pStyle w:val="ListParagraph"/>
              <w:numPr>
                <w:ilvl w:val="0"/>
                <w:numId w:val="2"/>
              </w:numPr>
              <w:ind w:left="220" w:hanging="180"/>
            </w:pPr>
            <w:r>
              <w:t>Number of roofs assessed</w:t>
            </w:r>
          </w:p>
          <w:p w14:paraId="64BE92FB" w14:textId="3084925D" w:rsidR="004F67CC" w:rsidRDefault="004F67CC" w:rsidP="00356418">
            <w:pPr>
              <w:pStyle w:val="ListParagraph"/>
              <w:numPr>
                <w:ilvl w:val="0"/>
                <w:numId w:val="2"/>
              </w:numPr>
              <w:ind w:left="220" w:hanging="180"/>
            </w:pPr>
            <w:r>
              <w:t xml:space="preserve">Number of roofs replaced </w:t>
            </w:r>
          </w:p>
          <w:p w14:paraId="00E596A9" w14:textId="31BDA2A0" w:rsidR="004F67CC" w:rsidRDefault="004F67CC" w:rsidP="00356418">
            <w:pPr>
              <w:pStyle w:val="ListParagraph"/>
              <w:numPr>
                <w:ilvl w:val="0"/>
                <w:numId w:val="2"/>
              </w:numPr>
              <w:ind w:left="220" w:hanging="180"/>
            </w:pPr>
            <w:r>
              <w:t>Number of trusses replaced</w:t>
            </w:r>
          </w:p>
          <w:p w14:paraId="3B11A46C" w14:textId="77777777" w:rsidR="00C64C40" w:rsidRDefault="00C64C40" w:rsidP="00356418">
            <w:pPr>
              <w:pStyle w:val="ListParagraph"/>
              <w:numPr>
                <w:ilvl w:val="0"/>
                <w:numId w:val="2"/>
              </w:numPr>
              <w:ind w:left="220" w:hanging="180"/>
            </w:pPr>
            <w:r>
              <w:t>Number of homes that measure is implemented</w:t>
            </w:r>
          </w:p>
          <w:p w14:paraId="1308DEB5" w14:textId="77777777" w:rsidR="004F67CC" w:rsidRDefault="004F67CC" w:rsidP="00356418">
            <w:pPr>
              <w:pStyle w:val="ListParagraph"/>
              <w:numPr>
                <w:ilvl w:val="0"/>
                <w:numId w:val="2"/>
              </w:numPr>
              <w:ind w:left="220" w:hanging="180"/>
            </w:pPr>
            <w:r>
              <w:t>Megawatt-hours (MWh) electricity consumption reduced</w:t>
            </w:r>
          </w:p>
          <w:p w14:paraId="46F54D74" w14:textId="1D77ABDC" w:rsidR="004F67CC" w:rsidRPr="00C04FE6" w:rsidRDefault="004F67CC" w:rsidP="00356418">
            <w:pPr>
              <w:pStyle w:val="ListParagraph"/>
              <w:numPr>
                <w:ilvl w:val="0"/>
                <w:numId w:val="2"/>
              </w:numPr>
              <w:ind w:left="220" w:hanging="180"/>
            </w:pPr>
            <w:r>
              <w:t>Grid emission factors</w:t>
            </w:r>
          </w:p>
        </w:tc>
        <w:tc>
          <w:tcPr>
            <w:tcW w:w="1980" w:type="dxa"/>
            <w:vMerge/>
          </w:tcPr>
          <w:p w14:paraId="4BA9410B" w14:textId="27A470FA" w:rsidR="004F67CC" w:rsidRPr="002D0431" w:rsidRDefault="004F67CC" w:rsidP="00356418">
            <w:pPr>
              <w:pStyle w:val="ListParagraph"/>
              <w:numPr>
                <w:ilvl w:val="0"/>
                <w:numId w:val="1"/>
              </w:numPr>
              <w:ind w:left="230" w:hanging="180"/>
            </w:pPr>
          </w:p>
        </w:tc>
      </w:tr>
      <w:tr w:rsidR="004F67CC" w14:paraId="6B1F6783" w14:textId="77777777" w:rsidTr="00B80A30">
        <w:tc>
          <w:tcPr>
            <w:tcW w:w="1435" w:type="dxa"/>
            <w:vMerge/>
          </w:tcPr>
          <w:p w14:paraId="725A0D58" w14:textId="77777777" w:rsidR="004F67CC" w:rsidRDefault="004F67CC" w:rsidP="006360ED">
            <w:pPr>
              <w:pStyle w:val="BodyText"/>
              <w:ind w:right="607"/>
              <w:rPr>
                <w:sz w:val="22"/>
                <w:szCs w:val="22"/>
              </w:rPr>
            </w:pPr>
          </w:p>
        </w:tc>
        <w:tc>
          <w:tcPr>
            <w:tcW w:w="2970" w:type="dxa"/>
          </w:tcPr>
          <w:p w14:paraId="03BECD27" w14:textId="18E0BA03" w:rsidR="004F67CC" w:rsidRDefault="004F67CC" w:rsidP="006360ED">
            <w:pPr>
              <w:pStyle w:val="BodyText"/>
              <w:rPr>
                <w:sz w:val="22"/>
                <w:szCs w:val="22"/>
              </w:rPr>
            </w:pPr>
            <w:r w:rsidRPr="00181245">
              <w:rPr>
                <w:sz w:val="22"/>
                <w:szCs w:val="22"/>
              </w:rPr>
              <w:t>R-05. Residential Window, Door, and Skylight Replacement with Assessment.</w:t>
            </w:r>
          </w:p>
        </w:tc>
        <w:tc>
          <w:tcPr>
            <w:tcW w:w="3780" w:type="dxa"/>
          </w:tcPr>
          <w:p w14:paraId="6D3953B6" w14:textId="21751E78" w:rsidR="004F67CC" w:rsidRDefault="004F67CC" w:rsidP="00356418">
            <w:pPr>
              <w:pStyle w:val="ListParagraph"/>
              <w:numPr>
                <w:ilvl w:val="0"/>
                <w:numId w:val="2"/>
              </w:numPr>
              <w:ind w:left="220" w:hanging="180"/>
            </w:pPr>
            <w:r>
              <w:t>Number of doors replaced</w:t>
            </w:r>
          </w:p>
          <w:p w14:paraId="565479AE" w14:textId="2F3BBAAC" w:rsidR="004F67CC" w:rsidRDefault="004F67CC" w:rsidP="00356418">
            <w:pPr>
              <w:pStyle w:val="ListParagraph"/>
              <w:numPr>
                <w:ilvl w:val="0"/>
                <w:numId w:val="2"/>
              </w:numPr>
              <w:ind w:left="220" w:hanging="180"/>
            </w:pPr>
            <w:r>
              <w:t xml:space="preserve">Number of windows replaced </w:t>
            </w:r>
          </w:p>
          <w:p w14:paraId="4B1265C8" w14:textId="77777777" w:rsidR="00C64C40" w:rsidRDefault="00C64C40" w:rsidP="00356418">
            <w:pPr>
              <w:pStyle w:val="ListParagraph"/>
              <w:numPr>
                <w:ilvl w:val="0"/>
                <w:numId w:val="2"/>
              </w:numPr>
              <w:ind w:left="220" w:hanging="180"/>
            </w:pPr>
            <w:r>
              <w:t>Number of homes that measure is implemented</w:t>
            </w:r>
          </w:p>
          <w:p w14:paraId="2778F69A" w14:textId="77777777" w:rsidR="004F67CC" w:rsidRDefault="004F67CC" w:rsidP="00356418">
            <w:pPr>
              <w:pStyle w:val="ListParagraph"/>
              <w:numPr>
                <w:ilvl w:val="0"/>
                <w:numId w:val="2"/>
              </w:numPr>
              <w:ind w:left="220" w:hanging="180"/>
            </w:pPr>
            <w:r>
              <w:t>Megawatt-hours (MWh) electricity consumption reduced</w:t>
            </w:r>
          </w:p>
          <w:p w14:paraId="49D0FF19" w14:textId="7289B1DA" w:rsidR="004F67CC" w:rsidRPr="00C04FE6" w:rsidRDefault="004F67CC" w:rsidP="00356418">
            <w:pPr>
              <w:pStyle w:val="ListParagraph"/>
              <w:numPr>
                <w:ilvl w:val="0"/>
                <w:numId w:val="2"/>
              </w:numPr>
              <w:ind w:left="220" w:hanging="180"/>
            </w:pPr>
            <w:r>
              <w:t>Grid emission factors</w:t>
            </w:r>
          </w:p>
        </w:tc>
        <w:tc>
          <w:tcPr>
            <w:tcW w:w="1980" w:type="dxa"/>
            <w:vMerge/>
          </w:tcPr>
          <w:p w14:paraId="71D7492E" w14:textId="441EDA93" w:rsidR="004F67CC" w:rsidRPr="002D0431" w:rsidRDefault="004F67CC" w:rsidP="00356418">
            <w:pPr>
              <w:pStyle w:val="ListParagraph"/>
              <w:numPr>
                <w:ilvl w:val="0"/>
                <w:numId w:val="1"/>
              </w:numPr>
              <w:ind w:left="230" w:hanging="180"/>
            </w:pPr>
          </w:p>
        </w:tc>
      </w:tr>
      <w:tr w:rsidR="004F67CC" w14:paraId="7F6F64F1" w14:textId="77777777" w:rsidTr="00B80A30">
        <w:tc>
          <w:tcPr>
            <w:tcW w:w="1435" w:type="dxa"/>
            <w:vMerge/>
          </w:tcPr>
          <w:p w14:paraId="2ED30BE5" w14:textId="77777777" w:rsidR="004F67CC" w:rsidRDefault="004F67CC" w:rsidP="006360ED">
            <w:pPr>
              <w:pStyle w:val="BodyText"/>
              <w:ind w:right="607"/>
              <w:rPr>
                <w:sz w:val="22"/>
                <w:szCs w:val="22"/>
              </w:rPr>
            </w:pPr>
          </w:p>
        </w:tc>
        <w:tc>
          <w:tcPr>
            <w:tcW w:w="2970" w:type="dxa"/>
          </w:tcPr>
          <w:p w14:paraId="717C1B0B" w14:textId="65998339" w:rsidR="004F67CC" w:rsidRDefault="004F67CC" w:rsidP="006360ED">
            <w:pPr>
              <w:pStyle w:val="BodyText"/>
              <w:rPr>
                <w:sz w:val="22"/>
                <w:szCs w:val="22"/>
              </w:rPr>
            </w:pPr>
            <w:r w:rsidRPr="00181245">
              <w:rPr>
                <w:sz w:val="22"/>
                <w:szCs w:val="22"/>
              </w:rPr>
              <w:t>R-06. Residential Efficient Appliances and Plug Load Management.</w:t>
            </w:r>
          </w:p>
        </w:tc>
        <w:tc>
          <w:tcPr>
            <w:tcW w:w="3780" w:type="dxa"/>
          </w:tcPr>
          <w:p w14:paraId="669935E7" w14:textId="77777777" w:rsidR="004F67CC" w:rsidRDefault="004F67CC" w:rsidP="00356418">
            <w:pPr>
              <w:pStyle w:val="ListParagraph"/>
              <w:numPr>
                <w:ilvl w:val="0"/>
                <w:numId w:val="2"/>
              </w:numPr>
              <w:ind w:left="220" w:hanging="180"/>
            </w:pPr>
            <w:r>
              <w:t xml:space="preserve">Number and efficiency of residential energy efficiency upgrades </w:t>
            </w:r>
          </w:p>
          <w:p w14:paraId="6B3C5DB8" w14:textId="77777777" w:rsidR="004F67CC" w:rsidRDefault="004F67CC" w:rsidP="00356418">
            <w:pPr>
              <w:pStyle w:val="ListParagraph"/>
              <w:numPr>
                <w:ilvl w:val="0"/>
                <w:numId w:val="2"/>
              </w:numPr>
              <w:ind w:left="220" w:hanging="180"/>
            </w:pPr>
            <w:r>
              <w:t>Number of windows tinted</w:t>
            </w:r>
          </w:p>
          <w:p w14:paraId="05E45349" w14:textId="2B2E6AC2" w:rsidR="004F67CC" w:rsidRDefault="004F67CC" w:rsidP="00356418">
            <w:pPr>
              <w:pStyle w:val="ListParagraph"/>
              <w:numPr>
                <w:ilvl w:val="0"/>
                <w:numId w:val="2"/>
              </w:numPr>
              <w:ind w:left="220" w:hanging="180"/>
            </w:pPr>
            <w:r>
              <w:t>Number of window coverings installed (blackout curtains, blinds)</w:t>
            </w:r>
          </w:p>
          <w:p w14:paraId="5655A0A8" w14:textId="77777777" w:rsidR="00C64C40" w:rsidRDefault="00C64C40" w:rsidP="00356418">
            <w:pPr>
              <w:pStyle w:val="ListParagraph"/>
              <w:numPr>
                <w:ilvl w:val="0"/>
                <w:numId w:val="2"/>
              </w:numPr>
              <w:ind w:left="220" w:hanging="180"/>
            </w:pPr>
            <w:r>
              <w:t>Number of homes that measure is implemented</w:t>
            </w:r>
          </w:p>
          <w:p w14:paraId="2EE9A7E7" w14:textId="77777777" w:rsidR="004F67CC" w:rsidRDefault="004F67CC" w:rsidP="00356418">
            <w:pPr>
              <w:pStyle w:val="ListParagraph"/>
              <w:numPr>
                <w:ilvl w:val="0"/>
                <w:numId w:val="2"/>
              </w:numPr>
              <w:ind w:left="220" w:hanging="180"/>
            </w:pPr>
            <w:r>
              <w:t>Megawatt-hours (MWh) electricity consumption reduced</w:t>
            </w:r>
          </w:p>
          <w:p w14:paraId="41266072" w14:textId="123C5085" w:rsidR="004F67CC" w:rsidRPr="00C04FE6" w:rsidRDefault="004F67CC" w:rsidP="00356418">
            <w:pPr>
              <w:pStyle w:val="ListParagraph"/>
              <w:numPr>
                <w:ilvl w:val="0"/>
                <w:numId w:val="2"/>
              </w:numPr>
              <w:ind w:left="220" w:hanging="180"/>
            </w:pPr>
            <w:r>
              <w:t>Grid emission factors</w:t>
            </w:r>
          </w:p>
        </w:tc>
        <w:tc>
          <w:tcPr>
            <w:tcW w:w="1980" w:type="dxa"/>
            <w:vMerge/>
          </w:tcPr>
          <w:p w14:paraId="784EBB2B" w14:textId="7BA7281C" w:rsidR="004F67CC" w:rsidRPr="002D0431" w:rsidRDefault="004F67CC" w:rsidP="00356418">
            <w:pPr>
              <w:pStyle w:val="ListParagraph"/>
              <w:numPr>
                <w:ilvl w:val="0"/>
                <w:numId w:val="1"/>
              </w:numPr>
              <w:ind w:left="230" w:hanging="180"/>
            </w:pPr>
          </w:p>
        </w:tc>
      </w:tr>
      <w:tr w:rsidR="004F67CC" w14:paraId="11CA5509" w14:textId="77777777" w:rsidTr="00B80A30">
        <w:tc>
          <w:tcPr>
            <w:tcW w:w="1435" w:type="dxa"/>
            <w:vMerge/>
          </w:tcPr>
          <w:p w14:paraId="6F80695C" w14:textId="77777777" w:rsidR="004F67CC" w:rsidRDefault="004F67CC" w:rsidP="006360ED">
            <w:pPr>
              <w:pStyle w:val="BodyText"/>
              <w:ind w:right="607"/>
              <w:rPr>
                <w:sz w:val="22"/>
                <w:szCs w:val="22"/>
              </w:rPr>
            </w:pPr>
          </w:p>
        </w:tc>
        <w:tc>
          <w:tcPr>
            <w:tcW w:w="2970" w:type="dxa"/>
          </w:tcPr>
          <w:p w14:paraId="2C56D959" w14:textId="4D081E3A" w:rsidR="004F67CC" w:rsidRDefault="004F67CC" w:rsidP="006360ED">
            <w:pPr>
              <w:pStyle w:val="BodyText"/>
              <w:rPr>
                <w:sz w:val="22"/>
                <w:szCs w:val="22"/>
              </w:rPr>
            </w:pPr>
            <w:r w:rsidRPr="00181245">
              <w:rPr>
                <w:sz w:val="22"/>
                <w:szCs w:val="22"/>
              </w:rPr>
              <w:t>R-07. Domestic Heat Pump for Hot Water.</w:t>
            </w:r>
          </w:p>
        </w:tc>
        <w:tc>
          <w:tcPr>
            <w:tcW w:w="3780" w:type="dxa"/>
          </w:tcPr>
          <w:p w14:paraId="54DB1B7D" w14:textId="0C0484AF" w:rsidR="004F67CC" w:rsidRDefault="004F67CC" w:rsidP="00356418">
            <w:pPr>
              <w:pStyle w:val="ListParagraph"/>
              <w:numPr>
                <w:ilvl w:val="0"/>
                <w:numId w:val="2"/>
              </w:numPr>
              <w:ind w:left="220" w:hanging="180"/>
            </w:pPr>
            <w:r>
              <w:t xml:space="preserve">Number of heat pumps for hot water upgrades </w:t>
            </w:r>
          </w:p>
          <w:p w14:paraId="1B060572" w14:textId="77777777" w:rsidR="00C64C40" w:rsidRDefault="00C64C40" w:rsidP="00356418">
            <w:pPr>
              <w:pStyle w:val="ListParagraph"/>
              <w:numPr>
                <w:ilvl w:val="0"/>
                <w:numId w:val="2"/>
              </w:numPr>
              <w:ind w:left="220" w:hanging="180"/>
            </w:pPr>
            <w:r>
              <w:t>Number of homes that measure is implemented</w:t>
            </w:r>
          </w:p>
          <w:p w14:paraId="70F4A12B" w14:textId="77777777" w:rsidR="004F67CC" w:rsidRDefault="004F67CC" w:rsidP="00356418">
            <w:pPr>
              <w:pStyle w:val="ListParagraph"/>
              <w:numPr>
                <w:ilvl w:val="0"/>
                <w:numId w:val="2"/>
              </w:numPr>
              <w:ind w:left="220" w:hanging="180"/>
            </w:pPr>
            <w:r>
              <w:t>Megawatt-hours (MWh) electricity consumption reduced</w:t>
            </w:r>
          </w:p>
          <w:p w14:paraId="1ADCE69A" w14:textId="47039EEC" w:rsidR="004F67CC" w:rsidRPr="00C04FE6" w:rsidRDefault="004F67CC" w:rsidP="00356418">
            <w:pPr>
              <w:pStyle w:val="ListParagraph"/>
              <w:numPr>
                <w:ilvl w:val="0"/>
                <w:numId w:val="2"/>
              </w:numPr>
              <w:ind w:left="220" w:hanging="180"/>
            </w:pPr>
            <w:r>
              <w:t>Grid emission factors</w:t>
            </w:r>
          </w:p>
        </w:tc>
        <w:tc>
          <w:tcPr>
            <w:tcW w:w="1980" w:type="dxa"/>
            <w:vMerge/>
          </w:tcPr>
          <w:p w14:paraId="27876F6C" w14:textId="7895FBC8" w:rsidR="004F67CC" w:rsidRPr="002D0431" w:rsidRDefault="004F67CC" w:rsidP="00356418">
            <w:pPr>
              <w:pStyle w:val="ListParagraph"/>
              <w:numPr>
                <w:ilvl w:val="0"/>
                <w:numId w:val="1"/>
              </w:numPr>
              <w:ind w:left="230" w:hanging="180"/>
            </w:pPr>
          </w:p>
        </w:tc>
      </w:tr>
      <w:tr w:rsidR="004F67CC" w14:paraId="43AE9564" w14:textId="77777777" w:rsidTr="00B80A30">
        <w:tc>
          <w:tcPr>
            <w:tcW w:w="1435" w:type="dxa"/>
            <w:vMerge/>
          </w:tcPr>
          <w:p w14:paraId="1A2CE2BC" w14:textId="77777777" w:rsidR="004F67CC" w:rsidRDefault="004F67CC" w:rsidP="006360ED">
            <w:pPr>
              <w:pStyle w:val="BodyText"/>
              <w:ind w:right="607"/>
              <w:rPr>
                <w:sz w:val="22"/>
                <w:szCs w:val="22"/>
              </w:rPr>
            </w:pPr>
          </w:p>
        </w:tc>
        <w:tc>
          <w:tcPr>
            <w:tcW w:w="2970" w:type="dxa"/>
          </w:tcPr>
          <w:p w14:paraId="4702FD12" w14:textId="39FDE848" w:rsidR="004F67CC" w:rsidRDefault="004F67CC" w:rsidP="006360ED">
            <w:pPr>
              <w:pStyle w:val="BodyText"/>
              <w:rPr>
                <w:sz w:val="22"/>
                <w:szCs w:val="22"/>
              </w:rPr>
            </w:pPr>
            <w:r w:rsidRPr="00181245">
              <w:rPr>
                <w:sz w:val="22"/>
                <w:szCs w:val="22"/>
              </w:rPr>
              <w:t>R-09. Residential Smart Thermostats.</w:t>
            </w:r>
          </w:p>
        </w:tc>
        <w:tc>
          <w:tcPr>
            <w:tcW w:w="3780" w:type="dxa"/>
          </w:tcPr>
          <w:p w14:paraId="73D7DBDD" w14:textId="670D0A9C" w:rsidR="004F67CC" w:rsidRDefault="004F67CC" w:rsidP="00356418">
            <w:pPr>
              <w:pStyle w:val="ListParagraph"/>
              <w:numPr>
                <w:ilvl w:val="0"/>
                <w:numId w:val="2"/>
              </w:numPr>
              <w:ind w:left="220" w:hanging="180"/>
            </w:pPr>
            <w:r>
              <w:t xml:space="preserve">Number of smart thermostats upgrades </w:t>
            </w:r>
          </w:p>
          <w:p w14:paraId="70CF5C39" w14:textId="77777777" w:rsidR="00C64C40" w:rsidRDefault="00C64C40" w:rsidP="00356418">
            <w:pPr>
              <w:pStyle w:val="ListParagraph"/>
              <w:numPr>
                <w:ilvl w:val="0"/>
                <w:numId w:val="2"/>
              </w:numPr>
              <w:ind w:left="220" w:hanging="180"/>
            </w:pPr>
            <w:r>
              <w:t>Number of homes that measure is implemented</w:t>
            </w:r>
          </w:p>
          <w:p w14:paraId="0A8C2798" w14:textId="77777777" w:rsidR="004F67CC" w:rsidRDefault="004F67CC" w:rsidP="00356418">
            <w:pPr>
              <w:pStyle w:val="ListParagraph"/>
              <w:numPr>
                <w:ilvl w:val="0"/>
                <w:numId w:val="2"/>
              </w:numPr>
              <w:ind w:left="220" w:hanging="180"/>
            </w:pPr>
            <w:r>
              <w:t>Megawatt-hours (MWh) electricity consumption reduced</w:t>
            </w:r>
          </w:p>
          <w:p w14:paraId="58B36CE9" w14:textId="781CF912" w:rsidR="004F67CC" w:rsidRPr="00C04FE6" w:rsidRDefault="004F67CC" w:rsidP="00356418">
            <w:pPr>
              <w:pStyle w:val="ListParagraph"/>
              <w:numPr>
                <w:ilvl w:val="0"/>
                <w:numId w:val="2"/>
              </w:numPr>
              <w:ind w:left="220" w:hanging="180"/>
            </w:pPr>
            <w:r>
              <w:t>Grid emission factors</w:t>
            </w:r>
          </w:p>
        </w:tc>
        <w:tc>
          <w:tcPr>
            <w:tcW w:w="1980" w:type="dxa"/>
            <w:vMerge/>
          </w:tcPr>
          <w:p w14:paraId="76660A85" w14:textId="2BF617B2" w:rsidR="004F67CC" w:rsidRPr="00C04FE6" w:rsidRDefault="004F67CC" w:rsidP="00356418">
            <w:pPr>
              <w:pStyle w:val="ListParagraph"/>
              <w:numPr>
                <w:ilvl w:val="0"/>
                <w:numId w:val="1"/>
              </w:numPr>
              <w:ind w:left="230" w:hanging="180"/>
            </w:pPr>
          </w:p>
        </w:tc>
      </w:tr>
      <w:tr w:rsidR="004F67CC" w14:paraId="4E18A499" w14:textId="77777777" w:rsidTr="00B80A30">
        <w:tc>
          <w:tcPr>
            <w:tcW w:w="1435" w:type="dxa"/>
            <w:vMerge w:val="restart"/>
          </w:tcPr>
          <w:p w14:paraId="2B68EDC6" w14:textId="3283F93B" w:rsidR="004F67CC" w:rsidRDefault="004F67CC" w:rsidP="006360ED">
            <w:pPr>
              <w:pStyle w:val="BodyText"/>
              <w:ind w:right="70"/>
              <w:rPr>
                <w:sz w:val="22"/>
                <w:szCs w:val="22"/>
              </w:rPr>
            </w:pPr>
            <w:r>
              <w:rPr>
                <w:sz w:val="22"/>
                <w:szCs w:val="22"/>
              </w:rPr>
              <w:t>Measure #7</w:t>
            </w:r>
          </w:p>
        </w:tc>
        <w:tc>
          <w:tcPr>
            <w:tcW w:w="2970" w:type="dxa"/>
          </w:tcPr>
          <w:p w14:paraId="73769B8B" w14:textId="0B38687B" w:rsidR="004F67CC" w:rsidRDefault="004F67CC" w:rsidP="006360ED">
            <w:pPr>
              <w:pStyle w:val="BodyText"/>
              <w:rPr>
                <w:sz w:val="22"/>
                <w:szCs w:val="22"/>
              </w:rPr>
            </w:pPr>
            <w:r w:rsidRPr="005139EF">
              <w:rPr>
                <w:sz w:val="22"/>
                <w:szCs w:val="22"/>
              </w:rPr>
              <w:t>R-02. Solar Photovoltaics (PV).</w:t>
            </w:r>
          </w:p>
        </w:tc>
        <w:tc>
          <w:tcPr>
            <w:tcW w:w="3780" w:type="dxa"/>
          </w:tcPr>
          <w:p w14:paraId="2A8781B2" w14:textId="77777777" w:rsidR="004F67CC" w:rsidRDefault="004F67CC" w:rsidP="00356418">
            <w:pPr>
              <w:pStyle w:val="ListParagraph"/>
              <w:widowControl/>
              <w:numPr>
                <w:ilvl w:val="0"/>
                <w:numId w:val="1"/>
              </w:numPr>
              <w:adjustRightInd w:val="0"/>
              <w:ind w:left="220" w:hanging="180"/>
            </w:pPr>
            <w:r>
              <w:t>Number of solar panels installed</w:t>
            </w:r>
          </w:p>
          <w:p w14:paraId="6550FCA7" w14:textId="77777777" w:rsidR="00C64C40" w:rsidRDefault="00C64C40" w:rsidP="00356418">
            <w:pPr>
              <w:pStyle w:val="ListParagraph"/>
              <w:numPr>
                <w:ilvl w:val="0"/>
                <w:numId w:val="2"/>
              </w:numPr>
              <w:ind w:left="220" w:hanging="180"/>
            </w:pPr>
            <w:r>
              <w:t>Number of homes that measure is implemented</w:t>
            </w:r>
          </w:p>
          <w:p w14:paraId="283A22CD" w14:textId="4E659810" w:rsidR="004F67CC" w:rsidRDefault="004F67CC" w:rsidP="00356418">
            <w:pPr>
              <w:pStyle w:val="ListParagraph"/>
              <w:widowControl/>
              <w:numPr>
                <w:ilvl w:val="0"/>
                <w:numId w:val="1"/>
              </w:numPr>
              <w:adjustRightInd w:val="0"/>
              <w:ind w:left="220" w:hanging="180"/>
            </w:pPr>
            <w:r>
              <w:t>Megawatts (MW) of Solar Photovoltaics Installed</w:t>
            </w:r>
          </w:p>
        </w:tc>
        <w:tc>
          <w:tcPr>
            <w:tcW w:w="1980" w:type="dxa"/>
            <w:vMerge/>
          </w:tcPr>
          <w:p w14:paraId="5955DD53" w14:textId="4836F18E" w:rsidR="004F67CC" w:rsidRPr="00C04FE6" w:rsidRDefault="004F67CC" w:rsidP="00356418">
            <w:pPr>
              <w:pStyle w:val="ListParagraph"/>
              <w:numPr>
                <w:ilvl w:val="0"/>
                <w:numId w:val="1"/>
              </w:numPr>
              <w:ind w:left="230" w:hanging="180"/>
            </w:pPr>
          </w:p>
        </w:tc>
      </w:tr>
      <w:tr w:rsidR="004F67CC" w14:paraId="2D12C97C" w14:textId="77777777" w:rsidTr="00B80A30">
        <w:tc>
          <w:tcPr>
            <w:tcW w:w="1435" w:type="dxa"/>
            <w:vMerge/>
          </w:tcPr>
          <w:p w14:paraId="7588AC01" w14:textId="77777777" w:rsidR="004F67CC" w:rsidRDefault="004F67CC" w:rsidP="006360ED">
            <w:pPr>
              <w:pStyle w:val="BodyText"/>
              <w:ind w:right="607"/>
              <w:rPr>
                <w:sz w:val="22"/>
                <w:szCs w:val="22"/>
              </w:rPr>
            </w:pPr>
          </w:p>
        </w:tc>
        <w:tc>
          <w:tcPr>
            <w:tcW w:w="2970" w:type="dxa"/>
          </w:tcPr>
          <w:p w14:paraId="173B8E43" w14:textId="7732CFA3" w:rsidR="004F67CC" w:rsidRDefault="004F67CC" w:rsidP="006360ED">
            <w:pPr>
              <w:pStyle w:val="BodyText"/>
              <w:rPr>
                <w:sz w:val="22"/>
                <w:szCs w:val="22"/>
              </w:rPr>
            </w:pPr>
            <w:r w:rsidRPr="005139EF">
              <w:rPr>
                <w:sz w:val="22"/>
                <w:szCs w:val="22"/>
              </w:rPr>
              <w:t>R-08. Domestic Solar Hot Water Heater.</w:t>
            </w:r>
          </w:p>
        </w:tc>
        <w:tc>
          <w:tcPr>
            <w:tcW w:w="3780" w:type="dxa"/>
          </w:tcPr>
          <w:p w14:paraId="7D21F5E6" w14:textId="3818D555" w:rsidR="004F67CC" w:rsidRDefault="004F67CC" w:rsidP="00356418">
            <w:pPr>
              <w:pStyle w:val="ListParagraph"/>
              <w:numPr>
                <w:ilvl w:val="0"/>
                <w:numId w:val="2"/>
              </w:numPr>
              <w:ind w:left="220" w:hanging="180"/>
            </w:pPr>
            <w:r>
              <w:t xml:space="preserve">Number of solar hot water heater upgrades </w:t>
            </w:r>
          </w:p>
          <w:p w14:paraId="786B5A1A" w14:textId="77777777" w:rsidR="00C64C40" w:rsidRDefault="00C64C40" w:rsidP="00356418">
            <w:pPr>
              <w:pStyle w:val="ListParagraph"/>
              <w:numPr>
                <w:ilvl w:val="0"/>
                <w:numId w:val="2"/>
              </w:numPr>
              <w:ind w:left="220" w:hanging="180"/>
            </w:pPr>
            <w:r>
              <w:t>Number of homes that measure is implemented</w:t>
            </w:r>
          </w:p>
          <w:p w14:paraId="62CD6965" w14:textId="6E016A1F" w:rsidR="004F67CC" w:rsidRPr="00803184" w:rsidRDefault="004F67CC" w:rsidP="00356418">
            <w:pPr>
              <w:pStyle w:val="ListParagraph"/>
              <w:widowControl/>
              <w:numPr>
                <w:ilvl w:val="0"/>
                <w:numId w:val="1"/>
              </w:numPr>
              <w:adjustRightInd w:val="0"/>
              <w:ind w:left="220" w:hanging="180"/>
            </w:pPr>
            <w:r>
              <w:t>Kilowatts (KW) of Solar Hot Water Heater Installed</w:t>
            </w:r>
          </w:p>
        </w:tc>
        <w:tc>
          <w:tcPr>
            <w:tcW w:w="1980" w:type="dxa"/>
            <w:vMerge/>
          </w:tcPr>
          <w:p w14:paraId="7D512559" w14:textId="286CD53E" w:rsidR="004F67CC" w:rsidRPr="00C04FE6" w:rsidRDefault="004F67CC" w:rsidP="00356418">
            <w:pPr>
              <w:pStyle w:val="ListParagraph"/>
              <w:numPr>
                <w:ilvl w:val="0"/>
                <w:numId w:val="1"/>
              </w:numPr>
              <w:ind w:left="230" w:hanging="180"/>
            </w:pPr>
          </w:p>
        </w:tc>
      </w:tr>
    </w:tbl>
    <w:p w14:paraId="42AE186C" w14:textId="63C625B5" w:rsidR="00D9613E" w:rsidRDefault="00D9613E" w:rsidP="00D9613E">
      <w:r>
        <w:t xml:space="preserve">City of Miami does not anticipate that the GHG reduction measures enacted through this Suite will have </w:t>
      </w:r>
      <w:r w:rsidR="000A0A8B">
        <w:t xml:space="preserve">significant </w:t>
      </w:r>
      <w:r>
        <w:t>co-pollutant (CAP</w:t>
      </w:r>
      <w:r w:rsidR="000A0A8B">
        <w:t xml:space="preserve"> and </w:t>
      </w:r>
      <w:r>
        <w:t>HAP) emissions changes.</w:t>
      </w:r>
    </w:p>
    <w:p w14:paraId="6E9C9660" w14:textId="2F2306C1" w:rsidR="00F55DDD" w:rsidRPr="00F55DDD" w:rsidRDefault="00F55DDD" w:rsidP="00356418">
      <w:pPr>
        <w:pStyle w:val="Heading3"/>
        <w:numPr>
          <w:ilvl w:val="0"/>
          <w:numId w:val="8"/>
        </w:numPr>
      </w:pPr>
      <w:r w:rsidRPr="00F55DDD">
        <w:t>Performance Measures and Plan (10 possible</w:t>
      </w:r>
      <w:r w:rsidRPr="00F55DDD">
        <w:rPr>
          <w:spacing w:val="-7"/>
        </w:rPr>
        <w:t xml:space="preserve"> </w:t>
      </w:r>
      <w:r w:rsidRPr="00F55DDD">
        <w:t>points)</w:t>
      </w:r>
    </w:p>
    <w:p w14:paraId="0841D086" w14:textId="0E005301" w:rsidR="00F55DDD" w:rsidRDefault="003F0BA2" w:rsidP="009E25C7">
      <w:pPr>
        <w:pStyle w:val="BodyText"/>
        <w:rPr>
          <w:sz w:val="22"/>
          <w:szCs w:val="22"/>
        </w:rPr>
      </w:pPr>
      <w:r>
        <w:rPr>
          <w:sz w:val="22"/>
          <w:szCs w:val="22"/>
        </w:rPr>
        <w:t xml:space="preserve">For each GHG </w:t>
      </w:r>
      <w:r w:rsidR="00734FD1">
        <w:rPr>
          <w:sz w:val="22"/>
          <w:szCs w:val="22"/>
        </w:rPr>
        <w:t>R</w:t>
      </w:r>
      <w:r>
        <w:rPr>
          <w:sz w:val="22"/>
          <w:szCs w:val="22"/>
        </w:rPr>
        <w:t xml:space="preserve">eduction </w:t>
      </w:r>
      <w:r w:rsidR="00734FD1">
        <w:rPr>
          <w:sz w:val="22"/>
          <w:szCs w:val="22"/>
        </w:rPr>
        <w:t>M</w:t>
      </w:r>
      <w:r>
        <w:rPr>
          <w:sz w:val="22"/>
          <w:szCs w:val="22"/>
        </w:rPr>
        <w:t xml:space="preserve">easure, the City of Miami will </w:t>
      </w:r>
      <w:r w:rsidR="006868FA">
        <w:rPr>
          <w:sz w:val="22"/>
          <w:szCs w:val="22"/>
        </w:rPr>
        <w:t xml:space="preserve">track, measure, and report progress </w:t>
      </w:r>
      <w:r w:rsidR="000121CB">
        <w:rPr>
          <w:sz w:val="22"/>
          <w:szCs w:val="22"/>
        </w:rPr>
        <w:t>toward achieving the expect</w:t>
      </w:r>
      <w:r w:rsidR="00E740CF">
        <w:rPr>
          <w:sz w:val="22"/>
          <w:szCs w:val="22"/>
        </w:rPr>
        <w:t xml:space="preserve">ed outputs and outcomes as described above. </w:t>
      </w:r>
      <w:r w:rsidR="00B049A7">
        <w:rPr>
          <w:sz w:val="22"/>
          <w:szCs w:val="22"/>
        </w:rPr>
        <w:t xml:space="preserve">The City will hire </w:t>
      </w:r>
      <w:r w:rsidR="00323C3F">
        <w:rPr>
          <w:sz w:val="22"/>
          <w:szCs w:val="22"/>
        </w:rPr>
        <w:t>a program manager to oversee the programs</w:t>
      </w:r>
      <w:r w:rsidR="00A05C2B">
        <w:rPr>
          <w:sz w:val="22"/>
          <w:szCs w:val="22"/>
        </w:rPr>
        <w:t xml:space="preserve"> that will reside in the Office of Resilience and Sustainability</w:t>
      </w:r>
      <w:r w:rsidR="00323C3F">
        <w:rPr>
          <w:sz w:val="22"/>
          <w:szCs w:val="22"/>
        </w:rPr>
        <w:t xml:space="preserve">. The programs will be administered by the </w:t>
      </w:r>
      <w:r w:rsidR="000F3FF6">
        <w:rPr>
          <w:sz w:val="22"/>
          <w:szCs w:val="22"/>
        </w:rPr>
        <w:t xml:space="preserve">Department of </w:t>
      </w:r>
      <w:r w:rsidR="00323C3F">
        <w:rPr>
          <w:sz w:val="22"/>
          <w:szCs w:val="22"/>
        </w:rPr>
        <w:t xml:space="preserve">Housing </w:t>
      </w:r>
      <w:r w:rsidR="000F3FF6">
        <w:rPr>
          <w:sz w:val="22"/>
          <w:szCs w:val="22"/>
        </w:rPr>
        <w:t xml:space="preserve">and Community Development </w:t>
      </w:r>
      <w:r w:rsidR="001C545C">
        <w:rPr>
          <w:sz w:val="22"/>
          <w:szCs w:val="22"/>
        </w:rPr>
        <w:t xml:space="preserve">and Office of Capital Improvements </w:t>
      </w:r>
      <w:r w:rsidR="004E6A2B">
        <w:rPr>
          <w:sz w:val="22"/>
          <w:szCs w:val="22"/>
        </w:rPr>
        <w:t xml:space="preserve">for the </w:t>
      </w:r>
      <w:r w:rsidR="005870F4">
        <w:rPr>
          <w:sz w:val="22"/>
          <w:szCs w:val="22"/>
        </w:rPr>
        <w:t xml:space="preserve">Keep Safe Miami Program and Homeowner Preservation Program </w:t>
      </w:r>
      <w:r w:rsidR="000F3FF6">
        <w:rPr>
          <w:sz w:val="22"/>
          <w:szCs w:val="22"/>
        </w:rPr>
        <w:t>and the Department of Human Services</w:t>
      </w:r>
      <w:r w:rsidR="004E6A2B" w:rsidRPr="004E6A2B">
        <w:rPr>
          <w:sz w:val="22"/>
          <w:szCs w:val="22"/>
        </w:rPr>
        <w:t xml:space="preserve"> </w:t>
      </w:r>
      <w:r w:rsidR="004E6A2B">
        <w:rPr>
          <w:sz w:val="22"/>
          <w:szCs w:val="22"/>
        </w:rPr>
        <w:t>and Office of Capital Improvements</w:t>
      </w:r>
      <w:r w:rsidR="00A05C2B">
        <w:rPr>
          <w:sz w:val="22"/>
          <w:szCs w:val="22"/>
        </w:rPr>
        <w:t xml:space="preserve"> </w:t>
      </w:r>
      <w:r w:rsidR="004E6A2B">
        <w:rPr>
          <w:sz w:val="22"/>
          <w:szCs w:val="22"/>
        </w:rPr>
        <w:t xml:space="preserve">for the </w:t>
      </w:r>
      <w:r w:rsidR="00A05C2B">
        <w:rPr>
          <w:sz w:val="22"/>
          <w:szCs w:val="22"/>
        </w:rPr>
        <w:t>Miami Cools Program</w:t>
      </w:r>
      <w:r w:rsidR="000F3FF6">
        <w:rPr>
          <w:sz w:val="22"/>
          <w:szCs w:val="22"/>
        </w:rPr>
        <w:t xml:space="preserve">. </w:t>
      </w:r>
      <w:r w:rsidR="001F251E">
        <w:rPr>
          <w:sz w:val="22"/>
          <w:szCs w:val="22"/>
        </w:rPr>
        <w:t>The</w:t>
      </w:r>
      <w:r w:rsidR="004E6A2B">
        <w:rPr>
          <w:sz w:val="22"/>
          <w:szCs w:val="22"/>
        </w:rPr>
        <w:t xml:space="preserve"> Office of Capital Improvements will </w:t>
      </w:r>
      <w:r w:rsidR="008D5114">
        <w:rPr>
          <w:sz w:val="22"/>
          <w:szCs w:val="22"/>
        </w:rPr>
        <w:t xml:space="preserve">hire contractors to install the GHG </w:t>
      </w:r>
      <w:r w:rsidR="00734FD1">
        <w:rPr>
          <w:sz w:val="22"/>
          <w:szCs w:val="22"/>
        </w:rPr>
        <w:t>R</w:t>
      </w:r>
      <w:r w:rsidR="008D5114">
        <w:rPr>
          <w:sz w:val="22"/>
          <w:szCs w:val="22"/>
        </w:rPr>
        <w:t xml:space="preserve">eduction </w:t>
      </w:r>
      <w:r w:rsidR="00734FD1">
        <w:rPr>
          <w:sz w:val="22"/>
          <w:szCs w:val="22"/>
        </w:rPr>
        <w:t>M</w:t>
      </w:r>
      <w:r w:rsidR="008D5114">
        <w:rPr>
          <w:sz w:val="22"/>
          <w:szCs w:val="22"/>
        </w:rPr>
        <w:t xml:space="preserve">easures. </w:t>
      </w:r>
      <w:r w:rsidR="00294F80">
        <w:rPr>
          <w:sz w:val="22"/>
          <w:szCs w:val="22"/>
        </w:rPr>
        <w:t xml:space="preserve">The </w:t>
      </w:r>
      <w:r w:rsidR="00E97A7E">
        <w:rPr>
          <w:sz w:val="22"/>
          <w:szCs w:val="22"/>
        </w:rPr>
        <w:t>program manager will work with staff in the</w:t>
      </w:r>
      <w:r w:rsidR="0039395B">
        <w:rPr>
          <w:sz w:val="22"/>
          <w:szCs w:val="22"/>
        </w:rPr>
        <w:t xml:space="preserve">se programs and </w:t>
      </w:r>
      <w:r w:rsidR="00AC2F1D">
        <w:rPr>
          <w:sz w:val="22"/>
          <w:szCs w:val="22"/>
        </w:rPr>
        <w:t>compile data to</w:t>
      </w:r>
      <w:r w:rsidR="00294F80">
        <w:rPr>
          <w:sz w:val="22"/>
          <w:szCs w:val="22"/>
        </w:rPr>
        <w:t xml:space="preserve"> </w:t>
      </w:r>
      <w:r w:rsidR="00AC7A81">
        <w:rPr>
          <w:sz w:val="22"/>
          <w:szCs w:val="22"/>
        </w:rPr>
        <w:t xml:space="preserve">track each of the </w:t>
      </w:r>
      <w:r w:rsidR="00F84D1B">
        <w:rPr>
          <w:sz w:val="22"/>
          <w:szCs w:val="22"/>
        </w:rPr>
        <w:t xml:space="preserve">GHG </w:t>
      </w:r>
      <w:r w:rsidR="000E792B">
        <w:rPr>
          <w:sz w:val="22"/>
          <w:szCs w:val="22"/>
        </w:rPr>
        <w:t>R</w:t>
      </w:r>
      <w:r w:rsidR="00F84D1B">
        <w:rPr>
          <w:sz w:val="22"/>
          <w:szCs w:val="22"/>
        </w:rPr>
        <w:t xml:space="preserve">eduction </w:t>
      </w:r>
      <w:r w:rsidR="000E792B">
        <w:rPr>
          <w:sz w:val="22"/>
          <w:szCs w:val="22"/>
        </w:rPr>
        <w:t>M</w:t>
      </w:r>
      <w:r w:rsidR="00F84D1B">
        <w:rPr>
          <w:sz w:val="22"/>
          <w:szCs w:val="22"/>
        </w:rPr>
        <w:t xml:space="preserve">easures per home, as well as the </w:t>
      </w:r>
      <w:r w:rsidR="00B049A7">
        <w:rPr>
          <w:sz w:val="22"/>
          <w:szCs w:val="22"/>
        </w:rPr>
        <w:t xml:space="preserve">total </w:t>
      </w:r>
      <w:r w:rsidR="00807336">
        <w:rPr>
          <w:sz w:val="22"/>
          <w:szCs w:val="22"/>
        </w:rPr>
        <w:t xml:space="preserve">number of </w:t>
      </w:r>
      <w:r w:rsidR="004972AE">
        <w:rPr>
          <w:sz w:val="22"/>
          <w:szCs w:val="22"/>
        </w:rPr>
        <w:t>measures</w:t>
      </w:r>
      <w:r w:rsidR="00B049A7">
        <w:rPr>
          <w:sz w:val="22"/>
          <w:szCs w:val="22"/>
        </w:rPr>
        <w:t xml:space="preserve">. </w:t>
      </w:r>
      <w:r w:rsidR="001F251E">
        <w:rPr>
          <w:sz w:val="22"/>
          <w:szCs w:val="22"/>
        </w:rPr>
        <w:t xml:space="preserve">These tracking requirements will be </w:t>
      </w:r>
      <w:r w:rsidR="00252655">
        <w:rPr>
          <w:sz w:val="22"/>
          <w:szCs w:val="22"/>
        </w:rPr>
        <w:t>contractual obligations for the contractors</w:t>
      </w:r>
      <w:r w:rsidR="008B2100">
        <w:rPr>
          <w:sz w:val="22"/>
          <w:szCs w:val="22"/>
        </w:rPr>
        <w:t xml:space="preserve"> in which they have to report on a</w:t>
      </w:r>
      <w:r w:rsidR="00685D47">
        <w:rPr>
          <w:sz w:val="22"/>
          <w:szCs w:val="22"/>
        </w:rPr>
        <w:t xml:space="preserve"> </w:t>
      </w:r>
      <w:r w:rsidR="000E460A">
        <w:rPr>
          <w:sz w:val="22"/>
          <w:szCs w:val="22"/>
        </w:rPr>
        <w:t>quarterly</w:t>
      </w:r>
      <w:r w:rsidR="00685D47">
        <w:rPr>
          <w:sz w:val="22"/>
          <w:szCs w:val="22"/>
        </w:rPr>
        <w:t xml:space="preserve"> basis</w:t>
      </w:r>
      <w:r w:rsidR="00574921">
        <w:rPr>
          <w:sz w:val="22"/>
          <w:szCs w:val="22"/>
        </w:rPr>
        <w:t xml:space="preserve"> through a</w:t>
      </w:r>
      <w:r w:rsidR="00570EF0">
        <w:rPr>
          <w:sz w:val="22"/>
          <w:szCs w:val="22"/>
        </w:rPr>
        <w:t xml:space="preserve"> progress report</w:t>
      </w:r>
      <w:r w:rsidR="001463F8">
        <w:rPr>
          <w:sz w:val="22"/>
          <w:szCs w:val="22"/>
        </w:rPr>
        <w:t xml:space="preserve">. </w:t>
      </w:r>
      <w:r w:rsidR="00570EF0">
        <w:rPr>
          <w:sz w:val="22"/>
          <w:szCs w:val="22"/>
        </w:rPr>
        <w:t xml:space="preserve">The City will provide a template of the quarterly progress report that needs to be submitted. </w:t>
      </w:r>
      <w:r w:rsidR="0092080A">
        <w:rPr>
          <w:sz w:val="22"/>
          <w:szCs w:val="22"/>
        </w:rPr>
        <w:t xml:space="preserve">The City will use </w:t>
      </w:r>
      <w:r w:rsidR="00C24870" w:rsidRPr="00C24870">
        <w:rPr>
          <w:sz w:val="22"/>
          <w:szCs w:val="22"/>
        </w:rPr>
        <w:t>ICLEI – Local Governments for Sustainability</w:t>
      </w:r>
      <w:r w:rsidR="0092080A" w:rsidRPr="00D65888">
        <w:rPr>
          <w:sz w:val="22"/>
          <w:szCs w:val="22"/>
        </w:rPr>
        <w:t xml:space="preserve"> software to</w:t>
      </w:r>
      <w:r w:rsidR="0092080A">
        <w:rPr>
          <w:sz w:val="22"/>
          <w:szCs w:val="22"/>
        </w:rPr>
        <w:t xml:space="preserve"> calculate the GHG emission reductions</w:t>
      </w:r>
      <w:r w:rsidR="007209A3">
        <w:rPr>
          <w:sz w:val="22"/>
          <w:szCs w:val="22"/>
        </w:rPr>
        <w:t xml:space="preserve">. </w:t>
      </w:r>
    </w:p>
    <w:p w14:paraId="0E5D079E" w14:textId="77777777" w:rsidR="009E25C7" w:rsidRDefault="009E25C7" w:rsidP="009E25C7">
      <w:pPr>
        <w:pStyle w:val="BodyText"/>
        <w:rPr>
          <w:sz w:val="22"/>
          <w:szCs w:val="22"/>
        </w:rPr>
      </w:pPr>
    </w:p>
    <w:p w14:paraId="5BF4832A" w14:textId="7C060790" w:rsidR="003F674C" w:rsidRDefault="003F674C" w:rsidP="009E25C7">
      <w:pPr>
        <w:pStyle w:val="BodyText"/>
        <w:rPr>
          <w:sz w:val="22"/>
          <w:szCs w:val="22"/>
        </w:rPr>
      </w:pPr>
      <w:r>
        <w:rPr>
          <w:sz w:val="22"/>
          <w:szCs w:val="22"/>
        </w:rPr>
        <w:t>The following Per</w:t>
      </w:r>
      <w:r w:rsidR="006433EC">
        <w:rPr>
          <w:sz w:val="22"/>
          <w:szCs w:val="22"/>
        </w:rPr>
        <w:t>formance Measurement Plan will be used to track, measures, and report progress</w:t>
      </w:r>
      <w:r w:rsidR="00EF4A9D">
        <w:rPr>
          <w:sz w:val="22"/>
          <w:szCs w:val="22"/>
        </w:rPr>
        <w:t>:</w:t>
      </w:r>
    </w:p>
    <w:p w14:paraId="7B398988" w14:textId="77777777" w:rsidR="009E55E3" w:rsidRDefault="009E55E3" w:rsidP="009E25C7">
      <w:pPr>
        <w:pStyle w:val="BodyText"/>
        <w:ind w:right="671"/>
        <w:rPr>
          <w:b/>
          <w:bCs/>
          <w:i/>
          <w:iCs/>
          <w:sz w:val="22"/>
          <w:szCs w:val="22"/>
        </w:rPr>
      </w:pPr>
    </w:p>
    <w:p w14:paraId="7851F38B" w14:textId="73C582D8" w:rsidR="00A21CD1" w:rsidRPr="0098429B" w:rsidRDefault="00A21CD1" w:rsidP="009E25C7">
      <w:pPr>
        <w:pStyle w:val="BodyText"/>
        <w:ind w:right="671"/>
        <w:rPr>
          <w:b/>
          <w:bCs/>
          <w:i/>
          <w:iCs/>
          <w:sz w:val="22"/>
          <w:szCs w:val="22"/>
        </w:rPr>
      </w:pPr>
      <w:r w:rsidRPr="0098429B">
        <w:rPr>
          <w:b/>
          <w:bCs/>
          <w:i/>
          <w:iCs/>
          <w:sz w:val="22"/>
          <w:szCs w:val="22"/>
        </w:rPr>
        <w:t>Performance Meas</w:t>
      </w:r>
      <w:r w:rsidR="00420C25" w:rsidRPr="0098429B">
        <w:rPr>
          <w:b/>
          <w:bCs/>
          <w:i/>
          <w:iCs/>
          <w:sz w:val="22"/>
          <w:szCs w:val="22"/>
        </w:rPr>
        <w:t>ure</w:t>
      </w:r>
      <w:r w:rsidR="00EF4A9D" w:rsidRPr="0098429B">
        <w:rPr>
          <w:b/>
          <w:bCs/>
          <w:i/>
          <w:iCs/>
          <w:sz w:val="22"/>
          <w:szCs w:val="22"/>
        </w:rPr>
        <w:t>ment</w:t>
      </w:r>
      <w:r w:rsidR="00420C25" w:rsidRPr="0098429B">
        <w:rPr>
          <w:b/>
          <w:bCs/>
          <w:i/>
          <w:iCs/>
          <w:sz w:val="22"/>
          <w:szCs w:val="22"/>
        </w:rPr>
        <w:t xml:space="preserve"> Plan</w:t>
      </w:r>
    </w:p>
    <w:tbl>
      <w:tblPr>
        <w:tblStyle w:val="TableGridLight"/>
        <w:tblW w:w="10165" w:type="dxa"/>
        <w:tblCellMar>
          <w:top w:w="29" w:type="dxa"/>
          <w:bottom w:w="29" w:type="dxa"/>
        </w:tblCellMar>
        <w:tblLook w:val="04A0" w:firstRow="1" w:lastRow="0" w:firstColumn="1" w:lastColumn="0" w:noHBand="0" w:noVBand="1"/>
      </w:tblPr>
      <w:tblGrid>
        <w:gridCol w:w="1505"/>
        <w:gridCol w:w="1280"/>
        <w:gridCol w:w="1411"/>
        <w:gridCol w:w="1874"/>
        <w:gridCol w:w="4095"/>
      </w:tblGrid>
      <w:tr w:rsidR="00271EAC" w:rsidRPr="009E55E3" w14:paraId="7E091ACD" w14:textId="77777777" w:rsidTr="001C32CF">
        <w:tc>
          <w:tcPr>
            <w:tcW w:w="1505" w:type="dxa"/>
            <w:shd w:val="clear" w:color="auto" w:fill="A02B93" w:themeFill="accent5"/>
          </w:tcPr>
          <w:p w14:paraId="377C64C1" w14:textId="77777777" w:rsidR="00271EAC" w:rsidRPr="009E55E3" w:rsidRDefault="00271EAC" w:rsidP="0096758A">
            <w:pPr>
              <w:jc w:val="center"/>
              <w:textAlignment w:val="baseline"/>
              <w:rPr>
                <w:rFonts w:eastAsia="Times New Roman"/>
                <w:b/>
                <w:color w:val="FFFFFF" w:themeColor="background1"/>
                <w:sz w:val="21"/>
                <w:szCs w:val="21"/>
                <w:u w:val="single"/>
              </w:rPr>
            </w:pPr>
          </w:p>
        </w:tc>
        <w:tc>
          <w:tcPr>
            <w:tcW w:w="1280" w:type="dxa"/>
            <w:shd w:val="clear" w:color="auto" w:fill="A02B93" w:themeFill="accent5"/>
          </w:tcPr>
          <w:p w14:paraId="1187B60E" w14:textId="77777777" w:rsidR="00271EAC" w:rsidRPr="009E55E3" w:rsidRDefault="00271EAC" w:rsidP="00DE1AEC">
            <w:pPr>
              <w:textAlignment w:val="baseline"/>
              <w:rPr>
                <w:rFonts w:eastAsia="Times New Roman"/>
                <w:b/>
                <w:color w:val="FFFFFF" w:themeColor="background1"/>
                <w:sz w:val="21"/>
                <w:szCs w:val="21"/>
                <w:u w:val="single"/>
              </w:rPr>
            </w:pPr>
          </w:p>
        </w:tc>
        <w:tc>
          <w:tcPr>
            <w:tcW w:w="1411" w:type="dxa"/>
            <w:shd w:val="clear" w:color="auto" w:fill="A02B93" w:themeFill="accent5"/>
          </w:tcPr>
          <w:p w14:paraId="43D8EDFE" w14:textId="1A462F0D" w:rsidR="00271EAC" w:rsidRPr="009E55E3" w:rsidRDefault="00271EAC" w:rsidP="00DE1AEC">
            <w:pPr>
              <w:textAlignment w:val="baseline"/>
              <w:rPr>
                <w:rFonts w:eastAsia="Times New Roman"/>
                <w:b/>
                <w:color w:val="FFFFFF" w:themeColor="background1"/>
                <w:sz w:val="21"/>
                <w:szCs w:val="21"/>
                <w:u w:val="single"/>
              </w:rPr>
            </w:pPr>
          </w:p>
        </w:tc>
        <w:tc>
          <w:tcPr>
            <w:tcW w:w="1874" w:type="dxa"/>
            <w:shd w:val="clear" w:color="auto" w:fill="A02B93" w:themeFill="accent5"/>
          </w:tcPr>
          <w:p w14:paraId="10612BE6" w14:textId="77777777" w:rsidR="00271EAC" w:rsidRPr="009E55E3" w:rsidRDefault="00271EAC">
            <w:pPr>
              <w:pStyle w:val="NoSpacing"/>
              <w:jc w:val="center"/>
              <w:rPr>
                <w:rFonts w:ascii="Calibri" w:hAnsi="Calibri" w:cs="Calibri"/>
                <w:b/>
                <w:color w:val="FFFFFF" w:themeColor="background1"/>
                <w:sz w:val="21"/>
                <w:szCs w:val="21"/>
              </w:rPr>
            </w:pPr>
          </w:p>
        </w:tc>
        <w:tc>
          <w:tcPr>
            <w:tcW w:w="4095" w:type="dxa"/>
            <w:shd w:val="clear" w:color="auto" w:fill="A02B93" w:themeFill="accent5"/>
          </w:tcPr>
          <w:p w14:paraId="742F0EA6" w14:textId="2FD16D77" w:rsidR="00271EAC" w:rsidRPr="009E55E3" w:rsidRDefault="00271EAC">
            <w:pPr>
              <w:pStyle w:val="NoSpacing"/>
              <w:jc w:val="center"/>
              <w:rPr>
                <w:rFonts w:ascii="Calibri" w:hAnsi="Calibri" w:cs="Calibri"/>
                <w:b/>
                <w:color w:val="FFFFFF" w:themeColor="background1"/>
                <w:sz w:val="21"/>
                <w:szCs w:val="21"/>
              </w:rPr>
            </w:pPr>
          </w:p>
        </w:tc>
      </w:tr>
      <w:tr w:rsidR="00271EAC" w:rsidRPr="009E55E3" w14:paraId="580B51A5" w14:textId="77777777" w:rsidTr="001C32CF">
        <w:tc>
          <w:tcPr>
            <w:tcW w:w="1505" w:type="dxa"/>
            <w:shd w:val="clear" w:color="auto" w:fill="A02B93" w:themeFill="accent5"/>
          </w:tcPr>
          <w:p w14:paraId="34C1113D" w14:textId="77777777" w:rsidR="00271EAC" w:rsidRPr="009E55E3" w:rsidRDefault="00271EAC" w:rsidP="001D4D20">
            <w:pPr>
              <w:spacing w:before="120" w:after="120"/>
              <w:jc w:val="both"/>
              <w:textAlignment w:val="baseline"/>
              <w:rPr>
                <w:rFonts w:eastAsia="Times New Roman"/>
                <w:b/>
                <w:sz w:val="21"/>
                <w:szCs w:val="21"/>
              </w:rPr>
            </w:pPr>
          </w:p>
        </w:tc>
        <w:tc>
          <w:tcPr>
            <w:tcW w:w="1280" w:type="dxa"/>
            <w:shd w:val="clear" w:color="auto" w:fill="F2CEED" w:themeFill="accent5" w:themeFillTint="33"/>
          </w:tcPr>
          <w:p w14:paraId="7D22B0D5" w14:textId="3B6CCD71" w:rsidR="00271EAC" w:rsidRPr="009E55E3" w:rsidRDefault="00271EAC" w:rsidP="001D4D20">
            <w:pPr>
              <w:spacing w:before="120" w:after="120"/>
              <w:textAlignment w:val="baseline"/>
              <w:rPr>
                <w:rFonts w:eastAsia="Times New Roman"/>
                <w:b/>
                <w:sz w:val="21"/>
                <w:szCs w:val="21"/>
              </w:rPr>
            </w:pPr>
            <w:r w:rsidRPr="009E55E3">
              <w:rPr>
                <w:rFonts w:eastAsia="Times New Roman"/>
                <w:b/>
                <w:sz w:val="21"/>
                <w:szCs w:val="21"/>
              </w:rPr>
              <w:t>Deliverable</w:t>
            </w:r>
          </w:p>
        </w:tc>
        <w:tc>
          <w:tcPr>
            <w:tcW w:w="1411" w:type="dxa"/>
            <w:shd w:val="clear" w:color="auto" w:fill="F2CEED" w:themeFill="accent5" w:themeFillTint="33"/>
          </w:tcPr>
          <w:p w14:paraId="3E563265" w14:textId="35078915" w:rsidR="00271EAC" w:rsidRPr="009E55E3" w:rsidRDefault="00271EAC" w:rsidP="001D4D20">
            <w:pPr>
              <w:spacing w:before="120" w:after="120"/>
              <w:textAlignment w:val="baseline"/>
              <w:rPr>
                <w:rFonts w:eastAsia="Times New Roman"/>
                <w:b/>
                <w:sz w:val="21"/>
                <w:szCs w:val="21"/>
              </w:rPr>
            </w:pPr>
            <w:r w:rsidRPr="009E55E3">
              <w:rPr>
                <w:rFonts w:eastAsia="Times New Roman"/>
                <w:b/>
                <w:sz w:val="21"/>
                <w:szCs w:val="21"/>
              </w:rPr>
              <w:t>Submittal</w:t>
            </w:r>
          </w:p>
        </w:tc>
        <w:tc>
          <w:tcPr>
            <w:tcW w:w="1874" w:type="dxa"/>
            <w:shd w:val="clear" w:color="auto" w:fill="F2CEED" w:themeFill="accent5" w:themeFillTint="33"/>
          </w:tcPr>
          <w:p w14:paraId="22C5F086" w14:textId="3727F312" w:rsidR="00271EAC" w:rsidRPr="009E55E3" w:rsidRDefault="00310F4B" w:rsidP="001D4D20">
            <w:pPr>
              <w:pStyle w:val="NoSpacing"/>
              <w:spacing w:before="120" w:after="120"/>
              <w:rPr>
                <w:rFonts w:ascii="Calibri" w:hAnsi="Calibri" w:cs="Calibri"/>
                <w:b/>
                <w:sz w:val="21"/>
                <w:szCs w:val="21"/>
              </w:rPr>
            </w:pPr>
            <w:r w:rsidRPr="009E55E3">
              <w:rPr>
                <w:rFonts w:ascii="Calibri" w:hAnsi="Calibri" w:cs="Calibri"/>
                <w:b/>
                <w:sz w:val="21"/>
                <w:szCs w:val="21"/>
              </w:rPr>
              <w:t>Submittal Process</w:t>
            </w:r>
          </w:p>
        </w:tc>
        <w:tc>
          <w:tcPr>
            <w:tcW w:w="4095" w:type="dxa"/>
            <w:shd w:val="clear" w:color="auto" w:fill="F2CEED" w:themeFill="accent5" w:themeFillTint="33"/>
          </w:tcPr>
          <w:p w14:paraId="0BD8135A" w14:textId="0F21E7CA" w:rsidR="00271EAC" w:rsidRPr="009E55E3" w:rsidRDefault="00271EAC" w:rsidP="001D4D20">
            <w:pPr>
              <w:pStyle w:val="NoSpacing"/>
              <w:spacing w:before="120" w:after="120"/>
              <w:rPr>
                <w:rFonts w:ascii="Calibri" w:hAnsi="Calibri" w:cs="Calibri"/>
                <w:b/>
                <w:sz w:val="21"/>
                <w:szCs w:val="21"/>
              </w:rPr>
            </w:pPr>
            <w:r w:rsidRPr="009E55E3">
              <w:rPr>
                <w:rFonts w:ascii="Calibri" w:hAnsi="Calibri" w:cs="Calibri"/>
                <w:b/>
                <w:sz w:val="21"/>
                <w:szCs w:val="21"/>
              </w:rPr>
              <w:t>Deliverable Performance Measures</w:t>
            </w:r>
          </w:p>
        </w:tc>
      </w:tr>
      <w:tr w:rsidR="00271EAC" w:rsidRPr="009E55E3" w14:paraId="7F3E04D3" w14:textId="77777777" w:rsidTr="001C32CF">
        <w:tc>
          <w:tcPr>
            <w:tcW w:w="1505" w:type="dxa"/>
            <w:shd w:val="clear" w:color="auto" w:fill="A02B93" w:themeFill="accent5"/>
          </w:tcPr>
          <w:p w14:paraId="600ECCE2" w14:textId="2E5EAAB1" w:rsidR="00271EAC" w:rsidRPr="009E55E3" w:rsidRDefault="00271EAC" w:rsidP="00B520C2">
            <w:pPr>
              <w:textAlignment w:val="baseline"/>
              <w:rPr>
                <w:rFonts w:eastAsia="Times New Roman"/>
                <w:sz w:val="21"/>
                <w:szCs w:val="21"/>
              </w:rPr>
            </w:pPr>
            <w:r w:rsidRPr="009E55E3">
              <w:rPr>
                <w:b/>
                <w:color w:val="FFFFFF" w:themeColor="background1"/>
                <w:sz w:val="21"/>
                <w:szCs w:val="21"/>
              </w:rPr>
              <w:t>Performance Measures to Evaluate Contractors’ Progress</w:t>
            </w:r>
          </w:p>
        </w:tc>
        <w:tc>
          <w:tcPr>
            <w:tcW w:w="1280" w:type="dxa"/>
          </w:tcPr>
          <w:p w14:paraId="092691FE" w14:textId="6D8610FA" w:rsidR="00271EAC" w:rsidRPr="009E55E3" w:rsidRDefault="00271EAC" w:rsidP="00DE1AEC">
            <w:pPr>
              <w:textAlignment w:val="baseline"/>
              <w:rPr>
                <w:rFonts w:eastAsia="Times New Roman"/>
                <w:sz w:val="21"/>
                <w:szCs w:val="21"/>
              </w:rPr>
            </w:pPr>
            <w:r w:rsidRPr="009E55E3">
              <w:rPr>
                <w:rFonts w:eastAsia="Times New Roman"/>
                <w:sz w:val="21"/>
                <w:szCs w:val="21"/>
              </w:rPr>
              <w:t>Progress Reports</w:t>
            </w:r>
          </w:p>
        </w:tc>
        <w:tc>
          <w:tcPr>
            <w:tcW w:w="1411" w:type="dxa"/>
          </w:tcPr>
          <w:p w14:paraId="4548086C" w14:textId="2026BCD2" w:rsidR="00271EAC" w:rsidRPr="009E55E3" w:rsidRDefault="00271EAC" w:rsidP="00DE1AEC">
            <w:pPr>
              <w:textAlignment w:val="baseline"/>
              <w:rPr>
                <w:rFonts w:eastAsia="Times New Roman"/>
                <w:sz w:val="21"/>
                <w:szCs w:val="21"/>
              </w:rPr>
            </w:pPr>
            <w:r w:rsidRPr="009E55E3">
              <w:rPr>
                <w:rFonts w:eastAsia="Times New Roman"/>
                <w:sz w:val="21"/>
                <w:szCs w:val="21"/>
              </w:rPr>
              <w:t>Quarterly</w:t>
            </w:r>
          </w:p>
        </w:tc>
        <w:tc>
          <w:tcPr>
            <w:tcW w:w="1874" w:type="dxa"/>
          </w:tcPr>
          <w:p w14:paraId="0C3F06AC" w14:textId="64ABAF39" w:rsidR="00271EAC" w:rsidRPr="009E55E3" w:rsidRDefault="002B6DA7" w:rsidP="002B6DA7">
            <w:pPr>
              <w:pStyle w:val="NoSpacing"/>
              <w:spacing w:after="40"/>
              <w:ind w:left="71"/>
              <w:rPr>
                <w:rFonts w:ascii="Calibri" w:hAnsi="Calibri" w:cs="Calibri"/>
                <w:sz w:val="21"/>
                <w:szCs w:val="21"/>
              </w:rPr>
            </w:pPr>
            <w:r w:rsidRPr="009E55E3">
              <w:rPr>
                <w:rFonts w:ascii="Calibri" w:hAnsi="Calibri" w:cs="Calibri"/>
                <w:sz w:val="21"/>
                <w:szCs w:val="21"/>
              </w:rPr>
              <w:t>Contractor submits to the City of Miami</w:t>
            </w:r>
          </w:p>
        </w:tc>
        <w:tc>
          <w:tcPr>
            <w:tcW w:w="4095" w:type="dxa"/>
          </w:tcPr>
          <w:p w14:paraId="7777FD22" w14:textId="69C3812A" w:rsidR="00271EAC" w:rsidRPr="009E55E3" w:rsidRDefault="00271EAC" w:rsidP="00356418">
            <w:pPr>
              <w:pStyle w:val="NoSpacing"/>
              <w:numPr>
                <w:ilvl w:val="0"/>
                <w:numId w:val="15"/>
              </w:numPr>
              <w:spacing w:after="40"/>
              <w:ind w:left="367"/>
              <w:rPr>
                <w:rFonts w:ascii="Calibri" w:hAnsi="Calibri" w:cs="Calibri"/>
                <w:sz w:val="21"/>
                <w:szCs w:val="21"/>
              </w:rPr>
            </w:pPr>
            <w:r w:rsidRPr="009E55E3">
              <w:rPr>
                <w:rFonts w:ascii="Calibri" w:hAnsi="Calibri" w:cs="Calibri"/>
                <w:sz w:val="21"/>
                <w:szCs w:val="21"/>
              </w:rPr>
              <w:t xml:space="preserve">Activities and sub(tasks) successfully implemented </w:t>
            </w:r>
          </w:p>
          <w:p w14:paraId="513702C1" w14:textId="4A10358E" w:rsidR="00271EAC" w:rsidRPr="009E55E3" w:rsidRDefault="00271EAC" w:rsidP="00356418">
            <w:pPr>
              <w:pStyle w:val="NoSpacing"/>
              <w:numPr>
                <w:ilvl w:val="0"/>
                <w:numId w:val="15"/>
              </w:numPr>
              <w:spacing w:after="40"/>
              <w:ind w:left="367"/>
              <w:rPr>
                <w:rFonts w:ascii="Calibri" w:hAnsi="Calibri" w:cs="Calibri"/>
                <w:sz w:val="21"/>
                <w:szCs w:val="21"/>
              </w:rPr>
            </w:pPr>
            <w:r w:rsidRPr="009E55E3">
              <w:rPr>
                <w:rFonts w:ascii="Calibri" w:hAnsi="Calibri" w:cs="Calibri"/>
                <w:sz w:val="21"/>
                <w:szCs w:val="21"/>
              </w:rPr>
              <w:t xml:space="preserve">Project adhering to schedule and milestones reached </w:t>
            </w:r>
          </w:p>
          <w:p w14:paraId="46717443" w14:textId="0390BB33" w:rsidR="00271EAC" w:rsidRPr="009E55E3" w:rsidRDefault="00271EAC" w:rsidP="00356418">
            <w:pPr>
              <w:pStyle w:val="NoSpacing"/>
              <w:numPr>
                <w:ilvl w:val="0"/>
                <w:numId w:val="15"/>
              </w:numPr>
              <w:spacing w:after="40"/>
              <w:ind w:left="367"/>
              <w:rPr>
                <w:rFonts w:ascii="Calibri" w:hAnsi="Calibri" w:cs="Calibri"/>
                <w:sz w:val="21"/>
                <w:szCs w:val="21"/>
              </w:rPr>
            </w:pPr>
            <w:r w:rsidRPr="009E55E3">
              <w:rPr>
                <w:rFonts w:ascii="Calibri" w:hAnsi="Calibri" w:cs="Calibri"/>
                <w:sz w:val="21"/>
                <w:szCs w:val="21"/>
              </w:rPr>
              <w:t xml:space="preserve">Expenses in-line with budget </w:t>
            </w:r>
          </w:p>
          <w:p w14:paraId="0986197E" w14:textId="626A3791" w:rsidR="00271EAC" w:rsidRPr="009E55E3" w:rsidRDefault="00271EAC" w:rsidP="00356418">
            <w:pPr>
              <w:pStyle w:val="NoSpacing"/>
              <w:numPr>
                <w:ilvl w:val="0"/>
                <w:numId w:val="15"/>
              </w:numPr>
              <w:spacing w:after="40"/>
              <w:ind w:left="367"/>
              <w:rPr>
                <w:rFonts w:ascii="Calibri" w:hAnsi="Calibri" w:cs="Calibri"/>
                <w:sz w:val="21"/>
                <w:szCs w:val="21"/>
              </w:rPr>
            </w:pPr>
            <w:r w:rsidRPr="009E55E3">
              <w:rPr>
                <w:rFonts w:ascii="Calibri" w:hAnsi="Calibri" w:cs="Calibri"/>
                <w:sz w:val="21"/>
                <w:szCs w:val="21"/>
              </w:rPr>
              <w:t>Outputs and Outcomes reported</w:t>
            </w:r>
          </w:p>
          <w:p w14:paraId="788CA081" w14:textId="1FE29DAE" w:rsidR="00271EAC" w:rsidRPr="009E55E3" w:rsidRDefault="00271EAC" w:rsidP="00356418">
            <w:pPr>
              <w:pStyle w:val="NoSpacing"/>
              <w:numPr>
                <w:ilvl w:val="0"/>
                <w:numId w:val="15"/>
              </w:numPr>
              <w:spacing w:after="40"/>
              <w:ind w:left="367"/>
              <w:rPr>
                <w:rFonts w:ascii="Calibri" w:hAnsi="Calibri" w:cs="Calibri"/>
                <w:sz w:val="21"/>
                <w:szCs w:val="21"/>
              </w:rPr>
            </w:pPr>
            <w:r w:rsidRPr="009E55E3">
              <w:rPr>
                <w:rFonts w:ascii="Calibri" w:hAnsi="Calibri" w:cs="Calibri"/>
                <w:sz w:val="21"/>
                <w:szCs w:val="21"/>
              </w:rPr>
              <w:t>Timeliness in resolving challenges</w:t>
            </w:r>
          </w:p>
          <w:p w14:paraId="09DA321E" w14:textId="77777777" w:rsidR="00271EAC" w:rsidRPr="009E55E3" w:rsidRDefault="00271EAC" w:rsidP="00356418">
            <w:pPr>
              <w:pStyle w:val="NoSpacing"/>
              <w:numPr>
                <w:ilvl w:val="0"/>
                <w:numId w:val="15"/>
              </w:numPr>
              <w:spacing w:after="40"/>
              <w:ind w:left="367"/>
              <w:rPr>
                <w:rFonts w:ascii="Calibri" w:hAnsi="Calibri" w:cs="Calibri"/>
                <w:sz w:val="21"/>
                <w:szCs w:val="21"/>
              </w:rPr>
            </w:pPr>
            <w:r w:rsidRPr="009E55E3">
              <w:rPr>
                <w:rFonts w:ascii="Calibri" w:hAnsi="Calibri" w:cs="Calibri"/>
                <w:sz w:val="21"/>
                <w:szCs w:val="21"/>
              </w:rPr>
              <w:t>Expected activities for next quarter</w:t>
            </w:r>
          </w:p>
          <w:p w14:paraId="1BF5B357" w14:textId="308F7076" w:rsidR="00271EAC" w:rsidRPr="009E55E3" w:rsidRDefault="00271EAC" w:rsidP="00356418">
            <w:pPr>
              <w:pStyle w:val="NoSpacing"/>
              <w:numPr>
                <w:ilvl w:val="0"/>
                <w:numId w:val="15"/>
              </w:numPr>
              <w:spacing w:after="40"/>
              <w:ind w:left="367"/>
              <w:rPr>
                <w:rFonts w:ascii="Calibri" w:hAnsi="Calibri" w:cs="Calibri"/>
                <w:sz w:val="21"/>
                <w:szCs w:val="21"/>
              </w:rPr>
            </w:pPr>
            <w:r w:rsidRPr="009E55E3">
              <w:rPr>
                <w:rFonts w:ascii="Calibri" w:hAnsi="Calibri" w:cs="Calibri"/>
                <w:sz w:val="21"/>
                <w:szCs w:val="21"/>
              </w:rPr>
              <w:t>In-person &amp; social media engagement</w:t>
            </w:r>
          </w:p>
        </w:tc>
      </w:tr>
      <w:tr w:rsidR="00271EAC" w:rsidRPr="009E55E3" w14:paraId="6E758879" w14:textId="77777777" w:rsidTr="001C32CF">
        <w:tc>
          <w:tcPr>
            <w:tcW w:w="1505" w:type="dxa"/>
            <w:shd w:val="clear" w:color="auto" w:fill="A02B93" w:themeFill="accent5"/>
          </w:tcPr>
          <w:p w14:paraId="2C1F7E95" w14:textId="77777777" w:rsidR="00271EAC" w:rsidRPr="009E55E3" w:rsidRDefault="00271EAC" w:rsidP="00B520C2">
            <w:pPr>
              <w:textAlignment w:val="baseline"/>
              <w:rPr>
                <w:b/>
                <w:color w:val="FFFFFF" w:themeColor="background1"/>
                <w:sz w:val="21"/>
                <w:szCs w:val="21"/>
              </w:rPr>
            </w:pPr>
          </w:p>
        </w:tc>
        <w:tc>
          <w:tcPr>
            <w:tcW w:w="1280" w:type="dxa"/>
          </w:tcPr>
          <w:p w14:paraId="4F47E535" w14:textId="431859E8" w:rsidR="00271EAC" w:rsidRPr="009E55E3" w:rsidRDefault="00271EAC" w:rsidP="00DE1AEC">
            <w:pPr>
              <w:textAlignment w:val="baseline"/>
              <w:rPr>
                <w:rFonts w:eastAsia="Times New Roman"/>
                <w:sz w:val="21"/>
                <w:szCs w:val="21"/>
              </w:rPr>
            </w:pPr>
            <w:r w:rsidRPr="009E55E3">
              <w:rPr>
                <w:rFonts w:eastAsia="Times New Roman"/>
                <w:sz w:val="21"/>
                <w:szCs w:val="21"/>
              </w:rPr>
              <w:t>Year End Report</w:t>
            </w:r>
          </w:p>
        </w:tc>
        <w:tc>
          <w:tcPr>
            <w:tcW w:w="1411" w:type="dxa"/>
          </w:tcPr>
          <w:p w14:paraId="1430FC3F" w14:textId="70338E7D" w:rsidR="00271EAC" w:rsidRPr="009E55E3" w:rsidRDefault="00271EAC" w:rsidP="00DE1AEC">
            <w:pPr>
              <w:textAlignment w:val="baseline"/>
              <w:rPr>
                <w:rFonts w:eastAsia="Times New Roman"/>
                <w:sz w:val="21"/>
                <w:szCs w:val="21"/>
              </w:rPr>
            </w:pPr>
            <w:r w:rsidRPr="009E55E3">
              <w:rPr>
                <w:rFonts w:eastAsia="Times New Roman"/>
                <w:sz w:val="21"/>
                <w:szCs w:val="21"/>
              </w:rPr>
              <w:t>Annually (appendix to 4</w:t>
            </w:r>
            <w:r w:rsidRPr="009E55E3">
              <w:rPr>
                <w:rFonts w:eastAsia="Times New Roman"/>
                <w:sz w:val="21"/>
                <w:szCs w:val="21"/>
                <w:vertAlign w:val="superscript"/>
              </w:rPr>
              <w:t>th</w:t>
            </w:r>
            <w:r w:rsidRPr="009E55E3">
              <w:rPr>
                <w:rFonts w:eastAsia="Times New Roman"/>
                <w:sz w:val="21"/>
                <w:szCs w:val="21"/>
              </w:rPr>
              <w:t xml:space="preserve"> Quarter report)</w:t>
            </w:r>
          </w:p>
        </w:tc>
        <w:tc>
          <w:tcPr>
            <w:tcW w:w="1874" w:type="dxa"/>
          </w:tcPr>
          <w:p w14:paraId="3590659E" w14:textId="7B5EA5F5" w:rsidR="00271EAC" w:rsidRPr="009E55E3" w:rsidRDefault="002B6DA7" w:rsidP="002B6DA7">
            <w:pPr>
              <w:pStyle w:val="NoSpacing"/>
              <w:spacing w:after="40"/>
              <w:ind w:left="71"/>
              <w:rPr>
                <w:rFonts w:ascii="Calibri" w:hAnsi="Calibri" w:cs="Calibri"/>
                <w:sz w:val="21"/>
                <w:szCs w:val="21"/>
              </w:rPr>
            </w:pPr>
            <w:r w:rsidRPr="009E55E3">
              <w:rPr>
                <w:rFonts w:ascii="Calibri" w:hAnsi="Calibri" w:cs="Calibri"/>
                <w:sz w:val="21"/>
                <w:szCs w:val="21"/>
              </w:rPr>
              <w:t>Contractor submits to the City of Miami</w:t>
            </w:r>
          </w:p>
        </w:tc>
        <w:tc>
          <w:tcPr>
            <w:tcW w:w="4095" w:type="dxa"/>
          </w:tcPr>
          <w:p w14:paraId="1FC04808" w14:textId="7CD5EA74" w:rsidR="00271EAC" w:rsidRPr="009E55E3" w:rsidRDefault="00271EAC" w:rsidP="00356418">
            <w:pPr>
              <w:pStyle w:val="NoSpacing"/>
              <w:numPr>
                <w:ilvl w:val="0"/>
                <w:numId w:val="17"/>
              </w:numPr>
              <w:spacing w:after="40"/>
              <w:ind w:left="334"/>
              <w:rPr>
                <w:rFonts w:ascii="Calibri" w:hAnsi="Calibri" w:cs="Calibri"/>
                <w:sz w:val="21"/>
                <w:szCs w:val="21"/>
              </w:rPr>
            </w:pPr>
            <w:r w:rsidRPr="009E55E3">
              <w:rPr>
                <w:rFonts w:ascii="Calibri" w:hAnsi="Calibri" w:cs="Calibri"/>
                <w:sz w:val="21"/>
                <w:szCs w:val="21"/>
              </w:rPr>
              <w:t>Deliverables completed</w:t>
            </w:r>
          </w:p>
          <w:p w14:paraId="2E981E0B" w14:textId="21525C72" w:rsidR="00271EAC" w:rsidRPr="009E55E3" w:rsidRDefault="00271EAC" w:rsidP="00356418">
            <w:pPr>
              <w:pStyle w:val="NoSpacing"/>
              <w:numPr>
                <w:ilvl w:val="0"/>
                <w:numId w:val="17"/>
              </w:numPr>
              <w:spacing w:after="40"/>
              <w:ind w:left="334"/>
              <w:rPr>
                <w:rFonts w:ascii="Calibri" w:hAnsi="Calibri" w:cs="Calibri"/>
                <w:sz w:val="21"/>
                <w:szCs w:val="21"/>
              </w:rPr>
            </w:pPr>
            <w:r w:rsidRPr="009E55E3">
              <w:rPr>
                <w:rFonts w:ascii="Calibri" w:hAnsi="Calibri" w:cs="Calibri"/>
                <w:sz w:val="21"/>
                <w:szCs w:val="21"/>
              </w:rPr>
              <w:t>Outputs achieved</w:t>
            </w:r>
          </w:p>
          <w:p w14:paraId="1CC55C3F" w14:textId="6910FD03" w:rsidR="00271EAC" w:rsidRPr="009E55E3" w:rsidRDefault="00271EAC" w:rsidP="00356418">
            <w:pPr>
              <w:pStyle w:val="NoSpacing"/>
              <w:numPr>
                <w:ilvl w:val="0"/>
                <w:numId w:val="17"/>
              </w:numPr>
              <w:spacing w:after="40"/>
              <w:ind w:left="334"/>
              <w:rPr>
                <w:rFonts w:ascii="Calibri" w:hAnsi="Calibri" w:cs="Calibri"/>
                <w:sz w:val="21"/>
                <w:szCs w:val="21"/>
              </w:rPr>
            </w:pPr>
            <w:r w:rsidRPr="009E55E3">
              <w:rPr>
                <w:rFonts w:ascii="Calibri" w:hAnsi="Calibri" w:cs="Calibri"/>
                <w:sz w:val="21"/>
                <w:szCs w:val="21"/>
              </w:rPr>
              <w:t xml:space="preserve">Outcomes achieved </w:t>
            </w:r>
          </w:p>
          <w:p w14:paraId="7538182F" w14:textId="77777777" w:rsidR="00271EAC" w:rsidRPr="009E55E3" w:rsidRDefault="00271EAC" w:rsidP="00356418">
            <w:pPr>
              <w:pStyle w:val="NoSpacing"/>
              <w:numPr>
                <w:ilvl w:val="0"/>
                <w:numId w:val="17"/>
              </w:numPr>
              <w:spacing w:after="40"/>
              <w:ind w:left="334"/>
              <w:rPr>
                <w:rFonts w:ascii="Calibri" w:hAnsi="Calibri" w:cs="Calibri"/>
                <w:sz w:val="21"/>
                <w:szCs w:val="21"/>
              </w:rPr>
            </w:pPr>
            <w:r w:rsidRPr="009E55E3">
              <w:rPr>
                <w:rFonts w:ascii="Calibri" w:hAnsi="Calibri" w:cs="Calibri"/>
                <w:sz w:val="21"/>
                <w:szCs w:val="21"/>
              </w:rPr>
              <w:t>Expenditures to date in alignment with budget</w:t>
            </w:r>
          </w:p>
          <w:p w14:paraId="3649B622" w14:textId="1A3B6FAE" w:rsidR="00271EAC" w:rsidRPr="009E55E3" w:rsidRDefault="00271EAC" w:rsidP="00356418">
            <w:pPr>
              <w:pStyle w:val="NoSpacing"/>
              <w:numPr>
                <w:ilvl w:val="0"/>
                <w:numId w:val="17"/>
              </w:numPr>
              <w:spacing w:after="40"/>
              <w:ind w:left="334"/>
              <w:rPr>
                <w:rFonts w:ascii="Calibri" w:hAnsi="Calibri" w:cs="Calibri"/>
                <w:sz w:val="21"/>
                <w:szCs w:val="21"/>
              </w:rPr>
            </w:pPr>
            <w:r w:rsidRPr="009E55E3">
              <w:rPr>
                <w:rFonts w:ascii="Calibri" w:hAnsi="Calibri" w:cs="Calibri"/>
                <w:sz w:val="21"/>
                <w:szCs w:val="21"/>
              </w:rPr>
              <w:t>Issues that were appropriately prevented and/or resolved</w:t>
            </w:r>
          </w:p>
        </w:tc>
      </w:tr>
      <w:tr w:rsidR="00271EAC" w:rsidRPr="009E55E3" w14:paraId="4B32C013" w14:textId="77777777" w:rsidTr="001C32CF">
        <w:tc>
          <w:tcPr>
            <w:tcW w:w="1505" w:type="dxa"/>
            <w:shd w:val="clear" w:color="auto" w:fill="A02B93" w:themeFill="accent5"/>
          </w:tcPr>
          <w:p w14:paraId="4F8010C8" w14:textId="7B7FF3FD" w:rsidR="00271EAC" w:rsidRPr="009E55E3" w:rsidRDefault="00271EAC" w:rsidP="00B520C2">
            <w:pPr>
              <w:textAlignment w:val="baseline"/>
              <w:rPr>
                <w:rFonts w:eastAsia="Times New Roman"/>
                <w:sz w:val="21"/>
                <w:szCs w:val="21"/>
              </w:rPr>
            </w:pPr>
            <w:r w:rsidRPr="009E55E3">
              <w:rPr>
                <w:b/>
                <w:color w:val="FFFFFF" w:themeColor="background1"/>
                <w:sz w:val="21"/>
                <w:szCs w:val="21"/>
              </w:rPr>
              <w:t>Performance Measures to Evaluate the City’s Progress</w:t>
            </w:r>
          </w:p>
        </w:tc>
        <w:tc>
          <w:tcPr>
            <w:tcW w:w="1280" w:type="dxa"/>
          </w:tcPr>
          <w:p w14:paraId="5D5264DC" w14:textId="7EB188F8" w:rsidR="00271EAC" w:rsidRPr="009E55E3" w:rsidRDefault="00271EAC" w:rsidP="00DE1AEC">
            <w:pPr>
              <w:textAlignment w:val="baseline"/>
              <w:rPr>
                <w:rFonts w:eastAsia="Times New Roman"/>
                <w:sz w:val="21"/>
                <w:szCs w:val="21"/>
              </w:rPr>
            </w:pPr>
            <w:r w:rsidRPr="009E55E3">
              <w:rPr>
                <w:rFonts w:eastAsia="Times New Roman"/>
                <w:sz w:val="21"/>
                <w:szCs w:val="21"/>
              </w:rPr>
              <w:t>Progress Reports</w:t>
            </w:r>
          </w:p>
        </w:tc>
        <w:tc>
          <w:tcPr>
            <w:tcW w:w="1411" w:type="dxa"/>
          </w:tcPr>
          <w:p w14:paraId="2C626A91" w14:textId="7A605965" w:rsidR="00271EAC" w:rsidRPr="009E55E3" w:rsidRDefault="00271EAC" w:rsidP="00DE1AEC">
            <w:pPr>
              <w:textAlignment w:val="baseline"/>
              <w:rPr>
                <w:rFonts w:eastAsia="Times New Roman"/>
                <w:sz w:val="21"/>
                <w:szCs w:val="21"/>
              </w:rPr>
            </w:pPr>
            <w:r w:rsidRPr="009E55E3">
              <w:rPr>
                <w:rFonts w:eastAsia="Times New Roman"/>
                <w:sz w:val="21"/>
                <w:szCs w:val="21"/>
              </w:rPr>
              <w:t>Semiannually</w:t>
            </w:r>
          </w:p>
        </w:tc>
        <w:tc>
          <w:tcPr>
            <w:tcW w:w="1874" w:type="dxa"/>
          </w:tcPr>
          <w:p w14:paraId="5B49AF8E" w14:textId="5A54C83E" w:rsidR="00271EAC" w:rsidRPr="009E55E3" w:rsidRDefault="002B6DA7" w:rsidP="002B6DA7">
            <w:pPr>
              <w:pStyle w:val="ListParagraph"/>
              <w:ind w:left="71"/>
              <w:rPr>
                <w:sz w:val="21"/>
                <w:szCs w:val="21"/>
              </w:rPr>
            </w:pPr>
            <w:r w:rsidRPr="009E55E3">
              <w:rPr>
                <w:sz w:val="21"/>
                <w:szCs w:val="21"/>
              </w:rPr>
              <w:t>City of Miami submits to EPA</w:t>
            </w:r>
          </w:p>
        </w:tc>
        <w:tc>
          <w:tcPr>
            <w:tcW w:w="4095" w:type="dxa"/>
          </w:tcPr>
          <w:p w14:paraId="37CE4C31" w14:textId="3CFD44EB" w:rsidR="00271EAC" w:rsidRPr="009E55E3" w:rsidRDefault="00271EAC" w:rsidP="00356418">
            <w:pPr>
              <w:pStyle w:val="ListParagraph"/>
              <w:numPr>
                <w:ilvl w:val="0"/>
                <w:numId w:val="16"/>
              </w:numPr>
              <w:ind w:left="344"/>
              <w:rPr>
                <w:sz w:val="21"/>
                <w:szCs w:val="21"/>
              </w:rPr>
            </w:pPr>
            <w:r w:rsidRPr="009E55E3">
              <w:rPr>
                <w:sz w:val="21"/>
                <w:szCs w:val="21"/>
              </w:rPr>
              <w:t>Technical progress</w:t>
            </w:r>
          </w:p>
          <w:p w14:paraId="004DB5AB" w14:textId="77777777" w:rsidR="00271EAC" w:rsidRPr="009E55E3" w:rsidRDefault="00271EAC" w:rsidP="00356418">
            <w:pPr>
              <w:pStyle w:val="ListParagraph"/>
              <w:numPr>
                <w:ilvl w:val="0"/>
                <w:numId w:val="16"/>
              </w:numPr>
              <w:ind w:left="344"/>
              <w:rPr>
                <w:sz w:val="21"/>
                <w:szCs w:val="21"/>
              </w:rPr>
            </w:pPr>
            <w:r w:rsidRPr="009E55E3">
              <w:rPr>
                <w:sz w:val="21"/>
                <w:szCs w:val="21"/>
              </w:rPr>
              <w:t>Accomplishments</w:t>
            </w:r>
          </w:p>
          <w:p w14:paraId="403F07A2" w14:textId="77777777" w:rsidR="00271EAC" w:rsidRPr="009E55E3" w:rsidRDefault="00271EAC" w:rsidP="00356418">
            <w:pPr>
              <w:pStyle w:val="ListParagraph"/>
              <w:numPr>
                <w:ilvl w:val="0"/>
                <w:numId w:val="16"/>
              </w:numPr>
              <w:ind w:left="344"/>
              <w:rPr>
                <w:sz w:val="21"/>
                <w:szCs w:val="21"/>
              </w:rPr>
            </w:pPr>
            <w:r w:rsidRPr="009E55E3">
              <w:rPr>
                <w:sz w:val="21"/>
                <w:szCs w:val="21"/>
              </w:rPr>
              <w:t>Milestones achieved</w:t>
            </w:r>
          </w:p>
          <w:p w14:paraId="4D14B9A1" w14:textId="77777777" w:rsidR="00271EAC" w:rsidRPr="009E55E3" w:rsidRDefault="00271EAC" w:rsidP="00356418">
            <w:pPr>
              <w:pStyle w:val="ListParagraph"/>
              <w:numPr>
                <w:ilvl w:val="0"/>
                <w:numId w:val="16"/>
              </w:numPr>
              <w:ind w:left="344"/>
              <w:rPr>
                <w:sz w:val="21"/>
                <w:szCs w:val="21"/>
              </w:rPr>
            </w:pPr>
            <w:r w:rsidRPr="009E55E3">
              <w:rPr>
                <w:sz w:val="21"/>
                <w:szCs w:val="21"/>
              </w:rPr>
              <w:t>Outputs and outcomes</w:t>
            </w:r>
          </w:p>
          <w:p w14:paraId="2F222D4E" w14:textId="77777777" w:rsidR="00271EAC" w:rsidRPr="009E55E3" w:rsidRDefault="00271EAC" w:rsidP="00356418">
            <w:pPr>
              <w:pStyle w:val="ListParagraph"/>
              <w:numPr>
                <w:ilvl w:val="0"/>
                <w:numId w:val="16"/>
              </w:numPr>
              <w:ind w:left="344"/>
              <w:rPr>
                <w:sz w:val="21"/>
                <w:szCs w:val="21"/>
              </w:rPr>
            </w:pPr>
            <w:r w:rsidRPr="009E55E3">
              <w:rPr>
                <w:sz w:val="21"/>
                <w:szCs w:val="21"/>
              </w:rPr>
              <w:t>Planned activities for next 6 months</w:t>
            </w:r>
          </w:p>
          <w:p w14:paraId="4D30DEAE" w14:textId="77777777" w:rsidR="00271EAC" w:rsidRPr="009E55E3" w:rsidRDefault="00271EAC" w:rsidP="00356418">
            <w:pPr>
              <w:pStyle w:val="ListParagraph"/>
              <w:numPr>
                <w:ilvl w:val="0"/>
                <w:numId w:val="16"/>
              </w:numPr>
              <w:ind w:left="344"/>
              <w:rPr>
                <w:sz w:val="21"/>
                <w:szCs w:val="21"/>
              </w:rPr>
            </w:pPr>
            <w:r w:rsidRPr="009E55E3">
              <w:rPr>
                <w:sz w:val="21"/>
                <w:szCs w:val="21"/>
              </w:rPr>
              <w:t>Expenditures to date</w:t>
            </w:r>
          </w:p>
          <w:p w14:paraId="66DB8EC7" w14:textId="77777777" w:rsidR="00271EAC" w:rsidRPr="009E55E3" w:rsidRDefault="00271EAC" w:rsidP="00356418">
            <w:pPr>
              <w:pStyle w:val="ListParagraph"/>
              <w:numPr>
                <w:ilvl w:val="0"/>
                <w:numId w:val="16"/>
              </w:numPr>
              <w:ind w:left="344"/>
              <w:rPr>
                <w:sz w:val="21"/>
                <w:szCs w:val="21"/>
              </w:rPr>
            </w:pPr>
            <w:r w:rsidRPr="009E55E3">
              <w:rPr>
                <w:sz w:val="21"/>
                <w:szCs w:val="21"/>
              </w:rPr>
              <w:t>Community engagement</w:t>
            </w:r>
          </w:p>
          <w:p w14:paraId="5072E188" w14:textId="77777777" w:rsidR="00271EAC" w:rsidRPr="009E55E3" w:rsidRDefault="00271EAC" w:rsidP="00356418">
            <w:pPr>
              <w:pStyle w:val="ListParagraph"/>
              <w:numPr>
                <w:ilvl w:val="0"/>
                <w:numId w:val="16"/>
              </w:numPr>
              <w:ind w:left="344"/>
              <w:rPr>
                <w:sz w:val="21"/>
                <w:szCs w:val="21"/>
              </w:rPr>
            </w:pPr>
            <w:r w:rsidRPr="009E55E3">
              <w:rPr>
                <w:sz w:val="21"/>
                <w:szCs w:val="21"/>
              </w:rPr>
              <w:t>Strategies for mitigating environmental risk (if applicable)</w:t>
            </w:r>
          </w:p>
          <w:p w14:paraId="569EF5EC" w14:textId="4C2C0970" w:rsidR="00271EAC" w:rsidRPr="009E55E3" w:rsidRDefault="00271EAC" w:rsidP="00356418">
            <w:pPr>
              <w:pStyle w:val="ListParagraph"/>
              <w:numPr>
                <w:ilvl w:val="0"/>
                <w:numId w:val="16"/>
              </w:numPr>
              <w:ind w:left="344"/>
              <w:rPr>
                <w:sz w:val="21"/>
                <w:szCs w:val="21"/>
              </w:rPr>
            </w:pPr>
            <w:r w:rsidRPr="009E55E3">
              <w:rPr>
                <w:sz w:val="21"/>
                <w:szCs w:val="21"/>
              </w:rPr>
              <w:t>Job quality</w:t>
            </w:r>
          </w:p>
        </w:tc>
      </w:tr>
      <w:tr w:rsidR="00271EAC" w:rsidRPr="009E55E3" w14:paraId="1F17F25A" w14:textId="77777777" w:rsidTr="001C32CF">
        <w:tc>
          <w:tcPr>
            <w:tcW w:w="1505" w:type="dxa"/>
            <w:shd w:val="clear" w:color="auto" w:fill="A02B93" w:themeFill="accent5"/>
          </w:tcPr>
          <w:p w14:paraId="7D705168" w14:textId="77777777" w:rsidR="00271EAC" w:rsidRPr="009E55E3" w:rsidRDefault="00271EAC">
            <w:pPr>
              <w:jc w:val="both"/>
              <w:textAlignment w:val="baseline"/>
              <w:rPr>
                <w:b/>
                <w:color w:val="FFFFFF" w:themeColor="background1"/>
                <w:sz w:val="21"/>
                <w:szCs w:val="21"/>
              </w:rPr>
            </w:pPr>
          </w:p>
        </w:tc>
        <w:tc>
          <w:tcPr>
            <w:tcW w:w="1280" w:type="dxa"/>
          </w:tcPr>
          <w:p w14:paraId="58EFF665" w14:textId="2BEC4894" w:rsidR="00271EAC" w:rsidRPr="009E55E3" w:rsidRDefault="00271EAC" w:rsidP="00DE1AEC">
            <w:pPr>
              <w:textAlignment w:val="baseline"/>
              <w:rPr>
                <w:rFonts w:eastAsia="Times New Roman"/>
                <w:sz w:val="21"/>
                <w:szCs w:val="21"/>
              </w:rPr>
            </w:pPr>
            <w:r w:rsidRPr="009E55E3">
              <w:rPr>
                <w:rFonts w:eastAsia="Times New Roman"/>
                <w:sz w:val="21"/>
                <w:szCs w:val="21"/>
              </w:rPr>
              <w:t>LIDAC Benefits Report</w:t>
            </w:r>
          </w:p>
        </w:tc>
        <w:tc>
          <w:tcPr>
            <w:tcW w:w="1411" w:type="dxa"/>
          </w:tcPr>
          <w:p w14:paraId="08CC6506" w14:textId="7BA5D52D" w:rsidR="00271EAC" w:rsidRPr="009E55E3" w:rsidRDefault="00271EAC" w:rsidP="00DE1AEC">
            <w:pPr>
              <w:textAlignment w:val="baseline"/>
              <w:rPr>
                <w:rFonts w:eastAsia="Times New Roman"/>
                <w:sz w:val="21"/>
                <w:szCs w:val="21"/>
              </w:rPr>
            </w:pPr>
            <w:r w:rsidRPr="009E55E3">
              <w:rPr>
                <w:rFonts w:eastAsia="Times New Roman"/>
                <w:sz w:val="21"/>
                <w:szCs w:val="21"/>
              </w:rPr>
              <w:t>1 year after grant award (submit with Year 1 Semi Annual Report #2)</w:t>
            </w:r>
          </w:p>
        </w:tc>
        <w:tc>
          <w:tcPr>
            <w:tcW w:w="1874" w:type="dxa"/>
          </w:tcPr>
          <w:p w14:paraId="2C13E825" w14:textId="23C74A51" w:rsidR="00271EAC" w:rsidRPr="009E55E3" w:rsidRDefault="002B6DA7" w:rsidP="002B6DA7">
            <w:pPr>
              <w:pStyle w:val="ListParagraph"/>
              <w:ind w:left="71"/>
              <w:rPr>
                <w:sz w:val="21"/>
                <w:szCs w:val="21"/>
              </w:rPr>
            </w:pPr>
            <w:r w:rsidRPr="009E55E3">
              <w:rPr>
                <w:sz w:val="21"/>
                <w:szCs w:val="21"/>
              </w:rPr>
              <w:t>City of Miami submits to EPA</w:t>
            </w:r>
          </w:p>
        </w:tc>
        <w:tc>
          <w:tcPr>
            <w:tcW w:w="4095" w:type="dxa"/>
          </w:tcPr>
          <w:p w14:paraId="5B2AF0A2" w14:textId="1B0BBB0F" w:rsidR="00271EAC" w:rsidRPr="009E55E3" w:rsidRDefault="00271EAC" w:rsidP="00356418">
            <w:pPr>
              <w:pStyle w:val="ListParagraph"/>
              <w:numPr>
                <w:ilvl w:val="0"/>
                <w:numId w:val="19"/>
              </w:numPr>
              <w:ind w:left="346"/>
              <w:rPr>
                <w:sz w:val="21"/>
                <w:szCs w:val="21"/>
              </w:rPr>
            </w:pPr>
            <w:r w:rsidRPr="009E55E3">
              <w:rPr>
                <w:sz w:val="21"/>
                <w:szCs w:val="21"/>
              </w:rPr>
              <w:t>Quantified benefits to LIDAC communities</w:t>
            </w:r>
          </w:p>
          <w:p w14:paraId="195E66B9" w14:textId="77777777" w:rsidR="00271EAC" w:rsidRPr="009E55E3" w:rsidRDefault="00271EAC" w:rsidP="00356418">
            <w:pPr>
              <w:pStyle w:val="ListParagraph"/>
              <w:numPr>
                <w:ilvl w:val="0"/>
                <w:numId w:val="19"/>
              </w:numPr>
              <w:ind w:left="346"/>
              <w:rPr>
                <w:sz w:val="21"/>
                <w:szCs w:val="21"/>
              </w:rPr>
            </w:pPr>
            <w:r w:rsidRPr="009E55E3">
              <w:rPr>
                <w:sz w:val="21"/>
                <w:szCs w:val="21"/>
              </w:rPr>
              <w:t>Changes in co-pollutant emissions</w:t>
            </w:r>
          </w:p>
          <w:p w14:paraId="559781F3" w14:textId="77777777" w:rsidR="00271EAC" w:rsidRPr="009E55E3" w:rsidRDefault="00271EAC" w:rsidP="00356418">
            <w:pPr>
              <w:pStyle w:val="ListParagraph"/>
              <w:numPr>
                <w:ilvl w:val="0"/>
                <w:numId w:val="19"/>
              </w:numPr>
              <w:ind w:left="346"/>
              <w:rPr>
                <w:sz w:val="21"/>
                <w:szCs w:val="21"/>
              </w:rPr>
            </w:pPr>
            <w:r w:rsidRPr="009E55E3">
              <w:rPr>
                <w:sz w:val="21"/>
                <w:szCs w:val="21"/>
              </w:rPr>
              <w:t>Estimate of total benefits to occur in LIDAC communities</w:t>
            </w:r>
          </w:p>
          <w:p w14:paraId="244C52F9" w14:textId="306130B4" w:rsidR="00271EAC" w:rsidRPr="009E55E3" w:rsidRDefault="00271EAC" w:rsidP="00356418">
            <w:pPr>
              <w:pStyle w:val="ListParagraph"/>
              <w:numPr>
                <w:ilvl w:val="0"/>
                <w:numId w:val="19"/>
              </w:numPr>
              <w:ind w:left="346"/>
              <w:rPr>
                <w:sz w:val="21"/>
                <w:szCs w:val="21"/>
              </w:rPr>
            </w:pPr>
            <w:r w:rsidRPr="009E55E3">
              <w:rPr>
                <w:sz w:val="21"/>
                <w:szCs w:val="21"/>
              </w:rPr>
              <w:t>Community engagement measures</w:t>
            </w:r>
          </w:p>
        </w:tc>
      </w:tr>
      <w:tr w:rsidR="00271EAC" w:rsidRPr="009E55E3" w14:paraId="7ACC15E5" w14:textId="77777777" w:rsidTr="001C32CF">
        <w:tc>
          <w:tcPr>
            <w:tcW w:w="1505" w:type="dxa"/>
            <w:shd w:val="clear" w:color="auto" w:fill="A02B93" w:themeFill="accent5"/>
          </w:tcPr>
          <w:p w14:paraId="0D452C95" w14:textId="77777777" w:rsidR="00271EAC" w:rsidRPr="009E55E3" w:rsidRDefault="00271EAC">
            <w:pPr>
              <w:jc w:val="both"/>
              <w:textAlignment w:val="baseline"/>
              <w:rPr>
                <w:rFonts w:eastAsia="Times New Roman"/>
                <w:sz w:val="21"/>
                <w:szCs w:val="21"/>
              </w:rPr>
            </w:pPr>
          </w:p>
        </w:tc>
        <w:tc>
          <w:tcPr>
            <w:tcW w:w="1280" w:type="dxa"/>
          </w:tcPr>
          <w:p w14:paraId="55BBF422" w14:textId="1409F886" w:rsidR="00271EAC" w:rsidRPr="009E55E3" w:rsidRDefault="00271EAC" w:rsidP="00DE1AEC">
            <w:pPr>
              <w:textAlignment w:val="baseline"/>
              <w:rPr>
                <w:rFonts w:eastAsia="Times New Roman"/>
                <w:sz w:val="21"/>
                <w:szCs w:val="21"/>
              </w:rPr>
            </w:pPr>
            <w:r w:rsidRPr="009E55E3">
              <w:rPr>
                <w:rFonts w:eastAsia="Times New Roman"/>
                <w:sz w:val="21"/>
                <w:szCs w:val="21"/>
              </w:rPr>
              <w:t>Final Report</w:t>
            </w:r>
          </w:p>
        </w:tc>
        <w:tc>
          <w:tcPr>
            <w:tcW w:w="1411" w:type="dxa"/>
          </w:tcPr>
          <w:p w14:paraId="094C0A04" w14:textId="41A04740" w:rsidR="00271EAC" w:rsidRPr="009E55E3" w:rsidRDefault="00271EAC" w:rsidP="00DE1AEC">
            <w:pPr>
              <w:textAlignment w:val="baseline"/>
              <w:rPr>
                <w:rFonts w:eastAsia="Times New Roman"/>
                <w:sz w:val="21"/>
                <w:szCs w:val="21"/>
              </w:rPr>
            </w:pPr>
            <w:r w:rsidRPr="009E55E3">
              <w:rPr>
                <w:rFonts w:eastAsia="Times New Roman"/>
                <w:sz w:val="21"/>
                <w:szCs w:val="21"/>
              </w:rPr>
              <w:t>Completion of Project</w:t>
            </w:r>
          </w:p>
        </w:tc>
        <w:tc>
          <w:tcPr>
            <w:tcW w:w="1874" w:type="dxa"/>
          </w:tcPr>
          <w:p w14:paraId="2EBBEFD0" w14:textId="2B296D1E" w:rsidR="00271EAC" w:rsidRPr="009E55E3" w:rsidRDefault="002B6DA7" w:rsidP="002B6DA7">
            <w:pPr>
              <w:pStyle w:val="NoSpacing"/>
              <w:spacing w:after="40"/>
              <w:ind w:left="71"/>
              <w:rPr>
                <w:rFonts w:ascii="Calibri" w:hAnsi="Calibri" w:cs="Calibri"/>
                <w:sz w:val="21"/>
                <w:szCs w:val="21"/>
              </w:rPr>
            </w:pPr>
            <w:r w:rsidRPr="009E55E3">
              <w:rPr>
                <w:rFonts w:ascii="Calibri" w:hAnsi="Calibri" w:cs="Calibri"/>
                <w:sz w:val="21"/>
                <w:szCs w:val="21"/>
              </w:rPr>
              <w:t>City of Miami submits to EPA</w:t>
            </w:r>
          </w:p>
        </w:tc>
        <w:tc>
          <w:tcPr>
            <w:tcW w:w="4095" w:type="dxa"/>
          </w:tcPr>
          <w:p w14:paraId="456E1510" w14:textId="1F26CE10"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Summary of measures installed</w:t>
            </w:r>
          </w:p>
          <w:p w14:paraId="2B2AD09E" w14:textId="77777777"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Outputs achieves</w:t>
            </w:r>
          </w:p>
          <w:p w14:paraId="24921404" w14:textId="77777777"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Outcomes achieved</w:t>
            </w:r>
          </w:p>
          <w:p w14:paraId="1316B665" w14:textId="77777777"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Cost of measures</w:t>
            </w:r>
          </w:p>
          <w:p w14:paraId="69600B78" w14:textId="77777777"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GHG emissions reduced</w:t>
            </w:r>
          </w:p>
          <w:p w14:paraId="24A4DF13" w14:textId="77777777"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Co-pollutants reduced</w:t>
            </w:r>
          </w:p>
          <w:p w14:paraId="640EA5A1" w14:textId="77777777"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Summary of public engagement</w:t>
            </w:r>
          </w:p>
          <w:p w14:paraId="69FA3E28" w14:textId="20F50781" w:rsidR="00271EAC" w:rsidRPr="009E55E3" w:rsidRDefault="00271EAC" w:rsidP="00356418">
            <w:pPr>
              <w:pStyle w:val="NoSpacing"/>
              <w:numPr>
                <w:ilvl w:val="0"/>
                <w:numId w:val="18"/>
              </w:numPr>
              <w:spacing w:after="40"/>
              <w:ind w:left="346"/>
              <w:rPr>
                <w:rFonts w:ascii="Calibri" w:hAnsi="Calibri" w:cs="Calibri"/>
                <w:sz w:val="21"/>
                <w:szCs w:val="21"/>
              </w:rPr>
            </w:pPr>
            <w:r w:rsidRPr="009E55E3">
              <w:rPr>
                <w:rFonts w:ascii="Calibri" w:hAnsi="Calibri" w:cs="Calibri"/>
                <w:sz w:val="21"/>
                <w:szCs w:val="21"/>
              </w:rPr>
              <w:t>Problems, successes, and lessons learned that could be addressed</w:t>
            </w:r>
          </w:p>
        </w:tc>
      </w:tr>
    </w:tbl>
    <w:p w14:paraId="5FE94AAB" w14:textId="325F9712" w:rsidR="00F55DDD" w:rsidRPr="00F55DDD" w:rsidRDefault="00F55DDD" w:rsidP="00356418">
      <w:pPr>
        <w:pStyle w:val="Heading3"/>
        <w:numPr>
          <w:ilvl w:val="0"/>
          <w:numId w:val="8"/>
        </w:numPr>
      </w:pPr>
      <w:r w:rsidRPr="00F55DDD">
        <w:t>Authorities, Implementation Timeline, and Milestones (10 possible</w:t>
      </w:r>
      <w:r w:rsidRPr="00F55DDD">
        <w:rPr>
          <w:spacing w:val="-4"/>
        </w:rPr>
        <w:t xml:space="preserve"> </w:t>
      </w:r>
      <w:r w:rsidRPr="00F55DDD">
        <w:t>points)</w:t>
      </w:r>
    </w:p>
    <w:p w14:paraId="101D4B7F" w14:textId="5AA9A72D" w:rsidR="007D707B" w:rsidRDefault="00FE2CAE" w:rsidP="002558D4">
      <w:pPr>
        <w:pStyle w:val="BodyText"/>
        <w:ind w:right="50"/>
        <w:rPr>
          <w:sz w:val="22"/>
          <w:szCs w:val="22"/>
        </w:rPr>
      </w:pPr>
      <w:r>
        <w:rPr>
          <w:sz w:val="22"/>
          <w:szCs w:val="22"/>
        </w:rPr>
        <w:t xml:space="preserve">The City of Miami has authority to administer residential </w:t>
      </w:r>
      <w:r w:rsidR="00BD4A19">
        <w:rPr>
          <w:sz w:val="22"/>
          <w:szCs w:val="22"/>
        </w:rPr>
        <w:t xml:space="preserve">programs that reduce greenhouse gases. </w:t>
      </w:r>
      <w:r w:rsidR="005C7B05" w:rsidRPr="005C7B05">
        <w:rPr>
          <w:sz w:val="22"/>
          <w:szCs w:val="22"/>
        </w:rPr>
        <w:t>In 2021 the state of Florida passed legislation that limits local governments’ ability to enact or enforce any policies that restrict or prohibit the types or fuel sources of energy production.</w:t>
      </w:r>
      <w:r w:rsidR="005A5203">
        <w:rPr>
          <w:sz w:val="22"/>
          <w:szCs w:val="22"/>
        </w:rPr>
        <w:t xml:space="preserve"> </w:t>
      </w:r>
      <w:r w:rsidR="005C7B05" w:rsidRPr="005C7B05">
        <w:rPr>
          <w:sz w:val="22"/>
          <w:szCs w:val="22"/>
        </w:rPr>
        <w:t>Though the City cannot require our residents to replace their existing natural gas systems, we</w:t>
      </w:r>
      <w:r w:rsidR="005A5203">
        <w:rPr>
          <w:sz w:val="22"/>
          <w:szCs w:val="22"/>
        </w:rPr>
        <w:t xml:space="preserve"> </w:t>
      </w:r>
      <w:r w:rsidR="005C7B05" w:rsidRPr="005C7B05">
        <w:rPr>
          <w:sz w:val="22"/>
          <w:szCs w:val="22"/>
        </w:rPr>
        <w:t xml:space="preserve">can encourage and incentivize upgrading to electric appliances, use of carbon-free energy sources, and the construction of net zero buildings. Meeting this objective can be </w:t>
      </w:r>
      <w:r w:rsidR="000201B8">
        <w:rPr>
          <w:sz w:val="22"/>
          <w:szCs w:val="22"/>
        </w:rPr>
        <w:t xml:space="preserve">greatly </w:t>
      </w:r>
      <w:r w:rsidR="005C7B05" w:rsidRPr="005C7B05">
        <w:rPr>
          <w:sz w:val="22"/>
          <w:szCs w:val="22"/>
        </w:rPr>
        <w:t>encouraged with City</w:t>
      </w:r>
      <w:r w:rsidR="00B23A0B">
        <w:rPr>
          <w:sz w:val="22"/>
          <w:szCs w:val="22"/>
        </w:rPr>
        <w:t>-</w:t>
      </w:r>
      <w:r w:rsidR="005C7B05" w:rsidRPr="005C7B05">
        <w:rPr>
          <w:sz w:val="22"/>
          <w:szCs w:val="22"/>
        </w:rPr>
        <w:t>provided incentives</w:t>
      </w:r>
      <w:r w:rsidR="005C7B05">
        <w:rPr>
          <w:sz w:val="22"/>
          <w:szCs w:val="22"/>
        </w:rPr>
        <w:t xml:space="preserve">. </w:t>
      </w:r>
    </w:p>
    <w:p w14:paraId="688FA1E9" w14:textId="77777777" w:rsidR="007D707B" w:rsidRDefault="007D707B" w:rsidP="002558D4">
      <w:pPr>
        <w:pStyle w:val="BodyText"/>
        <w:ind w:right="50"/>
        <w:rPr>
          <w:sz w:val="22"/>
          <w:szCs w:val="22"/>
        </w:rPr>
      </w:pPr>
    </w:p>
    <w:p w14:paraId="13E25F7C" w14:textId="6C240C5B" w:rsidR="007C5290" w:rsidRDefault="00264E93" w:rsidP="002558D4">
      <w:pPr>
        <w:pStyle w:val="BodyText"/>
        <w:ind w:right="50"/>
        <w:rPr>
          <w:sz w:val="22"/>
          <w:szCs w:val="22"/>
        </w:rPr>
      </w:pPr>
      <w:r>
        <w:rPr>
          <w:sz w:val="22"/>
          <w:szCs w:val="22"/>
        </w:rPr>
        <w:t xml:space="preserve">The following </w:t>
      </w:r>
      <w:r w:rsidR="006B7B84">
        <w:rPr>
          <w:sz w:val="22"/>
          <w:szCs w:val="22"/>
        </w:rPr>
        <w:t>departments</w:t>
      </w:r>
      <w:r w:rsidR="00D94E33">
        <w:rPr>
          <w:sz w:val="22"/>
          <w:szCs w:val="22"/>
        </w:rPr>
        <w:t>/</w:t>
      </w:r>
      <w:r w:rsidR="006B7B84">
        <w:rPr>
          <w:sz w:val="22"/>
          <w:szCs w:val="22"/>
        </w:rPr>
        <w:t>offices within the City</w:t>
      </w:r>
      <w:r>
        <w:rPr>
          <w:sz w:val="22"/>
          <w:szCs w:val="22"/>
        </w:rPr>
        <w:t xml:space="preserve"> have authority to implement </w:t>
      </w:r>
      <w:r w:rsidR="00E1785E">
        <w:rPr>
          <w:sz w:val="22"/>
          <w:szCs w:val="22"/>
        </w:rPr>
        <w:t xml:space="preserve">each </w:t>
      </w:r>
      <w:r w:rsidR="00BD377E">
        <w:rPr>
          <w:sz w:val="22"/>
          <w:szCs w:val="22"/>
        </w:rPr>
        <w:t>GHG</w:t>
      </w:r>
      <w:r w:rsidR="00734FD1">
        <w:rPr>
          <w:sz w:val="22"/>
          <w:szCs w:val="22"/>
        </w:rPr>
        <w:t xml:space="preserve"> R</w:t>
      </w:r>
      <w:r w:rsidR="00E1785E">
        <w:rPr>
          <w:sz w:val="22"/>
          <w:szCs w:val="22"/>
        </w:rPr>
        <w:t xml:space="preserve">eduction </w:t>
      </w:r>
      <w:r w:rsidR="00734FD1">
        <w:rPr>
          <w:sz w:val="22"/>
          <w:szCs w:val="22"/>
        </w:rPr>
        <w:t>M</w:t>
      </w:r>
      <w:r w:rsidR="00E1785E">
        <w:rPr>
          <w:sz w:val="22"/>
          <w:szCs w:val="22"/>
        </w:rPr>
        <w:t>easure</w:t>
      </w:r>
      <w:r>
        <w:rPr>
          <w:sz w:val="22"/>
          <w:szCs w:val="22"/>
        </w:rPr>
        <w:t>:</w:t>
      </w:r>
    </w:p>
    <w:p w14:paraId="393571ED" w14:textId="77777777" w:rsidR="001C4501" w:rsidRDefault="001C4501" w:rsidP="001C4501">
      <w:pPr>
        <w:pStyle w:val="BodyText"/>
        <w:ind w:right="590"/>
        <w:rPr>
          <w:b/>
          <w:bCs/>
          <w:sz w:val="22"/>
          <w:szCs w:val="22"/>
        </w:rPr>
      </w:pPr>
    </w:p>
    <w:p w14:paraId="30D3E74D" w14:textId="520C340B" w:rsidR="00AB3BE6" w:rsidRPr="00D6275F" w:rsidRDefault="00D6275F" w:rsidP="001C4501">
      <w:pPr>
        <w:pStyle w:val="BodyText"/>
        <w:ind w:right="590"/>
        <w:rPr>
          <w:b/>
          <w:bCs/>
          <w:sz w:val="22"/>
          <w:szCs w:val="22"/>
        </w:rPr>
      </w:pPr>
      <w:r w:rsidRPr="00D6275F">
        <w:rPr>
          <w:b/>
          <w:bCs/>
          <w:sz w:val="22"/>
          <w:szCs w:val="22"/>
        </w:rPr>
        <w:t>Authorities and Roles/Responsibilities</w:t>
      </w:r>
    </w:p>
    <w:tbl>
      <w:tblPr>
        <w:tblStyle w:val="TableGrid"/>
        <w:tblW w:w="10165" w:type="dxa"/>
        <w:tblCellMar>
          <w:top w:w="29" w:type="dxa"/>
          <w:bottom w:w="29" w:type="dxa"/>
        </w:tblCellMar>
        <w:tblLook w:val="04A0" w:firstRow="1" w:lastRow="0" w:firstColumn="1" w:lastColumn="0" w:noHBand="0" w:noVBand="1"/>
      </w:tblPr>
      <w:tblGrid>
        <w:gridCol w:w="2052"/>
        <w:gridCol w:w="4259"/>
        <w:gridCol w:w="3854"/>
      </w:tblGrid>
      <w:tr w:rsidR="00B4736D" w:rsidRPr="00B4736D" w14:paraId="703798E1" w14:textId="77777777" w:rsidTr="001C32CF">
        <w:tc>
          <w:tcPr>
            <w:tcW w:w="2052" w:type="dxa"/>
            <w:shd w:val="clear" w:color="auto" w:fill="A02B93" w:themeFill="accent5"/>
          </w:tcPr>
          <w:p w14:paraId="3527EF5A" w14:textId="6B1E7F91" w:rsidR="00B2669B" w:rsidRPr="00B4736D" w:rsidRDefault="004949A3" w:rsidP="009F2C0A">
            <w:pPr>
              <w:pStyle w:val="BodyText"/>
              <w:spacing w:before="120" w:after="120"/>
              <w:ind w:right="590"/>
              <w:rPr>
                <w:b/>
                <w:bCs/>
                <w:color w:val="FFFFFF" w:themeColor="background1"/>
                <w:sz w:val="22"/>
                <w:szCs w:val="22"/>
              </w:rPr>
            </w:pPr>
            <w:r w:rsidRPr="00B4736D">
              <w:rPr>
                <w:b/>
                <w:bCs/>
                <w:color w:val="FFFFFF" w:themeColor="background1"/>
                <w:sz w:val="22"/>
                <w:szCs w:val="22"/>
              </w:rPr>
              <w:t>Authorities</w:t>
            </w:r>
          </w:p>
        </w:tc>
        <w:tc>
          <w:tcPr>
            <w:tcW w:w="4259" w:type="dxa"/>
            <w:shd w:val="clear" w:color="auto" w:fill="A02B93" w:themeFill="accent5"/>
          </w:tcPr>
          <w:p w14:paraId="581632D3" w14:textId="2E2083E7" w:rsidR="00B2669B" w:rsidRPr="00B4736D" w:rsidRDefault="004949A3" w:rsidP="009F2C0A">
            <w:pPr>
              <w:pStyle w:val="BodyText"/>
              <w:spacing w:before="120" w:after="120"/>
              <w:ind w:right="590"/>
              <w:rPr>
                <w:b/>
                <w:bCs/>
                <w:color w:val="FFFFFF" w:themeColor="background1"/>
                <w:sz w:val="22"/>
                <w:szCs w:val="22"/>
              </w:rPr>
            </w:pPr>
            <w:r w:rsidRPr="00B4736D">
              <w:rPr>
                <w:b/>
                <w:bCs/>
                <w:color w:val="FFFFFF" w:themeColor="background1"/>
                <w:sz w:val="22"/>
                <w:szCs w:val="22"/>
              </w:rPr>
              <w:t>Roles/Responsibilities</w:t>
            </w:r>
          </w:p>
        </w:tc>
        <w:tc>
          <w:tcPr>
            <w:tcW w:w="3854" w:type="dxa"/>
            <w:shd w:val="clear" w:color="auto" w:fill="A02B93" w:themeFill="accent5"/>
          </w:tcPr>
          <w:p w14:paraId="66A8AE67" w14:textId="1D8F1719" w:rsidR="00B2669B" w:rsidRPr="00B4736D" w:rsidRDefault="004949A3" w:rsidP="009F2C0A">
            <w:pPr>
              <w:pStyle w:val="BodyText"/>
              <w:spacing w:before="120" w:after="120"/>
              <w:ind w:right="590"/>
              <w:rPr>
                <w:b/>
                <w:bCs/>
                <w:color w:val="FFFFFF" w:themeColor="background1"/>
                <w:sz w:val="22"/>
                <w:szCs w:val="22"/>
              </w:rPr>
            </w:pPr>
            <w:r w:rsidRPr="00B4736D">
              <w:rPr>
                <w:b/>
                <w:bCs/>
                <w:color w:val="FFFFFF" w:themeColor="background1"/>
                <w:sz w:val="22"/>
                <w:szCs w:val="22"/>
              </w:rPr>
              <w:t>GHG Reduction Measure</w:t>
            </w:r>
          </w:p>
        </w:tc>
      </w:tr>
      <w:tr w:rsidR="00ED6E53" w14:paraId="25F679EE" w14:textId="77777777" w:rsidTr="001C32CF">
        <w:tc>
          <w:tcPr>
            <w:tcW w:w="2052" w:type="dxa"/>
          </w:tcPr>
          <w:p w14:paraId="1FF0EC6C" w14:textId="651CA5FB" w:rsidR="00ED6E53" w:rsidRPr="00DB3911" w:rsidRDefault="00ED6E53" w:rsidP="00ED6E53">
            <w:pPr>
              <w:pStyle w:val="BodyText"/>
              <w:ind w:right="597"/>
              <w:rPr>
                <w:b/>
                <w:bCs/>
                <w:sz w:val="22"/>
                <w:szCs w:val="22"/>
              </w:rPr>
            </w:pPr>
            <w:r w:rsidRPr="00DB3911">
              <w:rPr>
                <w:b/>
                <w:bCs/>
                <w:sz w:val="22"/>
                <w:szCs w:val="22"/>
              </w:rPr>
              <w:t>Miami Department of Housing and Community Development (HCD)</w:t>
            </w:r>
          </w:p>
        </w:tc>
        <w:tc>
          <w:tcPr>
            <w:tcW w:w="4259" w:type="dxa"/>
          </w:tcPr>
          <w:p w14:paraId="4E30DD92" w14:textId="537BE2E0" w:rsidR="000F2D8B" w:rsidRDefault="000F2D8B" w:rsidP="00F26AB0">
            <w:pPr>
              <w:pStyle w:val="BodyText"/>
              <w:ind w:right="90"/>
              <w:rPr>
                <w:sz w:val="22"/>
                <w:szCs w:val="22"/>
              </w:rPr>
            </w:pPr>
            <w:r>
              <w:rPr>
                <w:sz w:val="22"/>
                <w:szCs w:val="22"/>
              </w:rPr>
              <w:t>Existing HCD staff will:</w:t>
            </w:r>
          </w:p>
          <w:p w14:paraId="5529CD19" w14:textId="617E87E9" w:rsidR="00ED6E53" w:rsidRDefault="00ED6E53" w:rsidP="00356418">
            <w:pPr>
              <w:pStyle w:val="BodyText"/>
              <w:numPr>
                <w:ilvl w:val="0"/>
                <w:numId w:val="11"/>
              </w:numPr>
              <w:ind w:left="296" w:right="90" w:hanging="270"/>
              <w:rPr>
                <w:sz w:val="22"/>
                <w:szCs w:val="22"/>
              </w:rPr>
            </w:pPr>
            <w:r>
              <w:rPr>
                <w:sz w:val="22"/>
                <w:szCs w:val="22"/>
              </w:rPr>
              <w:t>Administer the Keep Safe Miami Program</w:t>
            </w:r>
          </w:p>
          <w:p w14:paraId="563F9BB7" w14:textId="77777777" w:rsidR="00ED6E53" w:rsidRDefault="00ED6E53" w:rsidP="00356418">
            <w:pPr>
              <w:pStyle w:val="BodyText"/>
              <w:numPr>
                <w:ilvl w:val="0"/>
                <w:numId w:val="11"/>
              </w:numPr>
              <w:ind w:left="296" w:right="90" w:hanging="270"/>
              <w:rPr>
                <w:sz w:val="22"/>
                <w:szCs w:val="22"/>
              </w:rPr>
            </w:pPr>
            <w:r>
              <w:rPr>
                <w:sz w:val="22"/>
                <w:szCs w:val="22"/>
              </w:rPr>
              <w:t>Administer the Homeowner Preservation Program</w:t>
            </w:r>
          </w:p>
          <w:p w14:paraId="6AC901C3" w14:textId="4B70E617" w:rsidR="00ED6E53" w:rsidRDefault="00ED6E53" w:rsidP="00356418">
            <w:pPr>
              <w:pStyle w:val="BodyText"/>
              <w:numPr>
                <w:ilvl w:val="0"/>
                <w:numId w:val="11"/>
              </w:numPr>
              <w:ind w:left="296" w:right="90" w:hanging="270"/>
              <w:rPr>
                <w:sz w:val="22"/>
                <w:szCs w:val="22"/>
              </w:rPr>
            </w:pPr>
            <w:r>
              <w:rPr>
                <w:sz w:val="22"/>
                <w:szCs w:val="22"/>
              </w:rPr>
              <w:t>Determine eligibilities to participate in each program</w:t>
            </w:r>
          </w:p>
          <w:p w14:paraId="59F4632F" w14:textId="0825F22B" w:rsidR="00ED6E53" w:rsidRDefault="00ED6E53" w:rsidP="00356418">
            <w:pPr>
              <w:pStyle w:val="BodyText"/>
              <w:numPr>
                <w:ilvl w:val="0"/>
                <w:numId w:val="11"/>
              </w:numPr>
              <w:ind w:left="296" w:right="90" w:hanging="270"/>
              <w:rPr>
                <w:sz w:val="22"/>
                <w:szCs w:val="22"/>
              </w:rPr>
            </w:pPr>
            <w:r>
              <w:rPr>
                <w:sz w:val="22"/>
                <w:szCs w:val="22"/>
              </w:rPr>
              <w:t>Administer the lottery for the Homeowner Preservation Program</w:t>
            </w:r>
          </w:p>
          <w:p w14:paraId="78AAA84C" w14:textId="69B752D5" w:rsidR="00ED6E53" w:rsidRDefault="00ED6E53" w:rsidP="00356418">
            <w:pPr>
              <w:pStyle w:val="BodyText"/>
              <w:numPr>
                <w:ilvl w:val="0"/>
                <w:numId w:val="11"/>
              </w:numPr>
              <w:ind w:left="296" w:right="90" w:hanging="270"/>
              <w:rPr>
                <w:sz w:val="22"/>
                <w:szCs w:val="22"/>
              </w:rPr>
            </w:pPr>
            <w:r>
              <w:rPr>
                <w:sz w:val="22"/>
                <w:szCs w:val="22"/>
              </w:rPr>
              <w:t>Track budgets for each program</w:t>
            </w:r>
          </w:p>
        </w:tc>
        <w:tc>
          <w:tcPr>
            <w:tcW w:w="3854" w:type="dxa"/>
          </w:tcPr>
          <w:p w14:paraId="2C11EBF0" w14:textId="77777777" w:rsidR="00ED6E53" w:rsidRDefault="00ED6E53" w:rsidP="00ED6E53">
            <w:r>
              <w:t>Measure #6:</w:t>
            </w:r>
          </w:p>
          <w:p w14:paraId="46951F2B" w14:textId="77777777" w:rsidR="00ED6E53" w:rsidRPr="0078365F" w:rsidRDefault="00ED6E53" w:rsidP="00356418">
            <w:pPr>
              <w:pStyle w:val="ListParagraph"/>
              <w:numPr>
                <w:ilvl w:val="0"/>
                <w:numId w:val="3"/>
              </w:numPr>
              <w:ind w:left="280" w:hanging="270"/>
            </w:pPr>
            <w:r w:rsidRPr="0078365F">
              <w:t xml:space="preserve">R-01. Residential Heat Pump or High-Efficiency A/C Retrofits and Commissioning. </w:t>
            </w:r>
          </w:p>
          <w:p w14:paraId="61D98B50" w14:textId="77777777" w:rsidR="00ED6E53" w:rsidRPr="0078365F" w:rsidRDefault="00ED6E53" w:rsidP="00356418">
            <w:pPr>
              <w:pStyle w:val="ListParagraph"/>
              <w:numPr>
                <w:ilvl w:val="0"/>
                <w:numId w:val="3"/>
              </w:numPr>
              <w:ind w:left="280" w:hanging="270"/>
            </w:pPr>
            <w:r w:rsidRPr="0078365F">
              <w:t xml:space="preserve">R-03. Residential LED Lighting. </w:t>
            </w:r>
          </w:p>
          <w:p w14:paraId="71C25BF8" w14:textId="77777777" w:rsidR="00ED6E53" w:rsidRPr="0078365F" w:rsidRDefault="00ED6E53" w:rsidP="00356418">
            <w:pPr>
              <w:pStyle w:val="ListParagraph"/>
              <w:numPr>
                <w:ilvl w:val="0"/>
                <w:numId w:val="3"/>
              </w:numPr>
              <w:ind w:left="280" w:hanging="270"/>
            </w:pPr>
            <w:r w:rsidRPr="0078365F">
              <w:t xml:space="preserve">R-04. Residential Enclosure Upgrades (with roof assessment). </w:t>
            </w:r>
          </w:p>
          <w:p w14:paraId="484F261D" w14:textId="77777777" w:rsidR="00ED6E53" w:rsidRPr="0078365F" w:rsidRDefault="00ED6E53" w:rsidP="00356418">
            <w:pPr>
              <w:pStyle w:val="ListParagraph"/>
              <w:numPr>
                <w:ilvl w:val="0"/>
                <w:numId w:val="3"/>
              </w:numPr>
              <w:ind w:left="280" w:hanging="270"/>
            </w:pPr>
            <w:r w:rsidRPr="0078365F">
              <w:t xml:space="preserve">R-05. Residential Window, Door, and Skylight Replacement with Assessment. </w:t>
            </w:r>
          </w:p>
          <w:p w14:paraId="1F760B77" w14:textId="77777777" w:rsidR="00ED6E53" w:rsidRPr="0078365F" w:rsidRDefault="00ED6E53" w:rsidP="00356418">
            <w:pPr>
              <w:pStyle w:val="ListParagraph"/>
              <w:numPr>
                <w:ilvl w:val="0"/>
                <w:numId w:val="3"/>
              </w:numPr>
              <w:ind w:left="280" w:hanging="270"/>
            </w:pPr>
            <w:r w:rsidRPr="0078365F">
              <w:t xml:space="preserve">R-06. Residential Efficient Appliances and Plug Load Management. </w:t>
            </w:r>
          </w:p>
          <w:p w14:paraId="0EA2A169" w14:textId="77777777" w:rsidR="00ED6E53" w:rsidRPr="0078365F" w:rsidRDefault="00ED6E53" w:rsidP="00356418">
            <w:pPr>
              <w:pStyle w:val="ListParagraph"/>
              <w:numPr>
                <w:ilvl w:val="0"/>
                <w:numId w:val="3"/>
              </w:numPr>
              <w:ind w:left="280" w:hanging="270"/>
            </w:pPr>
            <w:r w:rsidRPr="0078365F">
              <w:t xml:space="preserve">R-07. Domestic Heat Pump for Hot Water. </w:t>
            </w:r>
          </w:p>
          <w:p w14:paraId="1016F012" w14:textId="77777777" w:rsidR="00ED6E53" w:rsidRPr="0078365F" w:rsidRDefault="00ED6E53" w:rsidP="00356418">
            <w:pPr>
              <w:pStyle w:val="ListParagraph"/>
              <w:numPr>
                <w:ilvl w:val="0"/>
                <w:numId w:val="3"/>
              </w:numPr>
              <w:ind w:left="280" w:hanging="270"/>
            </w:pPr>
            <w:r w:rsidRPr="0078365F">
              <w:t xml:space="preserve">R-09. Residential Smart Thermostats. </w:t>
            </w:r>
          </w:p>
          <w:p w14:paraId="5B049B7C" w14:textId="77777777" w:rsidR="00ED6E53" w:rsidRPr="0078365F" w:rsidRDefault="00ED6E53" w:rsidP="00ED6E53"/>
          <w:p w14:paraId="5ACDBFAF" w14:textId="77777777" w:rsidR="00ED6E53" w:rsidRPr="0078365F" w:rsidRDefault="00ED6E53" w:rsidP="00ED6E53">
            <w:r w:rsidRPr="0078365F">
              <w:t>Measure #7:</w:t>
            </w:r>
          </w:p>
          <w:p w14:paraId="2F3F014C" w14:textId="77777777" w:rsidR="005350F1" w:rsidRDefault="00ED6E53" w:rsidP="00356418">
            <w:pPr>
              <w:pStyle w:val="ListParagraph"/>
              <w:widowControl/>
              <w:numPr>
                <w:ilvl w:val="0"/>
                <w:numId w:val="4"/>
              </w:numPr>
              <w:adjustRightInd w:val="0"/>
              <w:ind w:left="370"/>
              <w:rPr>
                <w:rFonts w:eastAsiaTheme="minorHAnsi"/>
                <w:color w:val="000000"/>
                <w:lang w:bidi="ar-SA"/>
                <w14:ligatures w14:val="standardContextual"/>
              </w:rPr>
            </w:pPr>
            <w:r w:rsidRPr="004F61AF">
              <w:rPr>
                <w:rFonts w:eastAsiaTheme="minorHAnsi"/>
                <w:lang w:bidi="ar-SA"/>
                <w14:ligatures w14:val="standardContextual"/>
              </w:rPr>
              <w:t xml:space="preserve">R-02. </w:t>
            </w:r>
            <w:r w:rsidRPr="0078365F">
              <w:rPr>
                <w:rFonts w:eastAsiaTheme="minorHAnsi"/>
                <w:color w:val="000000"/>
                <w:lang w:bidi="ar-SA"/>
                <w14:ligatures w14:val="standardContextual"/>
              </w:rPr>
              <w:t xml:space="preserve">Solar Photovoltaics (PV). </w:t>
            </w:r>
          </w:p>
          <w:p w14:paraId="46076D3C" w14:textId="48779940" w:rsidR="00ED6E53" w:rsidRPr="005350F1" w:rsidRDefault="00ED6E53" w:rsidP="00356418">
            <w:pPr>
              <w:pStyle w:val="ListParagraph"/>
              <w:widowControl/>
              <w:numPr>
                <w:ilvl w:val="0"/>
                <w:numId w:val="4"/>
              </w:numPr>
              <w:adjustRightInd w:val="0"/>
              <w:ind w:left="370"/>
              <w:rPr>
                <w:rFonts w:eastAsiaTheme="minorHAnsi"/>
                <w:color w:val="000000"/>
                <w:lang w:bidi="ar-SA"/>
                <w14:ligatures w14:val="standardContextual"/>
              </w:rPr>
            </w:pPr>
            <w:r w:rsidRPr="005350F1">
              <w:rPr>
                <w:rFonts w:eastAsiaTheme="minorHAnsi"/>
                <w:lang w:bidi="ar-SA"/>
                <w14:ligatures w14:val="standardContextual"/>
              </w:rPr>
              <w:t xml:space="preserve">R-08. </w:t>
            </w:r>
            <w:r w:rsidRPr="005350F1">
              <w:rPr>
                <w:rFonts w:eastAsiaTheme="minorHAnsi"/>
                <w:color w:val="000000"/>
                <w:lang w:bidi="ar-SA"/>
                <w14:ligatures w14:val="standardContextual"/>
              </w:rPr>
              <w:t>Domestic Solar Hot Water Heater</w:t>
            </w:r>
            <w:r w:rsidRPr="005350F1">
              <w:rPr>
                <w:rFonts w:eastAsiaTheme="minorHAnsi"/>
                <w:i/>
                <w:iCs/>
                <w:color w:val="000000"/>
                <w:lang w:bidi="ar-SA"/>
                <w14:ligatures w14:val="standardContextual"/>
              </w:rPr>
              <w:t>.</w:t>
            </w:r>
            <w:r w:rsidRPr="005350F1">
              <w:rPr>
                <w:rFonts w:eastAsiaTheme="minorHAnsi"/>
                <w:b/>
                <w:bCs/>
                <w:i/>
                <w:iCs/>
                <w:color w:val="000000"/>
                <w:lang w:bidi="ar-SA"/>
                <w14:ligatures w14:val="standardContextual"/>
              </w:rPr>
              <w:t xml:space="preserve"> </w:t>
            </w:r>
          </w:p>
        </w:tc>
      </w:tr>
      <w:tr w:rsidR="00ED6E53" w14:paraId="29A30A66" w14:textId="77777777" w:rsidTr="001C32CF">
        <w:tc>
          <w:tcPr>
            <w:tcW w:w="2052" w:type="dxa"/>
          </w:tcPr>
          <w:p w14:paraId="7BB05ED9" w14:textId="1F1CA097" w:rsidR="00ED6E53" w:rsidRPr="00DB3911" w:rsidRDefault="00ED6E53" w:rsidP="00ED6E53">
            <w:pPr>
              <w:pStyle w:val="BodyText"/>
              <w:ind w:right="597"/>
              <w:rPr>
                <w:b/>
                <w:bCs/>
                <w:sz w:val="22"/>
                <w:szCs w:val="22"/>
              </w:rPr>
            </w:pPr>
            <w:r w:rsidRPr="00DB3911">
              <w:rPr>
                <w:b/>
                <w:bCs/>
                <w:sz w:val="22"/>
                <w:szCs w:val="22"/>
              </w:rPr>
              <w:t>Miami Department of Human Services (HS)</w:t>
            </w:r>
          </w:p>
        </w:tc>
        <w:tc>
          <w:tcPr>
            <w:tcW w:w="4259" w:type="dxa"/>
          </w:tcPr>
          <w:p w14:paraId="45D782C7" w14:textId="5785546E" w:rsidR="000F2D8B" w:rsidRDefault="000F2D8B" w:rsidP="00AA0002">
            <w:pPr>
              <w:pStyle w:val="BodyText"/>
              <w:rPr>
                <w:sz w:val="22"/>
                <w:szCs w:val="22"/>
              </w:rPr>
            </w:pPr>
            <w:r>
              <w:rPr>
                <w:sz w:val="22"/>
                <w:szCs w:val="22"/>
              </w:rPr>
              <w:t>Existing HS staff will:</w:t>
            </w:r>
          </w:p>
          <w:p w14:paraId="513C98E3" w14:textId="3BB3E754" w:rsidR="00ED6E53" w:rsidRDefault="00ED6E53" w:rsidP="00356418">
            <w:pPr>
              <w:pStyle w:val="BodyText"/>
              <w:numPr>
                <w:ilvl w:val="0"/>
                <w:numId w:val="12"/>
              </w:numPr>
              <w:ind w:left="296" w:hanging="270"/>
              <w:rPr>
                <w:sz w:val="22"/>
                <w:szCs w:val="22"/>
              </w:rPr>
            </w:pPr>
            <w:r>
              <w:rPr>
                <w:sz w:val="22"/>
                <w:szCs w:val="22"/>
              </w:rPr>
              <w:t>Administer the Miami Cools Program</w:t>
            </w:r>
          </w:p>
          <w:p w14:paraId="79D0E73A" w14:textId="2E01A00C" w:rsidR="00ED6E53" w:rsidRDefault="00ED6E53" w:rsidP="00356418">
            <w:pPr>
              <w:pStyle w:val="BodyText"/>
              <w:numPr>
                <w:ilvl w:val="0"/>
                <w:numId w:val="12"/>
              </w:numPr>
              <w:ind w:left="296" w:hanging="270"/>
              <w:rPr>
                <w:sz w:val="22"/>
                <w:szCs w:val="22"/>
              </w:rPr>
            </w:pPr>
            <w:r>
              <w:rPr>
                <w:sz w:val="22"/>
                <w:szCs w:val="22"/>
              </w:rPr>
              <w:t>Administer the lottery for the Miami Cools Program</w:t>
            </w:r>
          </w:p>
          <w:p w14:paraId="0B80D8EA" w14:textId="2C0E4755" w:rsidR="00ED6E53" w:rsidRDefault="00ED6E53" w:rsidP="00356418">
            <w:pPr>
              <w:pStyle w:val="BodyText"/>
              <w:numPr>
                <w:ilvl w:val="0"/>
                <w:numId w:val="12"/>
              </w:numPr>
              <w:ind w:left="296" w:hanging="270"/>
              <w:rPr>
                <w:sz w:val="22"/>
                <w:szCs w:val="22"/>
              </w:rPr>
            </w:pPr>
            <w:r>
              <w:rPr>
                <w:sz w:val="22"/>
                <w:szCs w:val="22"/>
              </w:rPr>
              <w:t>Determine eligibility to participate in program</w:t>
            </w:r>
          </w:p>
          <w:p w14:paraId="38339E4C" w14:textId="0B94B6AB" w:rsidR="00ED6E53" w:rsidRDefault="00ED6E53" w:rsidP="00356418">
            <w:pPr>
              <w:pStyle w:val="BodyText"/>
              <w:numPr>
                <w:ilvl w:val="0"/>
                <w:numId w:val="12"/>
              </w:numPr>
              <w:ind w:left="296" w:hanging="270"/>
              <w:rPr>
                <w:sz w:val="22"/>
                <w:szCs w:val="22"/>
              </w:rPr>
            </w:pPr>
            <w:r>
              <w:rPr>
                <w:sz w:val="22"/>
                <w:szCs w:val="22"/>
              </w:rPr>
              <w:t>Track budget for program</w:t>
            </w:r>
          </w:p>
        </w:tc>
        <w:tc>
          <w:tcPr>
            <w:tcW w:w="3854" w:type="dxa"/>
          </w:tcPr>
          <w:p w14:paraId="2EE22A40" w14:textId="77777777" w:rsidR="00ED6E53" w:rsidRDefault="00ED6E53" w:rsidP="00ED6E53">
            <w:r>
              <w:t>Measure #6:</w:t>
            </w:r>
          </w:p>
          <w:p w14:paraId="357BAAEC" w14:textId="77777777" w:rsidR="00ED6E53" w:rsidRPr="0078365F" w:rsidRDefault="00ED6E53" w:rsidP="00356418">
            <w:pPr>
              <w:pStyle w:val="ListParagraph"/>
              <w:numPr>
                <w:ilvl w:val="0"/>
                <w:numId w:val="3"/>
              </w:numPr>
              <w:ind w:left="280" w:hanging="270"/>
            </w:pPr>
            <w:r w:rsidRPr="0078365F">
              <w:t xml:space="preserve">R-01. Residential Heat Pump or High-Efficiency A/C Retrofits and Commissioning. </w:t>
            </w:r>
          </w:p>
          <w:p w14:paraId="6458F91F" w14:textId="77777777" w:rsidR="00ED6E53" w:rsidRPr="0078365F" w:rsidRDefault="00ED6E53" w:rsidP="00356418">
            <w:pPr>
              <w:pStyle w:val="ListParagraph"/>
              <w:numPr>
                <w:ilvl w:val="0"/>
                <w:numId w:val="3"/>
              </w:numPr>
              <w:ind w:left="280" w:hanging="270"/>
            </w:pPr>
            <w:r w:rsidRPr="0078365F">
              <w:t xml:space="preserve">R-03. Residential LED Lighting. </w:t>
            </w:r>
          </w:p>
          <w:p w14:paraId="445A0EDA" w14:textId="77777777" w:rsidR="00ED6E53" w:rsidRPr="0078365F" w:rsidRDefault="00ED6E53" w:rsidP="00356418">
            <w:pPr>
              <w:pStyle w:val="ListParagraph"/>
              <w:numPr>
                <w:ilvl w:val="0"/>
                <w:numId w:val="3"/>
              </w:numPr>
              <w:ind w:left="280" w:hanging="270"/>
            </w:pPr>
            <w:r w:rsidRPr="0078365F">
              <w:t xml:space="preserve">R-04. Residential Enclosure Upgrades (with roof assessment). </w:t>
            </w:r>
          </w:p>
          <w:p w14:paraId="2F4CA001" w14:textId="1B371A89" w:rsidR="00ED6E53" w:rsidRPr="00ED6E53" w:rsidRDefault="00ED6E53" w:rsidP="00356418">
            <w:pPr>
              <w:pStyle w:val="ListParagraph"/>
              <w:numPr>
                <w:ilvl w:val="0"/>
                <w:numId w:val="3"/>
              </w:numPr>
              <w:ind w:left="280" w:hanging="270"/>
            </w:pPr>
            <w:r w:rsidRPr="0078365F">
              <w:t xml:space="preserve">R-09. Residential Smart Thermostats. </w:t>
            </w:r>
          </w:p>
        </w:tc>
      </w:tr>
      <w:tr w:rsidR="00ED6E53" w14:paraId="5A0920FA" w14:textId="77777777" w:rsidTr="001C32CF">
        <w:tc>
          <w:tcPr>
            <w:tcW w:w="2052" w:type="dxa"/>
          </w:tcPr>
          <w:p w14:paraId="3016ED71" w14:textId="77777777" w:rsidR="006C22BB" w:rsidRDefault="00ED6E53" w:rsidP="00ED6E53">
            <w:pPr>
              <w:pStyle w:val="BodyText"/>
              <w:rPr>
                <w:b/>
                <w:bCs/>
                <w:sz w:val="22"/>
                <w:szCs w:val="22"/>
              </w:rPr>
            </w:pPr>
            <w:r w:rsidRPr="00DB3911">
              <w:rPr>
                <w:b/>
                <w:bCs/>
                <w:sz w:val="22"/>
                <w:szCs w:val="22"/>
              </w:rPr>
              <w:t>Miami Office of Capital Improvements (OCI)</w:t>
            </w:r>
          </w:p>
          <w:p w14:paraId="104F32F8" w14:textId="1E5EA61A" w:rsidR="00ED6E53" w:rsidRDefault="00ED6E53" w:rsidP="00ED6E53">
            <w:pPr>
              <w:pStyle w:val="BodyText"/>
              <w:rPr>
                <w:b/>
                <w:bCs/>
                <w:sz w:val="22"/>
                <w:szCs w:val="22"/>
              </w:rPr>
            </w:pPr>
            <w:r w:rsidRPr="00DB3911">
              <w:rPr>
                <w:b/>
                <w:bCs/>
                <w:sz w:val="22"/>
                <w:szCs w:val="22"/>
              </w:rPr>
              <w:t xml:space="preserve"> </w:t>
            </w:r>
          </w:p>
          <w:p w14:paraId="604E14A8" w14:textId="4668C980" w:rsidR="006C22BB" w:rsidRDefault="00ED6E53" w:rsidP="00ED6E53">
            <w:pPr>
              <w:pStyle w:val="BodyText"/>
              <w:rPr>
                <w:b/>
                <w:bCs/>
                <w:sz w:val="22"/>
                <w:szCs w:val="22"/>
              </w:rPr>
            </w:pPr>
            <w:r w:rsidRPr="00DB3911">
              <w:rPr>
                <w:b/>
                <w:bCs/>
                <w:sz w:val="22"/>
                <w:szCs w:val="22"/>
              </w:rPr>
              <w:t xml:space="preserve">and </w:t>
            </w:r>
          </w:p>
          <w:p w14:paraId="2E700008" w14:textId="573F0476" w:rsidR="00ED6E53" w:rsidRPr="00DB3911" w:rsidRDefault="00ED6E53" w:rsidP="00ED6E53">
            <w:pPr>
              <w:pStyle w:val="BodyText"/>
              <w:rPr>
                <w:b/>
                <w:bCs/>
                <w:sz w:val="22"/>
                <w:szCs w:val="22"/>
              </w:rPr>
            </w:pPr>
            <w:r>
              <w:rPr>
                <w:b/>
                <w:bCs/>
                <w:sz w:val="22"/>
                <w:szCs w:val="22"/>
              </w:rPr>
              <w:t>C</w:t>
            </w:r>
            <w:r w:rsidRPr="00DB3911">
              <w:rPr>
                <w:b/>
                <w:bCs/>
                <w:sz w:val="22"/>
                <w:szCs w:val="22"/>
              </w:rPr>
              <w:t>ontractors</w:t>
            </w:r>
            <w:r w:rsidR="00AA0002">
              <w:rPr>
                <w:b/>
                <w:bCs/>
                <w:sz w:val="22"/>
                <w:szCs w:val="22"/>
              </w:rPr>
              <w:t xml:space="preserve"> Procured</w:t>
            </w:r>
            <w:r w:rsidRPr="00DB3911">
              <w:rPr>
                <w:b/>
                <w:bCs/>
                <w:sz w:val="22"/>
                <w:szCs w:val="22"/>
              </w:rPr>
              <w:t xml:space="preserve"> by </w:t>
            </w:r>
            <w:r>
              <w:rPr>
                <w:b/>
                <w:bCs/>
                <w:sz w:val="22"/>
                <w:szCs w:val="22"/>
              </w:rPr>
              <w:t>OCI</w:t>
            </w:r>
          </w:p>
        </w:tc>
        <w:tc>
          <w:tcPr>
            <w:tcW w:w="4259" w:type="dxa"/>
          </w:tcPr>
          <w:p w14:paraId="26462F8E" w14:textId="3D75D8D2" w:rsidR="000F2D8B" w:rsidRDefault="008C7B61" w:rsidP="00AA0002">
            <w:pPr>
              <w:pStyle w:val="BodyText"/>
              <w:ind w:right="90"/>
              <w:rPr>
                <w:sz w:val="22"/>
                <w:szCs w:val="22"/>
              </w:rPr>
            </w:pPr>
            <w:r>
              <w:rPr>
                <w:sz w:val="22"/>
                <w:szCs w:val="22"/>
              </w:rPr>
              <w:t xml:space="preserve">New OCI Project Manager </w:t>
            </w:r>
            <w:r w:rsidR="007700A6">
              <w:rPr>
                <w:sz w:val="22"/>
                <w:szCs w:val="22"/>
              </w:rPr>
              <w:t xml:space="preserve">and Existing OCI staff </w:t>
            </w:r>
            <w:r>
              <w:rPr>
                <w:sz w:val="22"/>
                <w:szCs w:val="22"/>
              </w:rPr>
              <w:t>will:</w:t>
            </w:r>
          </w:p>
          <w:p w14:paraId="4807F63C" w14:textId="3104F560" w:rsidR="00ED6E53" w:rsidRPr="00413D96" w:rsidRDefault="00ED6E53" w:rsidP="00356418">
            <w:pPr>
              <w:pStyle w:val="BodyText"/>
              <w:numPr>
                <w:ilvl w:val="0"/>
                <w:numId w:val="13"/>
              </w:numPr>
              <w:ind w:left="296" w:right="90" w:hanging="270"/>
              <w:rPr>
                <w:sz w:val="22"/>
                <w:szCs w:val="22"/>
              </w:rPr>
            </w:pPr>
            <w:r>
              <w:rPr>
                <w:sz w:val="22"/>
                <w:szCs w:val="22"/>
              </w:rPr>
              <w:t>Oversee contractors for the Keep Safe Miami Program, Homeowner Preservation Program, and Miami Cools Program</w:t>
            </w:r>
            <w:r w:rsidR="00413D96">
              <w:rPr>
                <w:sz w:val="22"/>
                <w:szCs w:val="22"/>
              </w:rPr>
              <w:t xml:space="preserve"> that will i</w:t>
            </w:r>
            <w:r w:rsidRPr="00413D96">
              <w:rPr>
                <w:sz w:val="22"/>
                <w:szCs w:val="22"/>
              </w:rPr>
              <w:t xml:space="preserve">nstall </w:t>
            </w:r>
            <w:r w:rsidR="00413D96">
              <w:rPr>
                <w:sz w:val="22"/>
                <w:szCs w:val="22"/>
              </w:rPr>
              <w:t xml:space="preserve">the </w:t>
            </w:r>
            <w:r w:rsidRPr="00413D96">
              <w:rPr>
                <w:sz w:val="22"/>
                <w:szCs w:val="22"/>
              </w:rPr>
              <w:t xml:space="preserve">GHG Reduction Measures </w:t>
            </w:r>
          </w:p>
          <w:p w14:paraId="519F851C" w14:textId="61384950" w:rsidR="00E67880" w:rsidRDefault="00E67880" w:rsidP="00356418">
            <w:pPr>
              <w:pStyle w:val="BodyText"/>
              <w:numPr>
                <w:ilvl w:val="0"/>
                <w:numId w:val="13"/>
              </w:numPr>
              <w:ind w:left="296" w:right="90" w:hanging="270"/>
              <w:rPr>
                <w:sz w:val="22"/>
                <w:szCs w:val="22"/>
              </w:rPr>
            </w:pPr>
            <w:r>
              <w:rPr>
                <w:sz w:val="22"/>
                <w:szCs w:val="22"/>
              </w:rPr>
              <w:t xml:space="preserve">Travel </w:t>
            </w:r>
            <w:r w:rsidR="0063053A">
              <w:rPr>
                <w:sz w:val="22"/>
                <w:szCs w:val="22"/>
              </w:rPr>
              <w:t xml:space="preserve">locally </w:t>
            </w:r>
            <w:r>
              <w:rPr>
                <w:sz w:val="22"/>
                <w:szCs w:val="22"/>
              </w:rPr>
              <w:t xml:space="preserve">to housing units where GHG </w:t>
            </w:r>
            <w:r w:rsidR="00840B57">
              <w:rPr>
                <w:sz w:val="22"/>
                <w:szCs w:val="22"/>
              </w:rPr>
              <w:t xml:space="preserve">Reduction Measures are being installed </w:t>
            </w:r>
            <w:r>
              <w:rPr>
                <w:sz w:val="22"/>
                <w:szCs w:val="22"/>
              </w:rPr>
              <w:t>and engage with residents who are participating in the Keep Safe Miami Program, Homeowner Preservation Program, and Miami Cools Program</w:t>
            </w:r>
          </w:p>
          <w:p w14:paraId="62ADCD67" w14:textId="77777777" w:rsidR="00ED6E53" w:rsidRDefault="00ED6E53" w:rsidP="00356418">
            <w:pPr>
              <w:pStyle w:val="BodyText"/>
              <w:numPr>
                <w:ilvl w:val="0"/>
                <w:numId w:val="13"/>
              </w:numPr>
              <w:ind w:left="296" w:right="90" w:hanging="270"/>
              <w:rPr>
                <w:sz w:val="22"/>
                <w:szCs w:val="22"/>
              </w:rPr>
            </w:pPr>
            <w:r>
              <w:rPr>
                <w:sz w:val="22"/>
                <w:szCs w:val="22"/>
              </w:rPr>
              <w:t>Track outputs of GHG Reduction Measures for the Keep Safe Miami Program, Homeowner Preservation Program, and Miami Cools Program</w:t>
            </w:r>
          </w:p>
          <w:p w14:paraId="1BF79F5A" w14:textId="77777777" w:rsidR="00E359C3" w:rsidRDefault="00E359C3" w:rsidP="00AA0002">
            <w:pPr>
              <w:pStyle w:val="BodyText"/>
              <w:rPr>
                <w:sz w:val="22"/>
                <w:szCs w:val="22"/>
              </w:rPr>
            </w:pPr>
            <w:r>
              <w:rPr>
                <w:sz w:val="22"/>
                <w:szCs w:val="22"/>
              </w:rPr>
              <w:t>The Contractors</w:t>
            </w:r>
            <w:r w:rsidR="00AD68E6">
              <w:rPr>
                <w:sz w:val="22"/>
                <w:szCs w:val="22"/>
              </w:rPr>
              <w:t xml:space="preserve"> that OCI procures will:</w:t>
            </w:r>
          </w:p>
          <w:p w14:paraId="61BDDFC7" w14:textId="04A31C9F" w:rsidR="00AD68E6" w:rsidRDefault="00AD68E6" w:rsidP="00356418">
            <w:pPr>
              <w:pStyle w:val="BodyText"/>
              <w:numPr>
                <w:ilvl w:val="0"/>
                <w:numId w:val="22"/>
              </w:numPr>
              <w:ind w:left="350"/>
              <w:rPr>
                <w:sz w:val="22"/>
                <w:szCs w:val="22"/>
              </w:rPr>
            </w:pPr>
            <w:r>
              <w:rPr>
                <w:sz w:val="22"/>
                <w:szCs w:val="22"/>
              </w:rPr>
              <w:t>Implement contract budget</w:t>
            </w:r>
          </w:p>
          <w:p w14:paraId="4C3ECAB5" w14:textId="607C9C15" w:rsidR="00AD68E6" w:rsidRDefault="00EA7E16" w:rsidP="00356418">
            <w:pPr>
              <w:pStyle w:val="BodyText"/>
              <w:numPr>
                <w:ilvl w:val="0"/>
                <w:numId w:val="22"/>
              </w:numPr>
              <w:ind w:left="350"/>
              <w:rPr>
                <w:sz w:val="22"/>
                <w:szCs w:val="22"/>
              </w:rPr>
            </w:pPr>
            <w:r>
              <w:rPr>
                <w:sz w:val="22"/>
                <w:szCs w:val="22"/>
              </w:rPr>
              <w:t xml:space="preserve">Assign </w:t>
            </w:r>
            <w:r w:rsidR="00AD68E6">
              <w:rPr>
                <w:sz w:val="22"/>
                <w:szCs w:val="22"/>
              </w:rPr>
              <w:t xml:space="preserve">contractor staff </w:t>
            </w:r>
            <w:r w:rsidR="00563AB9">
              <w:rPr>
                <w:sz w:val="22"/>
                <w:szCs w:val="22"/>
              </w:rPr>
              <w:t xml:space="preserve">to </w:t>
            </w:r>
            <w:r w:rsidR="00AD68E6">
              <w:rPr>
                <w:sz w:val="22"/>
                <w:szCs w:val="22"/>
              </w:rPr>
              <w:t xml:space="preserve">install </w:t>
            </w:r>
            <w:r w:rsidR="00516F4A">
              <w:rPr>
                <w:sz w:val="22"/>
                <w:szCs w:val="22"/>
              </w:rPr>
              <w:t>GHG Reduction M</w:t>
            </w:r>
            <w:r w:rsidR="00AD68E6">
              <w:rPr>
                <w:sz w:val="22"/>
                <w:szCs w:val="22"/>
              </w:rPr>
              <w:t>easures</w:t>
            </w:r>
          </w:p>
          <w:p w14:paraId="1FF34D6F" w14:textId="460AEA84" w:rsidR="00AD68E6" w:rsidRDefault="00563AB9" w:rsidP="00356418">
            <w:pPr>
              <w:pStyle w:val="BodyText"/>
              <w:numPr>
                <w:ilvl w:val="0"/>
                <w:numId w:val="22"/>
              </w:numPr>
              <w:ind w:left="350"/>
              <w:rPr>
                <w:sz w:val="22"/>
                <w:szCs w:val="22"/>
              </w:rPr>
            </w:pPr>
            <w:r>
              <w:rPr>
                <w:sz w:val="22"/>
                <w:szCs w:val="22"/>
              </w:rPr>
              <w:t>Track m</w:t>
            </w:r>
            <w:r w:rsidR="00AD68E6">
              <w:rPr>
                <w:sz w:val="22"/>
                <w:szCs w:val="22"/>
              </w:rPr>
              <w:t xml:space="preserve">etrics </w:t>
            </w:r>
            <w:r>
              <w:rPr>
                <w:sz w:val="22"/>
                <w:szCs w:val="22"/>
              </w:rPr>
              <w:t>required by the City</w:t>
            </w:r>
          </w:p>
          <w:p w14:paraId="53EE6055" w14:textId="3B5BB3AD" w:rsidR="00AD68E6" w:rsidRDefault="00E1343A" w:rsidP="00356418">
            <w:pPr>
              <w:pStyle w:val="BodyText"/>
              <w:numPr>
                <w:ilvl w:val="0"/>
                <w:numId w:val="22"/>
              </w:numPr>
              <w:ind w:left="350"/>
              <w:rPr>
                <w:sz w:val="22"/>
                <w:szCs w:val="22"/>
              </w:rPr>
            </w:pPr>
            <w:r>
              <w:rPr>
                <w:sz w:val="22"/>
                <w:szCs w:val="22"/>
              </w:rPr>
              <w:t>Participate in m</w:t>
            </w:r>
            <w:r w:rsidR="00AD68E6">
              <w:rPr>
                <w:sz w:val="22"/>
                <w:szCs w:val="22"/>
              </w:rPr>
              <w:t>onthly update calls with the City Project Managers</w:t>
            </w:r>
          </w:p>
          <w:p w14:paraId="19BE093A" w14:textId="274B61EA" w:rsidR="00AD68E6" w:rsidRDefault="00AD68E6" w:rsidP="00356418">
            <w:pPr>
              <w:pStyle w:val="BodyText"/>
              <w:numPr>
                <w:ilvl w:val="0"/>
                <w:numId w:val="21"/>
              </w:numPr>
              <w:ind w:left="350"/>
              <w:rPr>
                <w:sz w:val="22"/>
                <w:szCs w:val="22"/>
              </w:rPr>
            </w:pPr>
            <w:r>
              <w:rPr>
                <w:sz w:val="22"/>
                <w:szCs w:val="22"/>
              </w:rPr>
              <w:t xml:space="preserve">Develop quarterly progress reports </w:t>
            </w:r>
            <w:r w:rsidR="00E1343A">
              <w:rPr>
                <w:sz w:val="22"/>
                <w:szCs w:val="22"/>
              </w:rPr>
              <w:t>with</w:t>
            </w:r>
            <w:r w:rsidR="00AA0002">
              <w:rPr>
                <w:sz w:val="22"/>
                <w:szCs w:val="22"/>
              </w:rPr>
              <w:t xml:space="preserve"> tasks completed,</w:t>
            </w:r>
            <w:r w:rsidR="00E1343A">
              <w:rPr>
                <w:sz w:val="22"/>
                <w:szCs w:val="22"/>
              </w:rPr>
              <w:t xml:space="preserve"> required metrics</w:t>
            </w:r>
            <w:r w:rsidR="00AA0002">
              <w:rPr>
                <w:sz w:val="22"/>
                <w:szCs w:val="22"/>
              </w:rPr>
              <w:t>, and challenges encountered</w:t>
            </w:r>
            <w:r w:rsidR="00E1343A">
              <w:rPr>
                <w:sz w:val="22"/>
                <w:szCs w:val="22"/>
              </w:rPr>
              <w:t xml:space="preserve"> and </w:t>
            </w:r>
            <w:r>
              <w:rPr>
                <w:sz w:val="22"/>
                <w:szCs w:val="22"/>
              </w:rPr>
              <w:t>submit to the City</w:t>
            </w:r>
          </w:p>
        </w:tc>
        <w:tc>
          <w:tcPr>
            <w:tcW w:w="3854" w:type="dxa"/>
          </w:tcPr>
          <w:p w14:paraId="614BBD3F" w14:textId="287054BA" w:rsidR="00ED6E53" w:rsidRDefault="00ED6E53" w:rsidP="00ED6E53">
            <w:r>
              <w:t>Measure #6:</w:t>
            </w:r>
          </w:p>
          <w:p w14:paraId="31A7F467" w14:textId="77777777" w:rsidR="00ED6E53" w:rsidRPr="0078365F" w:rsidRDefault="00ED6E53" w:rsidP="00356418">
            <w:pPr>
              <w:pStyle w:val="ListParagraph"/>
              <w:numPr>
                <w:ilvl w:val="0"/>
                <w:numId w:val="3"/>
              </w:numPr>
              <w:ind w:left="280" w:hanging="270"/>
            </w:pPr>
            <w:r w:rsidRPr="0078365F">
              <w:t xml:space="preserve">R-01. Residential Heat Pump or High-Efficiency A/C Retrofits and Commissioning. </w:t>
            </w:r>
          </w:p>
          <w:p w14:paraId="1357D715" w14:textId="77777777" w:rsidR="00ED6E53" w:rsidRPr="0078365F" w:rsidRDefault="00ED6E53" w:rsidP="00356418">
            <w:pPr>
              <w:pStyle w:val="ListParagraph"/>
              <w:numPr>
                <w:ilvl w:val="0"/>
                <w:numId w:val="3"/>
              </w:numPr>
              <w:ind w:left="280" w:hanging="270"/>
            </w:pPr>
            <w:r w:rsidRPr="0078365F">
              <w:t xml:space="preserve">R-03. Residential LED Lighting. </w:t>
            </w:r>
          </w:p>
          <w:p w14:paraId="2BE2F4EE" w14:textId="77777777" w:rsidR="00ED6E53" w:rsidRPr="0078365F" w:rsidRDefault="00ED6E53" w:rsidP="00356418">
            <w:pPr>
              <w:pStyle w:val="ListParagraph"/>
              <w:numPr>
                <w:ilvl w:val="0"/>
                <w:numId w:val="3"/>
              </w:numPr>
              <w:ind w:left="280" w:hanging="270"/>
            </w:pPr>
            <w:r w:rsidRPr="0078365F">
              <w:t xml:space="preserve">R-04. Residential Enclosure Upgrades (with roof assessment). </w:t>
            </w:r>
          </w:p>
          <w:p w14:paraId="3CDB200F" w14:textId="77777777" w:rsidR="00ED6E53" w:rsidRPr="0078365F" w:rsidRDefault="00ED6E53" w:rsidP="00356418">
            <w:pPr>
              <w:pStyle w:val="ListParagraph"/>
              <w:numPr>
                <w:ilvl w:val="0"/>
                <w:numId w:val="3"/>
              </w:numPr>
              <w:ind w:left="280" w:hanging="270"/>
            </w:pPr>
            <w:r w:rsidRPr="0078365F">
              <w:t xml:space="preserve">R-05. Residential Window, Door, and Skylight Replacement with Assessment. </w:t>
            </w:r>
          </w:p>
          <w:p w14:paraId="3D69B1DF" w14:textId="77777777" w:rsidR="00ED6E53" w:rsidRPr="0078365F" w:rsidRDefault="00ED6E53" w:rsidP="00356418">
            <w:pPr>
              <w:pStyle w:val="ListParagraph"/>
              <w:numPr>
                <w:ilvl w:val="0"/>
                <w:numId w:val="3"/>
              </w:numPr>
              <w:ind w:left="280" w:hanging="270"/>
            </w:pPr>
            <w:r w:rsidRPr="0078365F">
              <w:t xml:space="preserve">R-06. Residential Efficient Appliances and Plug Load Management. </w:t>
            </w:r>
          </w:p>
          <w:p w14:paraId="1AD98A5C" w14:textId="77777777" w:rsidR="00ED6E53" w:rsidRPr="0078365F" w:rsidRDefault="00ED6E53" w:rsidP="00356418">
            <w:pPr>
              <w:pStyle w:val="ListParagraph"/>
              <w:numPr>
                <w:ilvl w:val="0"/>
                <w:numId w:val="3"/>
              </w:numPr>
              <w:ind w:left="280" w:hanging="270"/>
            </w:pPr>
            <w:r w:rsidRPr="0078365F">
              <w:t xml:space="preserve">R-07. Domestic Heat Pump for Hot Water. </w:t>
            </w:r>
          </w:p>
          <w:p w14:paraId="269DB6CD" w14:textId="77777777" w:rsidR="00ED6E53" w:rsidRPr="0078365F" w:rsidRDefault="00ED6E53" w:rsidP="00356418">
            <w:pPr>
              <w:pStyle w:val="ListParagraph"/>
              <w:numPr>
                <w:ilvl w:val="0"/>
                <w:numId w:val="3"/>
              </w:numPr>
              <w:ind w:left="280" w:hanging="270"/>
            </w:pPr>
            <w:r w:rsidRPr="0078365F">
              <w:t xml:space="preserve">R-09. Residential Smart Thermostats. </w:t>
            </w:r>
          </w:p>
          <w:p w14:paraId="0B7AA5FA" w14:textId="77777777" w:rsidR="00ED6E53" w:rsidRPr="0078365F" w:rsidRDefault="00ED6E53" w:rsidP="00ED6E53"/>
          <w:p w14:paraId="7B3E1094" w14:textId="01AE22B1" w:rsidR="00ED6E53" w:rsidRPr="0078365F" w:rsidRDefault="00ED6E53" w:rsidP="00ED6E53">
            <w:r w:rsidRPr="0078365F">
              <w:t>Measure #7:</w:t>
            </w:r>
          </w:p>
          <w:p w14:paraId="170EF6C7" w14:textId="77777777" w:rsidR="00ED6E53" w:rsidRPr="0078365F" w:rsidRDefault="00ED6E53" w:rsidP="00356418">
            <w:pPr>
              <w:pStyle w:val="ListParagraph"/>
              <w:widowControl/>
              <w:numPr>
                <w:ilvl w:val="0"/>
                <w:numId w:val="4"/>
              </w:numPr>
              <w:adjustRightInd w:val="0"/>
              <w:ind w:left="370"/>
              <w:rPr>
                <w:rFonts w:eastAsiaTheme="minorHAnsi"/>
                <w:color w:val="000000"/>
                <w:lang w:bidi="ar-SA"/>
                <w14:ligatures w14:val="standardContextual"/>
              </w:rPr>
            </w:pPr>
            <w:r w:rsidRPr="004F61AF">
              <w:rPr>
                <w:rFonts w:eastAsiaTheme="minorHAnsi"/>
                <w:lang w:bidi="ar-SA"/>
                <w14:ligatures w14:val="standardContextual"/>
              </w:rPr>
              <w:t xml:space="preserve">R-02. </w:t>
            </w:r>
            <w:r w:rsidRPr="0078365F">
              <w:rPr>
                <w:rFonts w:eastAsiaTheme="minorHAnsi"/>
                <w:color w:val="000000"/>
                <w:lang w:bidi="ar-SA"/>
                <w14:ligatures w14:val="standardContextual"/>
              </w:rPr>
              <w:t xml:space="preserve">Solar Photovoltaics (PV). </w:t>
            </w:r>
          </w:p>
          <w:p w14:paraId="2A74B323" w14:textId="132B4414" w:rsidR="00ED6E53" w:rsidRPr="00D958DB" w:rsidRDefault="00ED6E53" w:rsidP="00356418">
            <w:pPr>
              <w:pStyle w:val="ListParagraph"/>
              <w:numPr>
                <w:ilvl w:val="0"/>
                <w:numId w:val="4"/>
              </w:numPr>
              <w:ind w:left="370"/>
            </w:pPr>
            <w:r w:rsidRPr="004F61AF">
              <w:rPr>
                <w:rFonts w:eastAsiaTheme="minorHAnsi"/>
                <w:lang w:bidi="ar-SA"/>
                <w14:ligatures w14:val="standardContextual"/>
              </w:rPr>
              <w:t xml:space="preserve">R-08. </w:t>
            </w:r>
            <w:r w:rsidRPr="0078365F">
              <w:rPr>
                <w:rFonts w:eastAsiaTheme="minorHAnsi"/>
                <w:color w:val="000000"/>
                <w:lang w:bidi="ar-SA"/>
                <w14:ligatures w14:val="standardContextual"/>
              </w:rPr>
              <w:t>Domestic Solar Hot Water Heater</w:t>
            </w:r>
            <w:r w:rsidRPr="00156332">
              <w:rPr>
                <w:rFonts w:eastAsiaTheme="minorHAnsi"/>
                <w:i/>
                <w:iCs/>
                <w:color w:val="000000"/>
                <w:lang w:bidi="ar-SA"/>
                <w14:ligatures w14:val="standardContextual"/>
              </w:rPr>
              <w:t>.</w:t>
            </w:r>
            <w:r w:rsidRPr="00156332">
              <w:rPr>
                <w:rFonts w:eastAsiaTheme="minorHAnsi"/>
                <w:b/>
                <w:bCs/>
                <w:i/>
                <w:iCs/>
                <w:color w:val="000000"/>
                <w:lang w:bidi="ar-SA"/>
                <w14:ligatures w14:val="standardContextual"/>
              </w:rPr>
              <w:t xml:space="preserve"> </w:t>
            </w:r>
          </w:p>
        </w:tc>
      </w:tr>
      <w:tr w:rsidR="00ED6E53" w14:paraId="268EA0B5" w14:textId="77777777" w:rsidTr="001C32CF">
        <w:tc>
          <w:tcPr>
            <w:tcW w:w="2052" w:type="dxa"/>
          </w:tcPr>
          <w:p w14:paraId="6D5779E1" w14:textId="4777B0EF" w:rsidR="00ED6E53" w:rsidRPr="00DB3911" w:rsidRDefault="00ED6E53" w:rsidP="00ED6E53">
            <w:pPr>
              <w:pStyle w:val="BodyText"/>
              <w:rPr>
                <w:b/>
                <w:bCs/>
                <w:sz w:val="22"/>
                <w:szCs w:val="22"/>
              </w:rPr>
            </w:pPr>
            <w:r w:rsidRPr="00DB3911">
              <w:rPr>
                <w:b/>
                <w:bCs/>
                <w:sz w:val="22"/>
                <w:szCs w:val="22"/>
              </w:rPr>
              <w:t>Miami Office of Resilience and Sustainability (ORS)</w:t>
            </w:r>
          </w:p>
        </w:tc>
        <w:tc>
          <w:tcPr>
            <w:tcW w:w="4259" w:type="dxa"/>
          </w:tcPr>
          <w:p w14:paraId="2885DC33" w14:textId="45BD45D9" w:rsidR="008C7B61" w:rsidRDefault="008C7B61" w:rsidP="008C7B61">
            <w:pPr>
              <w:pStyle w:val="BodyText"/>
              <w:ind w:right="597"/>
              <w:rPr>
                <w:sz w:val="22"/>
                <w:szCs w:val="22"/>
              </w:rPr>
            </w:pPr>
            <w:r>
              <w:rPr>
                <w:sz w:val="22"/>
                <w:szCs w:val="22"/>
              </w:rPr>
              <w:t>New ORS Project Manager will:</w:t>
            </w:r>
          </w:p>
          <w:p w14:paraId="7085AE4F" w14:textId="0220178F" w:rsidR="00ED6E53" w:rsidRPr="00B55D29" w:rsidRDefault="00ED6E53" w:rsidP="00356418">
            <w:pPr>
              <w:pStyle w:val="BodyText"/>
              <w:numPr>
                <w:ilvl w:val="0"/>
                <w:numId w:val="14"/>
              </w:numPr>
              <w:ind w:left="296" w:right="597" w:hanging="270"/>
              <w:rPr>
                <w:sz w:val="22"/>
                <w:szCs w:val="22"/>
              </w:rPr>
            </w:pPr>
            <w:r w:rsidRPr="00B55D29">
              <w:rPr>
                <w:sz w:val="22"/>
                <w:szCs w:val="22"/>
              </w:rPr>
              <w:t>Oversee tracking, reporting, and management of the Keep Safe Miami Program, Homeowner Preservation Program, and Miami Cools Program</w:t>
            </w:r>
          </w:p>
          <w:p w14:paraId="56B627BB" w14:textId="275B367B" w:rsidR="00ED6E53" w:rsidRDefault="00ED6E53" w:rsidP="00356418">
            <w:pPr>
              <w:pStyle w:val="BodyText"/>
              <w:numPr>
                <w:ilvl w:val="0"/>
                <w:numId w:val="14"/>
              </w:numPr>
              <w:ind w:left="296" w:right="597" w:hanging="270"/>
              <w:rPr>
                <w:sz w:val="22"/>
                <w:szCs w:val="22"/>
              </w:rPr>
            </w:pPr>
            <w:r>
              <w:rPr>
                <w:sz w:val="22"/>
                <w:szCs w:val="22"/>
              </w:rPr>
              <w:t>Provide outreach for the Keep Safe Miami Program, Homeowner Preservation Program, and Miami Cools Program</w:t>
            </w:r>
          </w:p>
          <w:p w14:paraId="2E0F0A56" w14:textId="1831AA0E" w:rsidR="00ED6E53" w:rsidRDefault="00ED6E53" w:rsidP="00356418">
            <w:pPr>
              <w:pStyle w:val="BodyText"/>
              <w:numPr>
                <w:ilvl w:val="0"/>
                <w:numId w:val="14"/>
              </w:numPr>
              <w:ind w:left="296" w:right="597" w:hanging="270"/>
              <w:rPr>
                <w:sz w:val="22"/>
                <w:szCs w:val="22"/>
              </w:rPr>
            </w:pPr>
            <w:r>
              <w:rPr>
                <w:sz w:val="22"/>
                <w:szCs w:val="22"/>
              </w:rPr>
              <w:t>Assist building owners/operators with completing energy resilience assessments for the Keep Safe Miami Program</w:t>
            </w:r>
          </w:p>
          <w:p w14:paraId="1A2B113C" w14:textId="06856972" w:rsidR="00ED6E53" w:rsidRDefault="00ED6E53" w:rsidP="00356418">
            <w:pPr>
              <w:pStyle w:val="BodyText"/>
              <w:numPr>
                <w:ilvl w:val="0"/>
                <w:numId w:val="14"/>
              </w:numPr>
              <w:ind w:left="296" w:right="597" w:hanging="270"/>
              <w:rPr>
                <w:sz w:val="22"/>
                <w:szCs w:val="22"/>
              </w:rPr>
            </w:pPr>
            <w:r>
              <w:rPr>
                <w:sz w:val="22"/>
                <w:szCs w:val="22"/>
              </w:rPr>
              <w:t xml:space="preserve">Engage with building owners/operators for the Keep Safe Miami Program </w:t>
            </w:r>
          </w:p>
          <w:p w14:paraId="5F99533E" w14:textId="77777777" w:rsidR="00ED6E53" w:rsidRDefault="00ED6E53" w:rsidP="00356418">
            <w:pPr>
              <w:pStyle w:val="BodyText"/>
              <w:numPr>
                <w:ilvl w:val="0"/>
                <w:numId w:val="14"/>
              </w:numPr>
              <w:ind w:left="296" w:right="597" w:hanging="270"/>
              <w:rPr>
                <w:sz w:val="22"/>
                <w:szCs w:val="22"/>
              </w:rPr>
            </w:pPr>
            <w:r>
              <w:rPr>
                <w:sz w:val="22"/>
                <w:szCs w:val="22"/>
              </w:rPr>
              <w:t>Track outcomes of GHG Reduction Measures for the Keep Safe Miami Program, Homeowner Preservation Program, and Miami Cools Program</w:t>
            </w:r>
          </w:p>
          <w:p w14:paraId="39858ED2" w14:textId="43872FA8" w:rsidR="007750E6" w:rsidRDefault="007750E6" w:rsidP="00356418">
            <w:pPr>
              <w:pStyle w:val="BodyText"/>
              <w:numPr>
                <w:ilvl w:val="0"/>
                <w:numId w:val="14"/>
              </w:numPr>
              <w:ind w:left="296" w:right="597" w:hanging="270"/>
              <w:rPr>
                <w:sz w:val="22"/>
                <w:szCs w:val="22"/>
              </w:rPr>
            </w:pPr>
            <w:r>
              <w:rPr>
                <w:sz w:val="22"/>
                <w:szCs w:val="22"/>
              </w:rPr>
              <w:t xml:space="preserve">Work with stakeholders to expand the Green Economy </w:t>
            </w:r>
            <w:r w:rsidR="00575B26">
              <w:rPr>
                <w:sz w:val="22"/>
                <w:szCs w:val="22"/>
              </w:rPr>
              <w:t>and outreach to disadvantaged communities on green jobs created with CPRG funding</w:t>
            </w:r>
          </w:p>
          <w:p w14:paraId="4A9F23B4" w14:textId="1751D5D8" w:rsidR="007C6437" w:rsidRDefault="007C6437" w:rsidP="00356418">
            <w:pPr>
              <w:pStyle w:val="BodyText"/>
              <w:numPr>
                <w:ilvl w:val="0"/>
                <w:numId w:val="14"/>
              </w:numPr>
              <w:ind w:left="296" w:right="597" w:hanging="270"/>
              <w:rPr>
                <w:sz w:val="22"/>
                <w:szCs w:val="22"/>
              </w:rPr>
            </w:pPr>
            <w:r>
              <w:rPr>
                <w:sz w:val="22"/>
                <w:szCs w:val="22"/>
              </w:rPr>
              <w:t xml:space="preserve">Travel to </w:t>
            </w:r>
            <w:r w:rsidR="00B370D2">
              <w:rPr>
                <w:sz w:val="22"/>
                <w:szCs w:val="22"/>
              </w:rPr>
              <w:t>annual conferences or workshops to provide a presentation on or discuss the project</w:t>
            </w:r>
            <w:r w:rsidR="00DC01A2">
              <w:rPr>
                <w:sz w:val="22"/>
                <w:szCs w:val="22"/>
              </w:rPr>
              <w:t xml:space="preserve"> that EPA hosts or other stakeholders host in order to provide </w:t>
            </w:r>
            <w:r w:rsidR="00FF1F11">
              <w:rPr>
                <w:sz w:val="22"/>
                <w:szCs w:val="22"/>
              </w:rPr>
              <w:t>awareness and outreach on the project</w:t>
            </w:r>
          </w:p>
          <w:p w14:paraId="31DF247A" w14:textId="57C5F67E" w:rsidR="00ED6E53" w:rsidRDefault="00ED6E53" w:rsidP="00356418">
            <w:pPr>
              <w:pStyle w:val="BodyText"/>
              <w:numPr>
                <w:ilvl w:val="0"/>
                <w:numId w:val="14"/>
              </w:numPr>
              <w:ind w:left="296" w:right="597" w:hanging="270"/>
              <w:rPr>
                <w:sz w:val="22"/>
                <w:szCs w:val="22"/>
              </w:rPr>
            </w:pPr>
            <w:r>
              <w:rPr>
                <w:sz w:val="22"/>
                <w:szCs w:val="22"/>
              </w:rPr>
              <w:t>Prepare semiannual Progress Reports and submit to EPA</w:t>
            </w:r>
          </w:p>
          <w:p w14:paraId="1E81EE83" w14:textId="69B28061" w:rsidR="00ED6E53" w:rsidRDefault="00ED6E53" w:rsidP="00356418">
            <w:pPr>
              <w:pStyle w:val="BodyText"/>
              <w:numPr>
                <w:ilvl w:val="0"/>
                <w:numId w:val="14"/>
              </w:numPr>
              <w:ind w:left="296" w:right="597" w:hanging="270"/>
              <w:rPr>
                <w:sz w:val="22"/>
                <w:szCs w:val="22"/>
              </w:rPr>
            </w:pPr>
            <w:r>
              <w:rPr>
                <w:sz w:val="22"/>
                <w:szCs w:val="22"/>
              </w:rPr>
              <w:t>Prepare end of Year 1 LIDAC Benefits Reports and submit to EPA</w:t>
            </w:r>
          </w:p>
          <w:p w14:paraId="4FEB988F" w14:textId="56DEA4B8" w:rsidR="00ED6E53" w:rsidRDefault="00ED6E53" w:rsidP="00356418">
            <w:pPr>
              <w:pStyle w:val="BodyText"/>
              <w:numPr>
                <w:ilvl w:val="0"/>
                <w:numId w:val="14"/>
              </w:numPr>
              <w:ind w:left="296" w:right="597" w:hanging="270"/>
              <w:rPr>
                <w:sz w:val="22"/>
                <w:szCs w:val="22"/>
              </w:rPr>
            </w:pPr>
            <w:r>
              <w:rPr>
                <w:sz w:val="22"/>
                <w:szCs w:val="22"/>
              </w:rPr>
              <w:t>Prepare Final Report after completion of project and submit to EPA</w:t>
            </w:r>
          </w:p>
        </w:tc>
        <w:tc>
          <w:tcPr>
            <w:tcW w:w="3854" w:type="dxa"/>
          </w:tcPr>
          <w:p w14:paraId="3323E786" w14:textId="77777777" w:rsidR="00ED6E53" w:rsidRDefault="00ED6E53" w:rsidP="00ED6E53">
            <w:r>
              <w:t>Measure #6:</w:t>
            </w:r>
          </w:p>
          <w:p w14:paraId="0375D15B" w14:textId="77777777" w:rsidR="00ED6E53" w:rsidRPr="0078365F" w:rsidRDefault="00ED6E53" w:rsidP="00356418">
            <w:pPr>
              <w:pStyle w:val="ListParagraph"/>
              <w:numPr>
                <w:ilvl w:val="0"/>
                <w:numId w:val="3"/>
              </w:numPr>
              <w:ind w:left="280" w:hanging="270"/>
            </w:pPr>
            <w:r w:rsidRPr="0078365F">
              <w:t xml:space="preserve">R-01. Residential Heat Pump or High-Efficiency A/C Retrofits and Commissioning. </w:t>
            </w:r>
          </w:p>
          <w:p w14:paraId="59ED4315" w14:textId="77777777" w:rsidR="00ED6E53" w:rsidRPr="0078365F" w:rsidRDefault="00ED6E53" w:rsidP="00356418">
            <w:pPr>
              <w:pStyle w:val="ListParagraph"/>
              <w:numPr>
                <w:ilvl w:val="0"/>
                <w:numId w:val="3"/>
              </w:numPr>
              <w:ind w:left="280" w:hanging="270"/>
            </w:pPr>
            <w:r w:rsidRPr="0078365F">
              <w:t xml:space="preserve">R-03. Residential LED Lighting. </w:t>
            </w:r>
          </w:p>
          <w:p w14:paraId="7E337137" w14:textId="77777777" w:rsidR="00ED6E53" w:rsidRPr="0078365F" w:rsidRDefault="00ED6E53" w:rsidP="00356418">
            <w:pPr>
              <w:pStyle w:val="ListParagraph"/>
              <w:numPr>
                <w:ilvl w:val="0"/>
                <w:numId w:val="3"/>
              </w:numPr>
              <w:ind w:left="280" w:hanging="270"/>
            </w:pPr>
            <w:r w:rsidRPr="0078365F">
              <w:t xml:space="preserve">R-04. Residential Enclosure Upgrades (with roof assessment). </w:t>
            </w:r>
          </w:p>
          <w:p w14:paraId="168B3D19" w14:textId="77777777" w:rsidR="00ED6E53" w:rsidRPr="0078365F" w:rsidRDefault="00ED6E53" w:rsidP="00356418">
            <w:pPr>
              <w:pStyle w:val="ListParagraph"/>
              <w:numPr>
                <w:ilvl w:val="0"/>
                <w:numId w:val="3"/>
              </w:numPr>
              <w:ind w:left="280" w:hanging="270"/>
            </w:pPr>
            <w:r w:rsidRPr="0078365F">
              <w:t xml:space="preserve">R-05. Residential Window, Door, and Skylight Replacement with Assessment. </w:t>
            </w:r>
          </w:p>
          <w:p w14:paraId="76B3B422" w14:textId="77777777" w:rsidR="00ED6E53" w:rsidRPr="0078365F" w:rsidRDefault="00ED6E53" w:rsidP="00356418">
            <w:pPr>
              <w:pStyle w:val="ListParagraph"/>
              <w:numPr>
                <w:ilvl w:val="0"/>
                <w:numId w:val="3"/>
              </w:numPr>
              <w:ind w:left="280" w:hanging="270"/>
            </w:pPr>
            <w:r w:rsidRPr="0078365F">
              <w:t xml:space="preserve">R-06. Residential Efficient Appliances and Plug Load Management. </w:t>
            </w:r>
          </w:p>
          <w:p w14:paraId="67126433" w14:textId="77777777" w:rsidR="00ED6E53" w:rsidRPr="0078365F" w:rsidRDefault="00ED6E53" w:rsidP="00356418">
            <w:pPr>
              <w:pStyle w:val="ListParagraph"/>
              <w:numPr>
                <w:ilvl w:val="0"/>
                <w:numId w:val="3"/>
              </w:numPr>
              <w:ind w:left="280" w:hanging="270"/>
            </w:pPr>
            <w:r w:rsidRPr="0078365F">
              <w:t xml:space="preserve">R-07. Domestic Heat Pump for Hot Water. </w:t>
            </w:r>
          </w:p>
          <w:p w14:paraId="479AEF70" w14:textId="77777777" w:rsidR="00ED6E53" w:rsidRPr="0078365F" w:rsidRDefault="00ED6E53" w:rsidP="00356418">
            <w:pPr>
              <w:pStyle w:val="ListParagraph"/>
              <w:numPr>
                <w:ilvl w:val="0"/>
                <w:numId w:val="3"/>
              </w:numPr>
              <w:ind w:left="280" w:hanging="270"/>
            </w:pPr>
            <w:r w:rsidRPr="0078365F">
              <w:t xml:space="preserve">R-09. Residential Smart Thermostats. </w:t>
            </w:r>
          </w:p>
          <w:p w14:paraId="1DE07FA5" w14:textId="77777777" w:rsidR="00ED6E53" w:rsidRPr="0078365F" w:rsidRDefault="00ED6E53" w:rsidP="00ED6E53"/>
          <w:p w14:paraId="488D9C41" w14:textId="77777777" w:rsidR="00ED6E53" w:rsidRPr="0078365F" w:rsidRDefault="00ED6E53" w:rsidP="00ED6E53">
            <w:r w:rsidRPr="0078365F">
              <w:t>Measure #7:</w:t>
            </w:r>
          </w:p>
          <w:p w14:paraId="0C15C7BA" w14:textId="77777777" w:rsidR="00ED6E53" w:rsidRDefault="00ED6E53" w:rsidP="00356418">
            <w:pPr>
              <w:pStyle w:val="ListParagraph"/>
              <w:widowControl/>
              <w:numPr>
                <w:ilvl w:val="0"/>
                <w:numId w:val="4"/>
              </w:numPr>
              <w:adjustRightInd w:val="0"/>
              <w:ind w:left="370"/>
              <w:rPr>
                <w:rFonts w:eastAsiaTheme="minorHAnsi"/>
                <w:color w:val="000000"/>
                <w:lang w:bidi="ar-SA"/>
                <w14:ligatures w14:val="standardContextual"/>
              </w:rPr>
            </w:pPr>
            <w:r w:rsidRPr="004F61AF">
              <w:rPr>
                <w:rFonts w:eastAsiaTheme="minorHAnsi"/>
                <w:lang w:bidi="ar-SA"/>
                <w14:ligatures w14:val="standardContextual"/>
              </w:rPr>
              <w:t xml:space="preserve">R-02. </w:t>
            </w:r>
            <w:r w:rsidRPr="0078365F">
              <w:rPr>
                <w:rFonts w:eastAsiaTheme="minorHAnsi"/>
                <w:color w:val="000000"/>
                <w:lang w:bidi="ar-SA"/>
                <w14:ligatures w14:val="standardContextual"/>
              </w:rPr>
              <w:t xml:space="preserve">Solar Photovoltaics (PV). </w:t>
            </w:r>
          </w:p>
          <w:p w14:paraId="1C488E7A" w14:textId="7BE7F102" w:rsidR="00ED6E53" w:rsidRPr="00BF28BA" w:rsidRDefault="00ED6E53" w:rsidP="00356418">
            <w:pPr>
              <w:pStyle w:val="ListParagraph"/>
              <w:widowControl/>
              <w:numPr>
                <w:ilvl w:val="0"/>
                <w:numId w:val="4"/>
              </w:numPr>
              <w:adjustRightInd w:val="0"/>
              <w:ind w:left="370"/>
              <w:rPr>
                <w:rFonts w:eastAsiaTheme="minorHAnsi"/>
                <w:color w:val="000000"/>
                <w:lang w:bidi="ar-SA"/>
                <w14:ligatures w14:val="standardContextual"/>
              </w:rPr>
            </w:pPr>
            <w:r w:rsidRPr="00BF28BA">
              <w:rPr>
                <w:rFonts w:eastAsiaTheme="minorHAnsi"/>
                <w:lang w:bidi="ar-SA"/>
                <w14:ligatures w14:val="standardContextual"/>
              </w:rPr>
              <w:t xml:space="preserve">R-08. </w:t>
            </w:r>
            <w:r w:rsidRPr="00BF28BA">
              <w:rPr>
                <w:rFonts w:eastAsiaTheme="minorHAnsi"/>
                <w:color w:val="000000"/>
                <w:lang w:bidi="ar-SA"/>
                <w14:ligatures w14:val="standardContextual"/>
              </w:rPr>
              <w:t>Domestic Solar Hot Water Heater</w:t>
            </w:r>
            <w:r w:rsidRPr="00BF28BA">
              <w:rPr>
                <w:rFonts w:eastAsiaTheme="minorHAnsi"/>
                <w:i/>
                <w:iCs/>
                <w:color w:val="000000"/>
                <w:lang w:bidi="ar-SA"/>
                <w14:ligatures w14:val="standardContextual"/>
              </w:rPr>
              <w:t>.</w:t>
            </w:r>
          </w:p>
        </w:tc>
      </w:tr>
    </w:tbl>
    <w:p w14:paraId="68240B2E" w14:textId="77777777" w:rsidR="00D35B3D" w:rsidRDefault="00D35B3D" w:rsidP="007C5290">
      <w:pPr>
        <w:pStyle w:val="BodyText"/>
        <w:spacing w:before="161"/>
        <w:ind w:right="597"/>
        <w:rPr>
          <w:sz w:val="22"/>
          <w:szCs w:val="22"/>
        </w:rPr>
      </w:pPr>
    </w:p>
    <w:p w14:paraId="707857D0" w14:textId="34ACE6EE" w:rsidR="0085013E" w:rsidRDefault="0085013E" w:rsidP="00FA0CAE">
      <w:pPr>
        <w:pStyle w:val="BodyText"/>
        <w:ind w:right="590"/>
        <w:rPr>
          <w:sz w:val="22"/>
          <w:szCs w:val="22"/>
        </w:rPr>
      </w:pPr>
      <w:r>
        <w:rPr>
          <w:sz w:val="22"/>
          <w:szCs w:val="22"/>
        </w:rPr>
        <w:t xml:space="preserve">The following </w:t>
      </w:r>
      <w:r w:rsidR="003F5B16">
        <w:rPr>
          <w:sz w:val="22"/>
          <w:szCs w:val="22"/>
        </w:rPr>
        <w:t>Implementation</w:t>
      </w:r>
      <w:r>
        <w:rPr>
          <w:sz w:val="22"/>
          <w:szCs w:val="22"/>
        </w:rPr>
        <w:t xml:space="preserve"> Milestones and Timeline</w:t>
      </w:r>
      <w:r w:rsidR="00CB18ED">
        <w:rPr>
          <w:sz w:val="22"/>
          <w:szCs w:val="22"/>
        </w:rPr>
        <w:t xml:space="preserve"> </w:t>
      </w:r>
      <w:r w:rsidR="003F5B16">
        <w:rPr>
          <w:sz w:val="22"/>
          <w:szCs w:val="22"/>
        </w:rPr>
        <w:t>will be adhered to:</w:t>
      </w:r>
    </w:p>
    <w:p w14:paraId="69B17BB9" w14:textId="77777777" w:rsidR="00FA0CAE" w:rsidRDefault="00FA0CAE" w:rsidP="00FA0CAE">
      <w:pPr>
        <w:pStyle w:val="BodyText"/>
        <w:ind w:right="590"/>
        <w:rPr>
          <w:b/>
          <w:bCs/>
          <w:sz w:val="22"/>
          <w:szCs w:val="22"/>
        </w:rPr>
      </w:pPr>
    </w:p>
    <w:p w14:paraId="4D5CDF7C" w14:textId="35A3D865" w:rsidR="00264E93" w:rsidRPr="00D6275F" w:rsidRDefault="00D6275F" w:rsidP="00FA0CAE">
      <w:pPr>
        <w:pStyle w:val="BodyText"/>
        <w:ind w:right="590"/>
        <w:rPr>
          <w:b/>
          <w:bCs/>
          <w:sz w:val="22"/>
          <w:szCs w:val="22"/>
        </w:rPr>
      </w:pPr>
      <w:r w:rsidRPr="00D6275F">
        <w:rPr>
          <w:b/>
          <w:bCs/>
          <w:sz w:val="22"/>
          <w:szCs w:val="22"/>
        </w:rPr>
        <w:t>Implementation Timeline and Milestones</w:t>
      </w:r>
    </w:p>
    <w:tbl>
      <w:tblPr>
        <w:tblW w:w="10075" w:type="dxa"/>
        <w:tblCellMar>
          <w:top w:w="14" w:type="dxa"/>
          <w:bottom w:w="14" w:type="dxa"/>
        </w:tblCellMar>
        <w:tblLook w:val="04A0" w:firstRow="1" w:lastRow="0" w:firstColumn="1" w:lastColumn="0" w:noHBand="0" w:noVBand="1"/>
      </w:tblPr>
      <w:tblGrid>
        <w:gridCol w:w="5211"/>
        <w:gridCol w:w="1657"/>
        <w:gridCol w:w="3207"/>
      </w:tblGrid>
      <w:tr w:rsidR="000565E8" w:rsidRPr="00C35B0B" w14:paraId="1C5CD8DD" w14:textId="77777777" w:rsidTr="005E4D39">
        <w:trPr>
          <w:trHeight w:val="288"/>
        </w:trPr>
        <w:tc>
          <w:tcPr>
            <w:tcW w:w="10075" w:type="dxa"/>
            <w:gridSpan w:val="3"/>
            <w:tcBorders>
              <w:top w:val="single" w:sz="4" w:space="0" w:color="auto"/>
              <w:left w:val="single" w:sz="4" w:space="0" w:color="auto"/>
              <w:bottom w:val="single" w:sz="4" w:space="0" w:color="auto"/>
              <w:right w:val="single" w:sz="4" w:space="0" w:color="auto"/>
            </w:tcBorders>
            <w:shd w:val="clear" w:color="auto" w:fill="A02B93" w:themeFill="accent5"/>
            <w:noWrap/>
            <w:vAlign w:val="bottom"/>
          </w:tcPr>
          <w:p w14:paraId="199C4DAE" w14:textId="1BF9DD81" w:rsidR="000565E8" w:rsidRPr="00C35B0B" w:rsidRDefault="000565E8" w:rsidP="00676B00">
            <w:pPr>
              <w:widowControl/>
              <w:autoSpaceDE/>
              <w:autoSpaceDN/>
              <w:jc w:val="center"/>
              <w:rPr>
                <w:rFonts w:eastAsia="Times New Roman"/>
                <w:b/>
                <w:bCs/>
                <w:color w:val="000000"/>
                <w:lang w:bidi="ar-SA"/>
              </w:rPr>
            </w:pPr>
            <w:r w:rsidRPr="00C35B0B">
              <w:rPr>
                <w:rFonts w:eastAsia="Times New Roman"/>
                <w:b/>
                <w:bCs/>
                <w:color w:val="FFFFFF" w:themeColor="background1"/>
                <w:lang w:bidi="ar-SA"/>
              </w:rPr>
              <w:t>YEAR 1 (OCTOBER 2024 – SEPTEMBER</w:t>
            </w:r>
            <w:r w:rsidR="00D658AF" w:rsidRPr="00C35B0B">
              <w:rPr>
                <w:rFonts w:eastAsia="Times New Roman"/>
                <w:b/>
                <w:bCs/>
                <w:color w:val="FFFFFF" w:themeColor="background1"/>
                <w:lang w:bidi="ar-SA"/>
              </w:rPr>
              <w:t xml:space="preserve"> </w:t>
            </w:r>
            <w:r w:rsidRPr="00C35B0B">
              <w:rPr>
                <w:rFonts w:eastAsia="Times New Roman"/>
                <w:b/>
                <w:bCs/>
                <w:color w:val="FFFFFF" w:themeColor="background1"/>
                <w:lang w:bidi="ar-SA"/>
              </w:rPr>
              <w:t xml:space="preserve"> 2024)</w:t>
            </w:r>
          </w:p>
        </w:tc>
      </w:tr>
      <w:tr w:rsidR="00B1037E" w:rsidRPr="00C35B0B" w14:paraId="40AE9967" w14:textId="77777777" w:rsidTr="005E4D39">
        <w:trPr>
          <w:trHeight w:val="288"/>
        </w:trPr>
        <w:tc>
          <w:tcPr>
            <w:tcW w:w="10075" w:type="dxa"/>
            <w:gridSpan w:val="3"/>
            <w:tcBorders>
              <w:top w:val="single" w:sz="4" w:space="0" w:color="auto"/>
              <w:left w:val="single" w:sz="4" w:space="0" w:color="auto"/>
              <w:bottom w:val="single" w:sz="4" w:space="0" w:color="auto"/>
              <w:right w:val="single" w:sz="4" w:space="0" w:color="auto"/>
            </w:tcBorders>
            <w:shd w:val="clear" w:color="000000" w:fill="E49EDD"/>
            <w:noWrap/>
            <w:vAlign w:val="bottom"/>
            <w:hideMark/>
          </w:tcPr>
          <w:p w14:paraId="4741C1A4"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Task 0: Project Administration</w:t>
            </w:r>
          </w:p>
        </w:tc>
      </w:tr>
      <w:tr w:rsidR="00D658AF" w:rsidRPr="00C35B0B" w14:paraId="610C9EDA" w14:textId="77777777" w:rsidTr="005E4D39">
        <w:trPr>
          <w:trHeight w:val="288"/>
        </w:trPr>
        <w:tc>
          <w:tcPr>
            <w:tcW w:w="0" w:type="auto"/>
            <w:tcBorders>
              <w:top w:val="nil"/>
              <w:left w:val="single" w:sz="4" w:space="0" w:color="auto"/>
              <w:bottom w:val="single" w:sz="4" w:space="0" w:color="auto"/>
              <w:right w:val="single" w:sz="4" w:space="0" w:color="auto"/>
            </w:tcBorders>
            <w:shd w:val="clear" w:color="000000" w:fill="F2CEED"/>
            <w:vAlign w:val="center"/>
            <w:hideMark/>
          </w:tcPr>
          <w:p w14:paraId="053FE2AF"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Activity</w:t>
            </w:r>
          </w:p>
        </w:tc>
        <w:tc>
          <w:tcPr>
            <w:tcW w:w="0" w:type="auto"/>
            <w:tcBorders>
              <w:top w:val="nil"/>
              <w:left w:val="nil"/>
              <w:bottom w:val="single" w:sz="4" w:space="0" w:color="auto"/>
              <w:right w:val="single" w:sz="4" w:space="0" w:color="auto"/>
            </w:tcBorders>
            <w:shd w:val="clear" w:color="000000" w:fill="F2CEED"/>
            <w:vAlign w:val="center"/>
            <w:hideMark/>
          </w:tcPr>
          <w:p w14:paraId="7EE7F404"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Responsible Entity</w:t>
            </w:r>
          </w:p>
        </w:tc>
        <w:tc>
          <w:tcPr>
            <w:tcW w:w="3207" w:type="dxa"/>
            <w:tcBorders>
              <w:top w:val="nil"/>
              <w:left w:val="nil"/>
              <w:bottom w:val="single" w:sz="4" w:space="0" w:color="auto"/>
              <w:right w:val="single" w:sz="4" w:space="0" w:color="auto"/>
            </w:tcBorders>
            <w:shd w:val="clear" w:color="000000" w:fill="F2CEED"/>
            <w:vAlign w:val="center"/>
            <w:hideMark/>
          </w:tcPr>
          <w:p w14:paraId="2389303F"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Dates</w:t>
            </w:r>
          </w:p>
        </w:tc>
      </w:tr>
      <w:tr w:rsidR="00B1037E" w:rsidRPr="00C35B0B" w14:paraId="7D60A148"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C36F35A"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Project start date</w:t>
            </w:r>
          </w:p>
        </w:tc>
        <w:tc>
          <w:tcPr>
            <w:tcW w:w="0" w:type="auto"/>
            <w:tcBorders>
              <w:top w:val="nil"/>
              <w:left w:val="nil"/>
              <w:bottom w:val="single" w:sz="4" w:space="0" w:color="auto"/>
              <w:right w:val="single" w:sz="4" w:space="0" w:color="auto"/>
            </w:tcBorders>
            <w:shd w:val="clear" w:color="auto" w:fill="auto"/>
            <w:noWrap/>
            <w:vAlign w:val="bottom"/>
            <w:hideMark/>
          </w:tcPr>
          <w:p w14:paraId="23229B97" w14:textId="2373B2A6"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E78AF">
              <w:rPr>
                <w:rFonts w:eastAsia="Times New Roman"/>
                <w:color w:val="000000"/>
                <w:lang w:bidi="ar-SA"/>
              </w:rPr>
              <w:t>EPA</w:t>
            </w:r>
          </w:p>
        </w:tc>
        <w:tc>
          <w:tcPr>
            <w:tcW w:w="3207" w:type="dxa"/>
            <w:tcBorders>
              <w:top w:val="nil"/>
              <w:left w:val="nil"/>
              <w:bottom w:val="single" w:sz="4" w:space="0" w:color="auto"/>
              <w:right w:val="single" w:sz="4" w:space="0" w:color="auto"/>
            </w:tcBorders>
            <w:shd w:val="clear" w:color="auto" w:fill="auto"/>
            <w:noWrap/>
            <w:vAlign w:val="bottom"/>
            <w:hideMark/>
          </w:tcPr>
          <w:p w14:paraId="01B7A5CF" w14:textId="0F148B5F" w:rsidR="00B1037E" w:rsidRPr="00C35B0B" w:rsidRDefault="008C7DE6" w:rsidP="00676B00">
            <w:pPr>
              <w:widowControl/>
              <w:autoSpaceDE/>
              <w:autoSpaceDN/>
              <w:jc w:val="right"/>
              <w:rPr>
                <w:rFonts w:eastAsia="Times New Roman"/>
                <w:color w:val="000000"/>
                <w:lang w:bidi="ar-SA"/>
              </w:rPr>
            </w:pPr>
            <w:r w:rsidRPr="00C35B0B">
              <w:rPr>
                <w:rFonts w:eastAsia="Times New Roman"/>
                <w:color w:val="000000"/>
                <w:lang w:bidi="ar-SA"/>
              </w:rPr>
              <w:t>October 20</w:t>
            </w:r>
            <w:r w:rsidR="00B1037E" w:rsidRPr="00C35B0B">
              <w:rPr>
                <w:rFonts w:eastAsia="Times New Roman"/>
                <w:color w:val="000000"/>
                <w:lang w:bidi="ar-SA"/>
              </w:rPr>
              <w:t>24</w:t>
            </w:r>
          </w:p>
        </w:tc>
      </w:tr>
      <w:tr w:rsidR="00B1037E" w:rsidRPr="00C35B0B" w14:paraId="6AFF7CCD"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F183201"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Accept grant funds through City Commission</w:t>
            </w:r>
          </w:p>
        </w:tc>
        <w:tc>
          <w:tcPr>
            <w:tcW w:w="0" w:type="auto"/>
            <w:tcBorders>
              <w:top w:val="nil"/>
              <w:left w:val="nil"/>
              <w:bottom w:val="single" w:sz="4" w:space="0" w:color="auto"/>
              <w:right w:val="single" w:sz="4" w:space="0" w:color="auto"/>
            </w:tcBorders>
            <w:shd w:val="clear" w:color="auto" w:fill="auto"/>
            <w:noWrap/>
            <w:vAlign w:val="bottom"/>
            <w:hideMark/>
          </w:tcPr>
          <w:p w14:paraId="5E434207" w14:textId="2368981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FB2099"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5548F583" w14:textId="0510B6B4" w:rsidR="00B1037E" w:rsidRPr="00C35B0B" w:rsidRDefault="008C7DE6" w:rsidP="00676B00">
            <w:pPr>
              <w:widowControl/>
              <w:autoSpaceDE/>
              <w:autoSpaceDN/>
              <w:jc w:val="right"/>
              <w:rPr>
                <w:rFonts w:eastAsia="Times New Roman"/>
                <w:color w:val="000000"/>
                <w:lang w:bidi="ar-SA"/>
              </w:rPr>
            </w:pPr>
            <w:r w:rsidRPr="00C35B0B">
              <w:rPr>
                <w:rFonts w:eastAsia="Times New Roman"/>
                <w:color w:val="000000"/>
                <w:lang w:bidi="ar-SA"/>
              </w:rPr>
              <w:t>December 2024</w:t>
            </w:r>
          </w:p>
        </w:tc>
      </w:tr>
      <w:tr w:rsidR="00B1037E" w:rsidRPr="00C35B0B" w14:paraId="6A23C53C"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663B8FC"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Hire Project Manager for Office of Resilience and Sustainability</w:t>
            </w:r>
          </w:p>
        </w:tc>
        <w:tc>
          <w:tcPr>
            <w:tcW w:w="0" w:type="auto"/>
            <w:tcBorders>
              <w:top w:val="nil"/>
              <w:left w:val="nil"/>
              <w:bottom w:val="single" w:sz="4" w:space="0" w:color="auto"/>
              <w:right w:val="single" w:sz="4" w:space="0" w:color="auto"/>
            </w:tcBorders>
            <w:shd w:val="clear" w:color="auto" w:fill="auto"/>
            <w:noWrap/>
            <w:vAlign w:val="bottom"/>
            <w:hideMark/>
          </w:tcPr>
          <w:p w14:paraId="1ABC86C6" w14:textId="3C60D9C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4D8B0AA2" w14:textId="77777777"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October 2024 – January 2025</w:t>
            </w:r>
          </w:p>
        </w:tc>
      </w:tr>
      <w:tr w:rsidR="00B1037E" w:rsidRPr="00C35B0B" w14:paraId="52DAF2B1"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9528D93"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Hire Project Manager for Office of Capital Improvements</w:t>
            </w:r>
          </w:p>
        </w:tc>
        <w:tc>
          <w:tcPr>
            <w:tcW w:w="0" w:type="auto"/>
            <w:tcBorders>
              <w:top w:val="nil"/>
              <w:left w:val="nil"/>
              <w:bottom w:val="single" w:sz="4" w:space="0" w:color="auto"/>
              <w:right w:val="single" w:sz="4" w:space="0" w:color="auto"/>
            </w:tcBorders>
            <w:shd w:val="clear" w:color="auto" w:fill="auto"/>
            <w:noWrap/>
            <w:vAlign w:val="bottom"/>
            <w:hideMark/>
          </w:tcPr>
          <w:p w14:paraId="6F0E2720" w14:textId="0139F47E"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OCI</w:t>
            </w:r>
          </w:p>
        </w:tc>
        <w:tc>
          <w:tcPr>
            <w:tcW w:w="3207" w:type="dxa"/>
            <w:tcBorders>
              <w:top w:val="nil"/>
              <w:left w:val="nil"/>
              <w:bottom w:val="single" w:sz="4" w:space="0" w:color="auto"/>
              <w:right w:val="single" w:sz="4" w:space="0" w:color="auto"/>
            </w:tcBorders>
            <w:shd w:val="clear" w:color="auto" w:fill="auto"/>
            <w:vAlign w:val="center"/>
            <w:hideMark/>
          </w:tcPr>
          <w:p w14:paraId="0CFFF808" w14:textId="77777777"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October 2024 – January 2025</w:t>
            </w:r>
          </w:p>
        </w:tc>
      </w:tr>
      <w:tr w:rsidR="00B1037E" w:rsidRPr="00C35B0B" w14:paraId="04B42D25"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49D5B73"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Complete Quality Assurance Plan</w:t>
            </w:r>
          </w:p>
        </w:tc>
        <w:tc>
          <w:tcPr>
            <w:tcW w:w="0" w:type="auto"/>
            <w:tcBorders>
              <w:top w:val="nil"/>
              <w:left w:val="nil"/>
              <w:bottom w:val="single" w:sz="4" w:space="0" w:color="auto"/>
              <w:right w:val="single" w:sz="4" w:space="0" w:color="auto"/>
            </w:tcBorders>
            <w:shd w:val="clear" w:color="auto" w:fill="auto"/>
            <w:noWrap/>
            <w:vAlign w:val="bottom"/>
            <w:hideMark/>
          </w:tcPr>
          <w:p w14:paraId="13CA1AE1" w14:textId="0D1F70AE"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4B75E3E2" w14:textId="70178967" w:rsidR="00B1037E" w:rsidRPr="00C35B0B" w:rsidRDefault="00867EB6" w:rsidP="00676B00">
            <w:pPr>
              <w:widowControl/>
              <w:autoSpaceDE/>
              <w:autoSpaceDN/>
              <w:jc w:val="right"/>
              <w:rPr>
                <w:rFonts w:eastAsia="Times New Roman"/>
                <w:color w:val="000000"/>
                <w:lang w:bidi="ar-SA"/>
              </w:rPr>
            </w:pPr>
            <w:r w:rsidRPr="00C35B0B">
              <w:rPr>
                <w:rFonts w:eastAsia="Times New Roman"/>
                <w:color w:val="000000"/>
                <w:lang w:bidi="ar-SA"/>
              </w:rPr>
              <w:t>February 20</w:t>
            </w:r>
            <w:r w:rsidR="00B1037E" w:rsidRPr="00C35B0B">
              <w:rPr>
                <w:rFonts w:eastAsia="Times New Roman"/>
                <w:color w:val="000000"/>
                <w:lang w:bidi="ar-SA"/>
              </w:rPr>
              <w:t>25</w:t>
            </w:r>
          </w:p>
        </w:tc>
      </w:tr>
      <w:tr w:rsidR="00B1037E" w:rsidRPr="00C35B0B" w14:paraId="45DD6799"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F34A854"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Procurement of Contractor for Keep Safe Program</w:t>
            </w:r>
          </w:p>
        </w:tc>
        <w:tc>
          <w:tcPr>
            <w:tcW w:w="0" w:type="auto"/>
            <w:tcBorders>
              <w:top w:val="nil"/>
              <w:left w:val="nil"/>
              <w:bottom w:val="single" w:sz="4" w:space="0" w:color="auto"/>
              <w:right w:val="single" w:sz="4" w:space="0" w:color="auto"/>
            </w:tcBorders>
            <w:shd w:val="clear" w:color="auto" w:fill="auto"/>
            <w:noWrap/>
            <w:vAlign w:val="bottom"/>
            <w:hideMark/>
          </w:tcPr>
          <w:p w14:paraId="722A67B8" w14:textId="773ABD65"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OCI</w:t>
            </w:r>
          </w:p>
        </w:tc>
        <w:tc>
          <w:tcPr>
            <w:tcW w:w="3207" w:type="dxa"/>
            <w:tcBorders>
              <w:top w:val="nil"/>
              <w:left w:val="nil"/>
              <w:bottom w:val="single" w:sz="4" w:space="0" w:color="auto"/>
              <w:right w:val="single" w:sz="4" w:space="0" w:color="auto"/>
            </w:tcBorders>
            <w:shd w:val="clear" w:color="auto" w:fill="auto"/>
            <w:vAlign w:val="center"/>
            <w:hideMark/>
          </w:tcPr>
          <w:p w14:paraId="5FD9E970" w14:textId="77777777"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November 2024 – May 2025</w:t>
            </w:r>
          </w:p>
        </w:tc>
      </w:tr>
      <w:tr w:rsidR="00B1037E" w:rsidRPr="00C35B0B" w14:paraId="230B16D8"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9DC205D"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Procurement of Contractor for Homeowner Preservation Program</w:t>
            </w:r>
          </w:p>
        </w:tc>
        <w:tc>
          <w:tcPr>
            <w:tcW w:w="0" w:type="auto"/>
            <w:tcBorders>
              <w:top w:val="nil"/>
              <w:left w:val="nil"/>
              <w:bottom w:val="single" w:sz="4" w:space="0" w:color="auto"/>
              <w:right w:val="single" w:sz="4" w:space="0" w:color="auto"/>
            </w:tcBorders>
            <w:shd w:val="clear" w:color="auto" w:fill="auto"/>
            <w:noWrap/>
            <w:vAlign w:val="bottom"/>
            <w:hideMark/>
          </w:tcPr>
          <w:p w14:paraId="6CD26A12" w14:textId="1E963916"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OCI</w:t>
            </w:r>
          </w:p>
        </w:tc>
        <w:tc>
          <w:tcPr>
            <w:tcW w:w="3207" w:type="dxa"/>
            <w:tcBorders>
              <w:top w:val="nil"/>
              <w:left w:val="nil"/>
              <w:bottom w:val="single" w:sz="4" w:space="0" w:color="auto"/>
              <w:right w:val="single" w:sz="4" w:space="0" w:color="auto"/>
            </w:tcBorders>
            <w:shd w:val="clear" w:color="auto" w:fill="auto"/>
            <w:vAlign w:val="center"/>
            <w:hideMark/>
          </w:tcPr>
          <w:p w14:paraId="5F3C3005" w14:textId="77777777"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November 2024 – May 2025</w:t>
            </w:r>
          </w:p>
        </w:tc>
      </w:tr>
      <w:tr w:rsidR="00B1037E" w:rsidRPr="00C35B0B" w14:paraId="04D0B9AC"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B782CF0"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Procurement of Contractor for Miami Cools Program</w:t>
            </w:r>
          </w:p>
        </w:tc>
        <w:tc>
          <w:tcPr>
            <w:tcW w:w="0" w:type="auto"/>
            <w:tcBorders>
              <w:top w:val="nil"/>
              <w:left w:val="nil"/>
              <w:bottom w:val="single" w:sz="4" w:space="0" w:color="auto"/>
              <w:right w:val="single" w:sz="4" w:space="0" w:color="auto"/>
            </w:tcBorders>
            <w:shd w:val="clear" w:color="auto" w:fill="auto"/>
            <w:noWrap/>
            <w:vAlign w:val="bottom"/>
            <w:hideMark/>
          </w:tcPr>
          <w:p w14:paraId="4C60F689" w14:textId="58DEA174"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OCI</w:t>
            </w:r>
          </w:p>
        </w:tc>
        <w:tc>
          <w:tcPr>
            <w:tcW w:w="3207" w:type="dxa"/>
            <w:tcBorders>
              <w:top w:val="nil"/>
              <w:left w:val="nil"/>
              <w:bottom w:val="single" w:sz="4" w:space="0" w:color="auto"/>
              <w:right w:val="single" w:sz="4" w:space="0" w:color="auto"/>
            </w:tcBorders>
            <w:shd w:val="clear" w:color="auto" w:fill="auto"/>
            <w:vAlign w:val="center"/>
            <w:hideMark/>
          </w:tcPr>
          <w:p w14:paraId="3EDECFA5" w14:textId="77777777"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November 2024 – May 2025</w:t>
            </w:r>
          </w:p>
        </w:tc>
      </w:tr>
      <w:tr w:rsidR="00B1037E" w:rsidRPr="00C35B0B" w14:paraId="03CDD669"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566FAEF6"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Year 1 Semi-annual EPA Progress Report #1</w:t>
            </w:r>
          </w:p>
        </w:tc>
        <w:tc>
          <w:tcPr>
            <w:tcW w:w="0" w:type="auto"/>
            <w:tcBorders>
              <w:top w:val="nil"/>
              <w:left w:val="nil"/>
              <w:bottom w:val="single" w:sz="4" w:space="0" w:color="auto"/>
              <w:right w:val="single" w:sz="4" w:space="0" w:color="auto"/>
            </w:tcBorders>
            <w:shd w:val="clear" w:color="auto" w:fill="auto"/>
            <w:noWrap/>
            <w:vAlign w:val="bottom"/>
            <w:hideMark/>
          </w:tcPr>
          <w:p w14:paraId="1597E50B" w14:textId="53ADCFB2"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7F3A8A05" w14:textId="464CA2DC" w:rsidR="00B1037E" w:rsidRPr="00C35B0B" w:rsidRDefault="00867EB6" w:rsidP="00676B00">
            <w:pPr>
              <w:widowControl/>
              <w:autoSpaceDE/>
              <w:autoSpaceDN/>
              <w:jc w:val="right"/>
              <w:rPr>
                <w:rFonts w:eastAsia="Times New Roman"/>
                <w:color w:val="000000"/>
                <w:lang w:bidi="ar-SA"/>
              </w:rPr>
            </w:pPr>
            <w:r w:rsidRPr="00C35B0B">
              <w:rPr>
                <w:rFonts w:eastAsia="Times New Roman"/>
                <w:color w:val="000000"/>
                <w:lang w:bidi="ar-SA"/>
              </w:rPr>
              <w:t>March 20</w:t>
            </w:r>
            <w:r w:rsidR="00B1037E" w:rsidRPr="00C35B0B">
              <w:rPr>
                <w:rFonts w:eastAsia="Times New Roman"/>
                <w:color w:val="000000"/>
                <w:lang w:bidi="ar-SA"/>
              </w:rPr>
              <w:t>25</w:t>
            </w:r>
          </w:p>
        </w:tc>
      </w:tr>
      <w:tr w:rsidR="00A55CDF" w:rsidRPr="00C35B0B" w14:paraId="54A25556"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tcPr>
          <w:p w14:paraId="4497FE87" w14:textId="7E8A9247" w:rsidR="00A55CDF" w:rsidRPr="00C35B0B" w:rsidRDefault="009835B5" w:rsidP="00676B00">
            <w:pPr>
              <w:widowControl/>
              <w:autoSpaceDE/>
              <w:autoSpaceDN/>
              <w:rPr>
                <w:rFonts w:eastAsia="Times New Roman"/>
                <w:color w:val="000000"/>
                <w:lang w:bidi="ar-SA"/>
              </w:rPr>
            </w:pPr>
            <w:r>
              <w:rPr>
                <w:rFonts w:eastAsia="Times New Roman"/>
                <w:color w:val="000000"/>
                <w:lang w:bidi="ar-SA"/>
              </w:rPr>
              <w:t>Work with stakeholders to expand the Green Economy</w:t>
            </w:r>
          </w:p>
        </w:tc>
        <w:tc>
          <w:tcPr>
            <w:tcW w:w="0" w:type="auto"/>
            <w:tcBorders>
              <w:top w:val="nil"/>
              <w:left w:val="nil"/>
              <w:bottom w:val="single" w:sz="4" w:space="0" w:color="auto"/>
              <w:right w:val="single" w:sz="4" w:space="0" w:color="auto"/>
            </w:tcBorders>
            <w:shd w:val="clear" w:color="auto" w:fill="auto"/>
            <w:noWrap/>
            <w:vAlign w:val="bottom"/>
          </w:tcPr>
          <w:p w14:paraId="160C5108" w14:textId="0AF2AD75" w:rsidR="00A55CDF" w:rsidRPr="00C35B0B" w:rsidRDefault="00317A35" w:rsidP="00317A35">
            <w:pPr>
              <w:widowControl/>
              <w:autoSpaceDE/>
              <w:autoSpaceDN/>
              <w:rPr>
                <w:rFonts w:eastAsia="Times New Roman"/>
                <w:color w:val="000000"/>
                <w:lang w:bidi="ar-SA"/>
              </w:rPr>
            </w:pPr>
            <w:r w:rsidRPr="00C35B0B">
              <w:rPr>
                <w:rFonts w:eastAsia="Times New Roman"/>
                <w:color w:val="000000"/>
                <w:lang w:bidi="ar-SA"/>
              </w:rPr>
              <w:t> ORS</w:t>
            </w:r>
          </w:p>
        </w:tc>
        <w:tc>
          <w:tcPr>
            <w:tcW w:w="3207" w:type="dxa"/>
            <w:tcBorders>
              <w:top w:val="nil"/>
              <w:left w:val="nil"/>
              <w:bottom w:val="single" w:sz="4" w:space="0" w:color="auto"/>
              <w:right w:val="single" w:sz="4" w:space="0" w:color="auto"/>
            </w:tcBorders>
            <w:shd w:val="clear" w:color="auto" w:fill="auto"/>
            <w:vAlign w:val="center"/>
          </w:tcPr>
          <w:p w14:paraId="718D4BD0" w14:textId="60FC6622" w:rsidR="00A55CDF" w:rsidRPr="00C35B0B" w:rsidRDefault="009835B5" w:rsidP="00676B00">
            <w:pPr>
              <w:widowControl/>
              <w:autoSpaceDE/>
              <w:autoSpaceDN/>
              <w:jc w:val="right"/>
              <w:rPr>
                <w:rFonts w:eastAsia="Times New Roman"/>
                <w:color w:val="000000"/>
                <w:lang w:bidi="ar-SA"/>
              </w:rPr>
            </w:pPr>
            <w:r>
              <w:rPr>
                <w:rFonts w:eastAsia="Times New Roman"/>
                <w:color w:val="000000"/>
                <w:lang w:bidi="ar-SA"/>
              </w:rPr>
              <w:t>May 2025</w:t>
            </w:r>
          </w:p>
        </w:tc>
      </w:tr>
      <w:tr w:rsidR="00B1037E" w:rsidRPr="00C35B0B" w14:paraId="49177196"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1A0BFD2A"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Year 1 Semi-annual EPA Progress Report #2</w:t>
            </w:r>
          </w:p>
          <w:p w14:paraId="0AA71F8A" w14:textId="3D3A396D" w:rsidR="00E7161F" w:rsidRPr="00C35B0B" w:rsidRDefault="00DF2FB5" w:rsidP="00676B00">
            <w:pPr>
              <w:widowControl/>
              <w:autoSpaceDE/>
              <w:autoSpaceDN/>
              <w:rPr>
                <w:rFonts w:eastAsia="Times New Roman"/>
                <w:color w:val="000000"/>
                <w:lang w:bidi="ar-SA"/>
              </w:rPr>
            </w:pPr>
            <w:r w:rsidRPr="00C35B0B">
              <w:rPr>
                <w:rFonts w:eastAsia="Times New Roman"/>
                <w:color w:val="000000"/>
                <w:lang w:bidi="ar-SA"/>
              </w:rPr>
              <w:t xml:space="preserve">(including </w:t>
            </w:r>
            <w:r w:rsidR="004A78CF" w:rsidRPr="00C35B0B">
              <w:rPr>
                <w:rFonts w:eastAsia="Times New Roman"/>
                <w:color w:val="000000"/>
                <w:lang w:bidi="ar-SA"/>
              </w:rPr>
              <w:t>LIDAC Benefits Report</w:t>
            </w:r>
            <w:r w:rsidRPr="00C35B0B">
              <w:rPr>
                <w:rFonts w:eastAsia="Times New Roman"/>
                <w:color w:val="000000"/>
                <w:lang w:bidi="ar-SA"/>
              </w:rPr>
              <w:t>)</w:t>
            </w:r>
          </w:p>
        </w:tc>
        <w:tc>
          <w:tcPr>
            <w:tcW w:w="0" w:type="auto"/>
            <w:tcBorders>
              <w:top w:val="nil"/>
              <w:left w:val="nil"/>
              <w:bottom w:val="single" w:sz="4" w:space="0" w:color="auto"/>
              <w:right w:val="single" w:sz="4" w:space="0" w:color="auto"/>
            </w:tcBorders>
            <w:shd w:val="clear" w:color="auto" w:fill="auto"/>
            <w:noWrap/>
            <w:vAlign w:val="bottom"/>
            <w:hideMark/>
          </w:tcPr>
          <w:p w14:paraId="487196BF" w14:textId="579D5C4F"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DB75F4"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48B0FE45" w14:textId="08F52678" w:rsidR="00B1037E" w:rsidRPr="00C35B0B" w:rsidRDefault="00867EB6" w:rsidP="00676B00">
            <w:pPr>
              <w:widowControl/>
              <w:autoSpaceDE/>
              <w:autoSpaceDN/>
              <w:jc w:val="right"/>
              <w:rPr>
                <w:rFonts w:eastAsia="Times New Roman"/>
                <w:color w:val="000000"/>
                <w:lang w:bidi="ar-SA"/>
              </w:rPr>
            </w:pPr>
            <w:r w:rsidRPr="00C35B0B">
              <w:rPr>
                <w:rFonts w:eastAsia="Times New Roman"/>
                <w:color w:val="000000"/>
                <w:lang w:bidi="ar-SA"/>
              </w:rPr>
              <w:t>September 20</w:t>
            </w:r>
            <w:r w:rsidR="00B1037E" w:rsidRPr="00C35B0B">
              <w:rPr>
                <w:rFonts w:eastAsia="Times New Roman"/>
                <w:color w:val="000000"/>
                <w:lang w:bidi="ar-SA"/>
              </w:rPr>
              <w:t>25</w:t>
            </w:r>
          </w:p>
        </w:tc>
      </w:tr>
      <w:tr w:rsidR="00B1037E" w:rsidRPr="00C35B0B" w14:paraId="359AD2CB" w14:textId="77777777" w:rsidTr="005E4D39">
        <w:trPr>
          <w:trHeight w:val="288"/>
        </w:trPr>
        <w:tc>
          <w:tcPr>
            <w:tcW w:w="10075" w:type="dxa"/>
            <w:gridSpan w:val="3"/>
            <w:tcBorders>
              <w:top w:val="single" w:sz="4" w:space="0" w:color="auto"/>
              <w:left w:val="single" w:sz="4" w:space="0" w:color="auto"/>
              <w:bottom w:val="single" w:sz="4" w:space="0" w:color="auto"/>
              <w:right w:val="single" w:sz="4" w:space="0" w:color="000000"/>
            </w:tcBorders>
            <w:shd w:val="clear" w:color="000000" w:fill="E49EDD"/>
            <w:vAlign w:val="bottom"/>
            <w:hideMark/>
          </w:tcPr>
          <w:p w14:paraId="236D5D23"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Task 1: Keep Safe Miami Program</w:t>
            </w:r>
          </w:p>
        </w:tc>
      </w:tr>
      <w:tr w:rsidR="00D658AF" w:rsidRPr="00C35B0B" w14:paraId="6380DA02" w14:textId="77777777" w:rsidTr="005E4D39">
        <w:trPr>
          <w:trHeight w:val="288"/>
        </w:trPr>
        <w:tc>
          <w:tcPr>
            <w:tcW w:w="0" w:type="auto"/>
            <w:tcBorders>
              <w:top w:val="nil"/>
              <w:left w:val="single" w:sz="4" w:space="0" w:color="auto"/>
              <w:bottom w:val="single" w:sz="4" w:space="0" w:color="auto"/>
              <w:right w:val="single" w:sz="4" w:space="0" w:color="auto"/>
            </w:tcBorders>
            <w:shd w:val="clear" w:color="000000" w:fill="F2CEED"/>
            <w:vAlign w:val="center"/>
            <w:hideMark/>
          </w:tcPr>
          <w:p w14:paraId="0F958FBD"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Activity</w:t>
            </w:r>
          </w:p>
        </w:tc>
        <w:tc>
          <w:tcPr>
            <w:tcW w:w="0" w:type="auto"/>
            <w:tcBorders>
              <w:top w:val="nil"/>
              <w:left w:val="nil"/>
              <w:bottom w:val="single" w:sz="4" w:space="0" w:color="auto"/>
              <w:right w:val="single" w:sz="4" w:space="0" w:color="auto"/>
            </w:tcBorders>
            <w:shd w:val="clear" w:color="000000" w:fill="F2CEED"/>
            <w:vAlign w:val="center"/>
            <w:hideMark/>
          </w:tcPr>
          <w:p w14:paraId="77B7FEE7"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Responsible Entity</w:t>
            </w:r>
          </w:p>
        </w:tc>
        <w:tc>
          <w:tcPr>
            <w:tcW w:w="3207" w:type="dxa"/>
            <w:tcBorders>
              <w:top w:val="nil"/>
              <w:left w:val="nil"/>
              <w:bottom w:val="single" w:sz="4" w:space="0" w:color="auto"/>
              <w:right w:val="single" w:sz="4" w:space="0" w:color="auto"/>
            </w:tcBorders>
            <w:shd w:val="clear" w:color="000000" w:fill="F2CEED"/>
            <w:vAlign w:val="center"/>
            <w:hideMark/>
          </w:tcPr>
          <w:p w14:paraId="68BADB6D"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Dates</w:t>
            </w:r>
          </w:p>
        </w:tc>
      </w:tr>
      <w:tr w:rsidR="00B1037E" w:rsidRPr="00C35B0B" w14:paraId="36446FED"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3870C4"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Develop outreach materials</w:t>
            </w:r>
          </w:p>
        </w:tc>
        <w:tc>
          <w:tcPr>
            <w:tcW w:w="0" w:type="auto"/>
            <w:tcBorders>
              <w:top w:val="nil"/>
              <w:left w:val="nil"/>
              <w:bottom w:val="single" w:sz="4" w:space="0" w:color="auto"/>
              <w:right w:val="single" w:sz="4" w:space="0" w:color="auto"/>
            </w:tcBorders>
            <w:shd w:val="clear" w:color="auto" w:fill="auto"/>
            <w:vAlign w:val="center"/>
            <w:hideMark/>
          </w:tcPr>
          <w:p w14:paraId="4D4AFA93" w14:textId="52F6F628"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FD327B"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507BBE68" w14:textId="5CEEE389" w:rsidR="00B1037E" w:rsidRPr="00C35B0B" w:rsidRDefault="00253D7C" w:rsidP="00676B00">
            <w:pPr>
              <w:widowControl/>
              <w:autoSpaceDE/>
              <w:autoSpaceDN/>
              <w:jc w:val="right"/>
              <w:rPr>
                <w:rFonts w:eastAsia="Times New Roman"/>
                <w:color w:val="000000"/>
                <w:lang w:bidi="ar-SA"/>
              </w:rPr>
            </w:pPr>
            <w:r w:rsidRPr="00C35B0B">
              <w:rPr>
                <w:rFonts w:eastAsia="Times New Roman"/>
                <w:color w:val="000000"/>
                <w:lang w:bidi="ar-SA"/>
              </w:rPr>
              <w:t>March 20</w:t>
            </w:r>
            <w:r w:rsidR="00B1037E" w:rsidRPr="00C35B0B">
              <w:rPr>
                <w:rFonts w:eastAsia="Times New Roman"/>
                <w:color w:val="000000"/>
                <w:lang w:bidi="ar-SA"/>
              </w:rPr>
              <w:t>25</w:t>
            </w:r>
          </w:p>
        </w:tc>
      </w:tr>
      <w:tr w:rsidR="00B1037E" w:rsidRPr="00C35B0B" w14:paraId="6D2E3E55"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86B042"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Provide outreach to eligible building owners/operators</w:t>
            </w:r>
          </w:p>
        </w:tc>
        <w:tc>
          <w:tcPr>
            <w:tcW w:w="0" w:type="auto"/>
            <w:tcBorders>
              <w:top w:val="nil"/>
              <w:left w:val="nil"/>
              <w:bottom w:val="single" w:sz="4" w:space="0" w:color="auto"/>
              <w:right w:val="single" w:sz="4" w:space="0" w:color="auto"/>
            </w:tcBorders>
            <w:shd w:val="clear" w:color="auto" w:fill="auto"/>
            <w:vAlign w:val="center"/>
            <w:hideMark/>
          </w:tcPr>
          <w:p w14:paraId="1C24DA07" w14:textId="553CEAEB"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FD327B" w:rsidRPr="00C35B0B">
              <w:rPr>
                <w:rFonts w:eastAsia="Times New Roman"/>
                <w:color w:val="000000"/>
                <w:lang w:bidi="ar-SA"/>
              </w:rPr>
              <w:t>HCD</w:t>
            </w:r>
          </w:p>
        </w:tc>
        <w:tc>
          <w:tcPr>
            <w:tcW w:w="3207" w:type="dxa"/>
            <w:tcBorders>
              <w:top w:val="nil"/>
              <w:left w:val="nil"/>
              <w:bottom w:val="single" w:sz="4" w:space="0" w:color="auto"/>
              <w:right w:val="single" w:sz="4" w:space="0" w:color="auto"/>
            </w:tcBorders>
            <w:shd w:val="clear" w:color="auto" w:fill="auto"/>
            <w:vAlign w:val="center"/>
            <w:hideMark/>
          </w:tcPr>
          <w:p w14:paraId="4CCCF05F" w14:textId="4FBEEF5E"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 xml:space="preserve">April – </w:t>
            </w:r>
            <w:r w:rsidR="00AA4D56" w:rsidRPr="00C35B0B">
              <w:rPr>
                <w:rFonts w:eastAsia="Times New Roman"/>
                <w:color w:val="000000"/>
                <w:lang w:bidi="ar-SA"/>
              </w:rPr>
              <w:t xml:space="preserve">September </w:t>
            </w:r>
            <w:r w:rsidRPr="00C35B0B">
              <w:rPr>
                <w:rFonts w:eastAsia="Times New Roman"/>
                <w:color w:val="000000"/>
                <w:lang w:bidi="ar-SA"/>
              </w:rPr>
              <w:t>2025</w:t>
            </w:r>
          </w:p>
        </w:tc>
      </w:tr>
      <w:tr w:rsidR="00B1037E" w:rsidRPr="00C35B0B" w14:paraId="72B65994"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1A2A35" w14:textId="3033E51A" w:rsidR="00B1037E" w:rsidRPr="00C35B0B" w:rsidRDefault="00AA4D56" w:rsidP="00676B00">
            <w:pPr>
              <w:widowControl/>
              <w:autoSpaceDE/>
              <w:autoSpaceDN/>
              <w:rPr>
                <w:rFonts w:eastAsia="Times New Roman"/>
                <w:color w:val="000000"/>
                <w:lang w:bidi="ar-SA"/>
              </w:rPr>
            </w:pPr>
            <w:r w:rsidRPr="00C35B0B">
              <w:rPr>
                <w:rFonts w:eastAsia="Times New Roman"/>
                <w:color w:val="000000"/>
                <w:lang w:bidi="ar-SA"/>
              </w:rPr>
              <w:t>Assist building owners/operators with completing energy resilience assessments</w:t>
            </w:r>
          </w:p>
        </w:tc>
        <w:tc>
          <w:tcPr>
            <w:tcW w:w="0" w:type="auto"/>
            <w:tcBorders>
              <w:top w:val="nil"/>
              <w:left w:val="nil"/>
              <w:bottom w:val="single" w:sz="4" w:space="0" w:color="auto"/>
              <w:right w:val="single" w:sz="4" w:space="0" w:color="auto"/>
            </w:tcBorders>
            <w:shd w:val="clear" w:color="auto" w:fill="auto"/>
            <w:vAlign w:val="center"/>
            <w:hideMark/>
          </w:tcPr>
          <w:p w14:paraId="60D1F94F" w14:textId="176DEB01"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6930AB"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72564588" w14:textId="78C9D9C3" w:rsidR="00B1037E" w:rsidRPr="00C35B0B" w:rsidRDefault="00E029FE" w:rsidP="00676B00">
            <w:pPr>
              <w:widowControl/>
              <w:autoSpaceDE/>
              <w:autoSpaceDN/>
              <w:jc w:val="right"/>
              <w:rPr>
                <w:rFonts w:eastAsia="Times New Roman"/>
                <w:color w:val="000000"/>
                <w:lang w:bidi="ar-SA"/>
              </w:rPr>
            </w:pPr>
            <w:r w:rsidRPr="00C35B0B">
              <w:rPr>
                <w:rFonts w:eastAsia="Times New Roman"/>
                <w:color w:val="000000"/>
                <w:lang w:bidi="ar-SA"/>
              </w:rPr>
              <w:t>May</w:t>
            </w:r>
            <w:r w:rsidR="00B1037E" w:rsidRPr="00C35B0B">
              <w:rPr>
                <w:rFonts w:eastAsia="Times New Roman"/>
                <w:color w:val="000000"/>
                <w:lang w:bidi="ar-SA"/>
              </w:rPr>
              <w:t xml:space="preserve"> – September 2025</w:t>
            </w:r>
          </w:p>
        </w:tc>
      </w:tr>
      <w:tr w:rsidR="00B1037E" w:rsidRPr="00C35B0B" w14:paraId="483A6DD2" w14:textId="77777777" w:rsidTr="005E4D39">
        <w:trPr>
          <w:trHeight w:val="288"/>
        </w:trPr>
        <w:tc>
          <w:tcPr>
            <w:tcW w:w="10075" w:type="dxa"/>
            <w:gridSpan w:val="3"/>
            <w:tcBorders>
              <w:top w:val="single" w:sz="4" w:space="0" w:color="auto"/>
              <w:left w:val="single" w:sz="4" w:space="0" w:color="auto"/>
              <w:bottom w:val="single" w:sz="4" w:space="0" w:color="auto"/>
              <w:right w:val="single" w:sz="4" w:space="0" w:color="000000"/>
            </w:tcBorders>
            <w:shd w:val="clear" w:color="000000" w:fill="E49EDD"/>
            <w:vAlign w:val="bottom"/>
            <w:hideMark/>
          </w:tcPr>
          <w:p w14:paraId="5897879D"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Task 2: Homeowner Preservation Program</w:t>
            </w:r>
          </w:p>
        </w:tc>
      </w:tr>
      <w:tr w:rsidR="00D658AF" w:rsidRPr="00C35B0B" w14:paraId="31C3602B" w14:textId="77777777" w:rsidTr="005E4D39">
        <w:trPr>
          <w:trHeight w:val="288"/>
        </w:trPr>
        <w:tc>
          <w:tcPr>
            <w:tcW w:w="0" w:type="auto"/>
            <w:tcBorders>
              <w:top w:val="nil"/>
              <w:left w:val="single" w:sz="4" w:space="0" w:color="auto"/>
              <w:bottom w:val="single" w:sz="4" w:space="0" w:color="auto"/>
              <w:right w:val="single" w:sz="4" w:space="0" w:color="auto"/>
            </w:tcBorders>
            <w:shd w:val="clear" w:color="000000" w:fill="F2CEED"/>
            <w:vAlign w:val="center"/>
            <w:hideMark/>
          </w:tcPr>
          <w:p w14:paraId="0493FEB0"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Activity</w:t>
            </w:r>
          </w:p>
        </w:tc>
        <w:tc>
          <w:tcPr>
            <w:tcW w:w="0" w:type="auto"/>
            <w:tcBorders>
              <w:top w:val="nil"/>
              <w:left w:val="nil"/>
              <w:bottom w:val="single" w:sz="4" w:space="0" w:color="auto"/>
              <w:right w:val="single" w:sz="4" w:space="0" w:color="auto"/>
            </w:tcBorders>
            <w:shd w:val="clear" w:color="000000" w:fill="F2CEED"/>
            <w:vAlign w:val="center"/>
            <w:hideMark/>
          </w:tcPr>
          <w:p w14:paraId="3C9E60E8"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Responsible Entity</w:t>
            </w:r>
          </w:p>
        </w:tc>
        <w:tc>
          <w:tcPr>
            <w:tcW w:w="3207" w:type="dxa"/>
            <w:tcBorders>
              <w:top w:val="nil"/>
              <w:left w:val="nil"/>
              <w:bottom w:val="single" w:sz="4" w:space="0" w:color="auto"/>
              <w:right w:val="single" w:sz="4" w:space="0" w:color="auto"/>
            </w:tcBorders>
            <w:shd w:val="clear" w:color="000000" w:fill="F2CEED"/>
            <w:vAlign w:val="center"/>
            <w:hideMark/>
          </w:tcPr>
          <w:p w14:paraId="22F87C40"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Dates</w:t>
            </w:r>
          </w:p>
        </w:tc>
      </w:tr>
      <w:tr w:rsidR="00B1037E" w:rsidRPr="00C35B0B" w14:paraId="401CF30B"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4D1EF3"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Develop outreach materials</w:t>
            </w:r>
          </w:p>
        </w:tc>
        <w:tc>
          <w:tcPr>
            <w:tcW w:w="0" w:type="auto"/>
            <w:tcBorders>
              <w:top w:val="nil"/>
              <w:left w:val="nil"/>
              <w:bottom w:val="single" w:sz="4" w:space="0" w:color="auto"/>
              <w:right w:val="single" w:sz="4" w:space="0" w:color="auto"/>
            </w:tcBorders>
            <w:shd w:val="clear" w:color="auto" w:fill="auto"/>
            <w:vAlign w:val="center"/>
            <w:hideMark/>
          </w:tcPr>
          <w:p w14:paraId="3CA91523" w14:textId="5D2C0E4B"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FD327B"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3D9CB6C8" w14:textId="03315653" w:rsidR="00B1037E" w:rsidRPr="00C35B0B" w:rsidRDefault="00253D7C" w:rsidP="00676B00">
            <w:pPr>
              <w:widowControl/>
              <w:autoSpaceDE/>
              <w:autoSpaceDN/>
              <w:jc w:val="right"/>
              <w:rPr>
                <w:rFonts w:eastAsia="Times New Roman"/>
                <w:color w:val="000000"/>
                <w:lang w:bidi="ar-SA"/>
              </w:rPr>
            </w:pPr>
            <w:r w:rsidRPr="00C35B0B">
              <w:rPr>
                <w:rFonts w:eastAsia="Times New Roman"/>
                <w:color w:val="000000"/>
                <w:lang w:bidi="ar-SA"/>
              </w:rPr>
              <w:t>March 20</w:t>
            </w:r>
            <w:r w:rsidR="00B1037E" w:rsidRPr="00C35B0B">
              <w:rPr>
                <w:rFonts w:eastAsia="Times New Roman"/>
                <w:color w:val="000000"/>
                <w:lang w:bidi="ar-SA"/>
              </w:rPr>
              <w:t>25</w:t>
            </w:r>
          </w:p>
        </w:tc>
      </w:tr>
      <w:tr w:rsidR="00B1037E" w:rsidRPr="00C35B0B" w14:paraId="357459EE"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4C56A"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Provide outreach to eligible homeowners</w:t>
            </w:r>
          </w:p>
        </w:tc>
        <w:tc>
          <w:tcPr>
            <w:tcW w:w="0" w:type="auto"/>
            <w:tcBorders>
              <w:top w:val="nil"/>
              <w:left w:val="nil"/>
              <w:bottom w:val="single" w:sz="4" w:space="0" w:color="auto"/>
              <w:right w:val="single" w:sz="4" w:space="0" w:color="auto"/>
            </w:tcBorders>
            <w:shd w:val="clear" w:color="auto" w:fill="auto"/>
            <w:vAlign w:val="center"/>
            <w:hideMark/>
          </w:tcPr>
          <w:p w14:paraId="193633E0" w14:textId="5B981994"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FD327B" w:rsidRPr="00C35B0B">
              <w:rPr>
                <w:rFonts w:eastAsia="Times New Roman"/>
                <w:color w:val="000000"/>
                <w:lang w:bidi="ar-SA"/>
              </w:rPr>
              <w:t>HCD</w:t>
            </w:r>
          </w:p>
        </w:tc>
        <w:tc>
          <w:tcPr>
            <w:tcW w:w="3207" w:type="dxa"/>
            <w:tcBorders>
              <w:top w:val="nil"/>
              <w:left w:val="nil"/>
              <w:bottom w:val="single" w:sz="4" w:space="0" w:color="auto"/>
              <w:right w:val="single" w:sz="4" w:space="0" w:color="auto"/>
            </w:tcBorders>
            <w:shd w:val="clear" w:color="auto" w:fill="auto"/>
            <w:vAlign w:val="center"/>
            <w:hideMark/>
          </w:tcPr>
          <w:p w14:paraId="4F70CCF9" w14:textId="77777777"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April – August 2025</w:t>
            </w:r>
          </w:p>
        </w:tc>
      </w:tr>
      <w:tr w:rsidR="00B1037E" w:rsidRPr="00C35B0B" w14:paraId="64A6B192"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AAC166" w14:textId="38F88DF4"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xml:space="preserve">Hold lottery </w:t>
            </w:r>
            <w:r w:rsidR="00FD7809" w:rsidRPr="00C35B0B">
              <w:rPr>
                <w:rFonts w:eastAsia="Times New Roman"/>
                <w:color w:val="000000"/>
                <w:lang w:bidi="ar-SA"/>
              </w:rPr>
              <w:t>for multi-year program</w:t>
            </w:r>
          </w:p>
        </w:tc>
        <w:tc>
          <w:tcPr>
            <w:tcW w:w="0" w:type="auto"/>
            <w:tcBorders>
              <w:top w:val="nil"/>
              <w:left w:val="nil"/>
              <w:bottom w:val="single" w:sz="4" w:space="0" w:color="auto"/>
              <w:right w:val="single" w:sz="4" w:space="0" w:color="auto"/>
            </w:tcBorders>
            <w:shd w:val="clear" w:color="auto" w:fill="auto"/>
            <w:vAlign w:val="center"/>
            <w:hideMark/>
          </w:tcPr>
          <w:p w14:paraId="70CA39E6" w14:textId="1F7D1FE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416602" w:rsidRPr="00C35B0B">
              <w:rPr>
                <w:rFonts w:eastAsia="Times New Roman"/>
                <w:color w:val="000000"/>
                <w:lang w:bidi="ar-SA"/>
              </w:rPr>
              <w:t>HCD</w:t>
            </w:r>
          </w:p>
        </w:tc>
        <w:tc>
          <w:tcPr>
            <w:tcW w:w="3207" w:type="dxa"/>
            <w:tcBorders>
              <w:top w:val="nil"/>
              <w:left w:val="nil"/>
              <w:bottom w:val="single" w:sz="4" w:space="0" w:color="auto"/>
              <w:right w:val="single" w:sz="4" w:space="0" w:color="auto"/>
            </w:tcBorders>
            <w:shd w:val="clear" w:color="auto" w:fill="auto"/>
            <w:vAlign w:val="center"/>
            <w:hideMark/>
          </w:tcPr>
          <w:p w14:paraId="191C1036" w14:textId="3559B2EC" w:rsidR="00B1037E" w:rsidRPr="00C35B0B" w:rsidRDefault="00253D7C" w:rsidP="00676B00">
            <w:pPr>
              <w:widowControl/>
              <w:autoSpaceDE/>
              <w:autoSpaceDN/>
              <w:jc w:val="right"/>
              <w:rPr>
                <w:rFonts w:eastAsia="Times New Roman"/>
                <w:color w:val="000000"/>
                <w:lang w:bidi="ar-SA"/>
              </w:rPr>
            </w:pPr>
            <w:r w:rsidRPr="00C35B0B">
              <w:rPr>
                <w:rFonts w:eastAsia="Times New Roman"/>
                <w:color w:val="000000"/>
                <w:lang w:bidi="ar-SA"/>
              </w:rPr>
              <w:t>September 20</w:t>
            </w:r>
            <w:r w:rsidR="00B1037E" w:rsidRPr="00C35B0B">
              <w:rPr>
                <w:rFonts w:eastAsia="Times New Roman"/>
                <w:color w:val="000000"/>
                <w:lang w:bidi="ar-SA"/>
              </w:rPr>
              <w:t>25</w:t>
            </w:r>
          </w:p>
        </w:tc>
      </w:tr>
      <w:tr w:rsidR="00B1037E" w:rsidRPr="00C35B0B" w14:paraId="469121EB" w14:textId="77777777" w:rsidTr="005E4D39">
        <w:trPr>
          <w:trHeight w:val="288"/>
        </w:trPr>
        <w:tc>
          <w:tcPr>
            <w:tcW w:w="10075" w:type="dxa"/>
            <w:gridSpan w:val="3"/>
            <w:tcBorders>
              <w:top w:val="single" w:sz="4" w:space="0" w:color="auto"/>
              <w:left w:val="single" w:sz="4" w:space="0" w:color="auto"/>
              <w:bottom w:val="single" w:sz="4" w:space="0" w:color="auto"/>
              <w:right w:val="single" w:sz="4" w:space="0" w:color="000000"/>
            </w:tcBorders>
            <w:shd w:val="clear" w:color="000000" w:fill="E49EDD"/>
            <w:vAlign w:val="bottom"/>
            <w:hideMark/>
          </w:tcPr>
          <w:p w14:paraId="69F71297"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Task 3: Miami Cools Program</w:t>
            </w:r>
          </w:p>
        </w:tc>
      </w:tr>
      <w:tr w:rsidR="00D658AF" w:rsidRPr="00C35B0B" w14:paraId="4DE4DBED" w14:textId="77777777" w:rsidTr="005E4D39">
        <w:trPr>
          <w:trHeight w:val="288"/>
        </w:trPr>
        <w:tc>
          <w:tcPr>
            <w:tcW w:w="0" w:type="auto"/>
            <w:tcBorders>
              <w:top w:val="nil"/>
              <w:left w:val="single" w:sz="4" w:space="0" w:color="auto"/>
              <w:bottom w:val="single" w:sz="4" w:space="0" w:color="auto"/>
              <w:right w:val="single" w:sz="4" w:space="0" w:color="auto"/>
            </w:tcBorders>
            <w:shd w:val="clear" w:color="000000" w:fill="F2CEED"/>
            <w:vAlign w:val="center"/>
            <w:hideMark/>
          </w:tcPr>
          <w:p w14:paraId="48CEFFE6"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Activity</w:t>
            </w:r>
          </w:p>
        </w:tc>
        <w:tc>
          <w:tcPr>
            <w:tcW w:w="0" w:type="auto"/>
            <w:tcBorders>
              <w:top w:val="nil"/>
              <w:left w:val="nil"/>
              <w:bottom w:val="single" w:sz="4" w:space="0" w:color="auto"/>
              <w:right w:val="single" w:sz="4" w:space="0" w:color="auto"/>
            </w:tcBorders>
            <w:shd w:val="clear" w:color="000000" w:fill="F2CEED"/>
            <w:vAlign w:val="center"/>
            <w:hideMark/>
          </w:tcPr>
          <w:p w14:paraId="483BF7FD"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Responsible Entity</w:t>
            </w:r>
          </w:p>
        </w:tc>
        <w:tc>
          <w:tcPr>
            <w:tcW w:w="3207" w:type="dxa"/>
            <w:tcBorders>
              <w:top w:val="nil"/>
              <w:left w:val="nil"/>
              <w:bottom w:val="single" w:sz="4" w:space="0" w:color="auto"/>
              <w:right w:val="single" w:sz="4" w:space="0" w:color="auto"/>
            </w:tcBorders>
            <w:shd w:val="clear" w:color="000000" w:fill="F2CEED"/>
            <w:vAlign w:val="center"/>
            <w:hideMark/>
          </w:tcPr>
          <w:p w14:paraId="3FA59228" w14:textId="77777777" w:rsidR="00B1037E" w:rsidRPr="00C35B0B" w:rsidRDefault="00B1037E" w:rsidP="00676B00">
            <w:pPr>
              <w:widowControl/>
              <w:autoSpaceDE/>
              <w:autoSpaceDN/>
              <w:jc w:val="center"/>
              <w:rPr>
                <w:rFonts w:eastAsia="Times New Roman"/>
                <w:b/>
                <w:bCs/>
                <w:color w:val="000000"/>
                <w:lang w:bidi="ar-SA"/>
              </w:rPr>
            </w:pPr>
            <w:r w:rsidRPr="00C35B0B">
              <w:rPr>
                <w:rFonts w:eastAsia="Times New Roman"/>
                <w:b/>
                <w:bCs/>
                <w:color w:val="000000"/>
                <w:lang w:bidi="ar-SA"/>
              </w:rPr>
              <w:t>Dates</w:t>
            </w:r>
          </w:p>
        </w:tc>
      </w:tr>
      <w:tr w:rsidR="00B1037E" w:rsidRPr="00C35B0B" w14:paraId="789CFD85"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D5F34E"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Develop outreach materials</w:t>
            </w:r>
          </w:p>
        </w:tc>
        <w:tc>
          <w:tcPr>
            <w:tcW w:w="0" w:type="auto"/>
            <w:tcBorders>
              <w:top w:val="nil"/>
              <w:left w:val="nil"/>
              <w:bottom w:val="single" w:sz="4" w:space="0" w:color="auto"/>
              <w:right w:val="single" w:sz="4" w:space="0" w:color="auto"/>
            </w:tcBorders>
            <w:shd w:val="clear" w:color="auto" w:fill="auto"/>
            <w:vAlign w:val="center"/>
            <w:hideMark/>
          </w:tcPr>
          <w:p w14:paraId="2DE3D9DE" w14:textId="091D1572"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416602" w:rsidRPr="00C35B0B">
              <w:rPr>
                <w:rFonts w:eastAsia="Times New Roman"/>
                <w:color w:val="000000"/>
                <w:lang w:bidi="ar-SA"/>
              </w:rPr>
              <w:t>ORS</w:t>
            </w:r>
          </w:p>
        </w:tc>
        <w:tc>
          <w:tcPr>
            <w:tcW w:w="3207" w:type="dxa"/>
            <w:tcBorders>
              <w:top w:val="nil"/>
              <w:left w:val="nil"/>
              <w:bottom w:val="single" w:sz="4" w:space="0" w:color="auto"/>
              <w:right w:val="single" w:sz="4" w:space="0" w:color="auto"/>
            </w:tcBorders>
            <w:shd w:val="clear" w:color="auto" w:fill="auto"/>
            <w:vAlign w:val="center"/>
            <w:hideMark/>
          </w:tcPr>
          <w:p w14:paraId="1929EE05" w14:textId="3628A08B" w:rsidR="00B1037E" w:rsidRPr="00C35B0B" w:rsidRDefault="00253D7C" w:rsidP="00676B00">
            <w:pPr>
              <w:widowControl/>
              <w:autoSpaceDE/>
              <w:autoSpaceDN/>
              <w:jc w:val="right"/>
              <w:rPr>
                <w:rFonts w:eastAsia="Times New Roman"/>
                <w:color w:val="000000"/>
                <w:lang w:bidi="ar-SA"/>
              </w:rPr>
            </w:pPr>
            <w:r w:rsidRPr="00C35B0B">
              <w:rPr>
                <w:rFonts w:eastAsia="Times New Roman"/>
                <w:color w:val="000000"/>
                <w:lang w:bidi="ar-SA"/>
              </w:rPr>
              <w:t>March 20</w:t>
            </w:r>
            <w:r w:rsidR="00B1037E" w:rsidRPr="00C35B0B">
              <w:rPr>
                <w:rFonts w:eastAsia="Times New Roman"/>
                <w:color w:val="000000"/>
                <w:lang w:bidi="ar-SA"/>
              </w:rPr>
              <w:t>25</w:t>
            </w:r>
          </w:p>
        </w:tc>
      </w:tr>
      <w:tr w:rsidR="00B1037E" w:rsidRPr="00C35B0B" w14:paraId="0ECF178F"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B6D100" w14:textId="77777777"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Provide outreach to eligible homeowners and renters</w:t>
            </w:r>
          </w:p>
        </w:tc>
        <w:tc>
          <w:tcPr>
            <w:tcW w:w="0" w:type="auto"/>
            <w:tcBorders>
              <w:top w:val="nil"/>
              <w:left w:val="nil"/>
              <w:bottom w:val="single" w:sz="4" w:space="0" w:color="auto"/>
              <w:right w:val="single" w:sz="4" w:space="0" w:color="auto"/>
            </w:tcBorders>
            <w:shd w:val="clear" w:color="auto" w:fill="auto"/>
            <w:vAlign w:val="center"/>
            <w:hideMark/>
          </w:tcPr>
          <w:p w14:paraId="357CC63E" w14:textId="002EEF92"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A77093" w:rsidRPr="00C35B0B">
              <w:rPr>
                <w:rFonts w:eastAsia="Times New Roman"/>
                <w:color w:val="000000"/>
                <w:lang w:bidi="ar-SA"/>
              </w:rPr>
              <w:t>HS</w:t>
            </w:r>
          </w:p>
        </w:tc>
        <w:tc>
          <w:tcPr>
            <w:tcW w:w="3207" w:type="dxa"/>
            <w:tcBorders>
              <w:top w:val="nil"/>
              <w:left w:val="nil"/>
              <w:bottom w:val="single" w:sz="4" w:space="0" w:color="auto"/>
              <w:right w:val="single" w:sz="4" w:space="0" w:color="auto"/>
            </w:tcBorders>
            <w:shd w:val="clear" w:color="auto" w:fill="auto"/>
            <w:vAlign w:val="center"/>
            <w:hideMark/>
          </w:tcPr>
          <w:p w14:paraId="0ECDF8D1" w14:textId="77777777" w:rsidR="00B1037E" w:rsidRPr="00C35B0B" w:rsidRDefault="00B1037E" w:rsidP="00676B00">
            <w:pPr>
              <w:widowControl/>
              <w:autoSpaceDE/>
              <w:autoSpaceDN/>
              <w:jc w:val="right"/>
              <w:rPr>
                <w:rFonts w:eastAsia="Times New Roman"/>
                <w:color w:val="000000"/>
                <w:lang w:bidi="ar-SA"/>
              </w:rPr>
            </w:pPr>
            <w:r w:rsidRPr="00C35B0B">
              <w:rPr>
                <w:rFonts w:eastAsia="Times New Roman"/>
                <w:color w:val="000000"/>
                <w:lang w:bidi="ar-SA"/>
              </w:rPr>
              <w:t>April – June 2025</w:t>
            </w:r>
          </w:p>
        </w:tc>
      </w:tr>
      <w:tr w:rsidR="00B1037E" w:rsidRPr="00C35B0B" w14:paraId="0F9E2202" w14:textId="77777777" w:rsidTr="005E4D39">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C7942E" w14:textId="42816231"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Hold lottery</w:t>
            </w:r>
            <w:r w:rsidR="00FD7809" w:rsidRPr="00C35B0B">
              <w:rPr>
                <w:rFonts w:eastAsia="Times New Roman"/>
                <w:color w:val="000000"/>
                <w:lang w:bidi="ar-SA"/>
              </w:rPr>
              <w:t xml:space="preserve"> for multi-year program</w:t>
            </w:r>
          </w:p>
        </w:tc>
        <w:tc>
          <w:tcPr>
            <w:tcW w:w="0" w:type="auto"/>
            <w:tcBorders>
              <w:top w:val="nil"/>
              <w:left w:val="nil"/>
              <w:bottom w:val="single" w:sz="4" w:space="0" w:color="auto"/>
              <w:right w:val="single" w:sz="4" w:space="0" w:color="auto"/>
            </w:tcBorders>
            <w:shd w:val="clear" w:color="auto" w:fill="auto"/>
            <w:vAlign w:val="center"/>
            <w:hideMark/>
          </w:tcPr>
          <w:p w14:paraId="388C6A46" w14:textId="326AA2F5" w:rsidR="00B1037E" w:rsidRPr="00C35B0B" w:rsidRDefault="00B1037E" w:rsidP="00676B00">
            <w:pPr>
              <w:widowControl/>
              <w:autoSpaceDE/>
              <w:autoSpaceDN/>
              <w:rPr>
                <w:rFonts w:eastAsia="Times New Roman"/>
                <w:color w:val="000000"/>
                <w:lang w:bidi="ar-SA"/>
              </w:rPr>
            </w:pPr>
            <w:r w:rsidRPr="00C35B0B">
              <w:rPr>
                <w:rFonts w:eastAsia="Times New Roman"/>
                <w:color w:val="000000"/>
                <w:lang w:bidi="ar-SA"/>
              </w:rPr>
              <w:t> </w:t>
            </w:r>
            <w:r w:rsidR="00416602" w:rsidRPr="00C35B0B">
              <w:rPr>
                <w:rFonts w:eastAsia="Times New Roman"/>
                <w:color w:val="000000"/>
                <w:lang w:bidi="ar-SA"/>
              </w:rPr>
              <w:t>HS</w:t>
            </w:r>
          </w:p>
        </w:tc>
        <w:tc>
          <w:tcPr>
            <w:tcW w:w="3207" w:type="dxa"/>
            <w:tcBorders>
              <w:top w:val="nil"/>
              <w:left w:val="nil"/>
              <w:bottom w:val="single" w:sz="4" w:space="0" w:color="auto"/>
              <w:right w:val="single" w:sz="4" w:space="0" w:color="auto"/>
            </w:tcBorders>
            <w:shd w:val="clear" w:color="auto" w:fill="auto"/>
            <w:vAlign w:val="center"/>
            <w:hideMark/>
          </w:tcPr>
          <w:p w14:paraId="7DD5D6CB" w14:textId="7082402F" w:rsidR="00B1037E" w:rsidRPr="00C35B0B" w:rsidRDefault="00253D7C" w:rsidP="00676B00">
            <w:pPr>
              <w:widowControl/>
              <w:autoSpaceDE/>
              <w:autoSpaceDN/>
              <w:jc w:val="right"/>
              <w:rPr>
                <w:rFonts w:eastAsia="Times New Roman"/>
                <w:color w:val="000000"/>
                <w:lang w:bidi="ar-SA"/>
              </w:rPr>
            </w:pPr>
            <w:r w:rsidRPr="00C35B0B">
              <w:rPr>
                <w:rFonts w:eastAsia="Times New Roman"/>
                <w:color w:val="000000"/>
                <w:lang w:bidi="ar-SA"/>
              </w:rPr>
              <w:t>July 20</w:t>
            </w:r>
            <w:r w:rsidR="00B1037E" w:rsidRPr="00C35B0B">
              <w:rPr>
                <w:rFonts w:eastAsia="Times New Roman"/>
                <w:color w:val="000000"/>
                <w:lang w:bidi="ar-SA"/>
              </w:rPr>
              <w:t>25</w:t>
            </w:r>
          </w:p>
        </w:tc>
      </w:tr>
    </w:tbl>
    <w:p w14:paraId="39EACFE2" w14:textId="3F668C82" w:rsidR="00F55DDD" w:rsidRPr="00B7698B" w:rsidRDefault="00F55DDD" w:rsidP="00B7698B">
      <w:pPr>
        <w:pStyle w:val="BodyText"/>
        <w:spacing w:before="1"/>
        <w:ind w:right="645"/>
        <w:rPr>
          <w:color w:val="A02B93" w:themeColor="accent5"/>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bottom w:w="14" w:type="dxa"/>
        </w:tblCellMar>
        <w:tblLook w:val="04A0" w:firstRow="1" w:lastRow="0" w:firstColumn="1" w:lastColumn="0" w:noHBand="0" w:noVBand="1"/>
      </w:tblPr>
      <w:tblGrid>
        <w:gridCol w:w="5215"/>
        <w:gridCol w:w="1620"/>
        <w:gridCol w:w="3240"/>
      </w:tblGrid>
      <w:tr w:rsidR="003A6A57" w:rsidRPr="005E4D39" w14:paraId="20DD68E6" w14:textId="77777777" w:rsidTr="005E4D39">
        <w:trPr>
          <w:trHeight w:val="20"/>
        </w:trPr>
        <w:tc>
          <w:tcPr>
            <w:tcW w:w="10075" w:type="dxa"/>
            <w:gridSpan w:val="3"/>
            <w:shd w:val="clear" w:color="auto" w:fill="A02B93" w:themeFill="accent5"/>
            <w:noWrap/>
            <w:vAlign w:val="bottom"/>
            <w:hideMark/>
          </w:tcPr>
          <w:p w14:paraId="0403CD08" w14:textId="5BB3698A" w:rsidR="003A6A57" w:rsidRPr="005E4D39" w:rsidRDefault="003A6A57" w:rsidP="00676B00">
            <w:pPr>
              <w:widowControl/>
              <w:autoSpaceDE/>
              <w:autoSpaceDN/>
              <w:jc w:val="center"/>
              <w:rPr>
                <w:rFonts w:eastAsia="Times New Roman"/>
                <w:b/>
                <w:bCs/>
                <w:color w:val="FFFFFF" w:themeColor="background1"/>
                <w:sz w:val="20"/>
                <w:szCs w:val="20"/>
                <w:lang w:bidi="ar-SA"/>
              </w:rPr>
            </w:pPr>
            <w:r w:rsidRPr="005E4D39">
              <w:rPr>
                <w:rFonts w:eastAsia="Times New Roman"/>
                <w:b/>
                <w:bCs/>
                <w:color w:val="FFFFFF" w:themeColor="background1"/>
                <w:lang w:bidi="ar-SA"/>
              </w:rPr>
              <w:t>YEAR</w:t>
            </w:r>
            <w:r w:rsidR="00D658AF" w:rsidRPr="005E4D39">
              <w:rPr>
                <w:rFonts w:eastAsia="Times New Roman"/>
                <w:b/>
                <w:bCs/>
                <w:color w:val="FFFFFF" w:themeColor="background1"/>
                <w:lang w:bidi="ar-SA"/>
              </w:rPr>
              <w:t>S</w:t>
            </w:r>
            <w:r w:rsidRPr="005E4D39">
              <w:rPr>
                <w:rFonts w:eastAsia="Times New Roman"/>
                <w:b/>
                <w:bCs/>
                <w:color w:val="FFFFFF" w:themeColor="background1"/>
                <w:lang w:bidi="ar-SA"/>
              </w:rPr>
              <w:t xml:space="preserve"> 2-4 (OCTOBER 2025 – SEPTEMBER 2028)</w:t>
            </w:r>
          </w:p>
        </w:tc>
      </w:tr>
      <w:tr w:rsidR="00CD71A6" w:rsidRPr="005E4D39" w14:paraId="5C1C52EF" w14:textId="77777777" w:rsidTr="005E4D39">
        <w:trPr>
          <w:trHeight w:val="20"/>
        </w:trPr>
        <w:tc>
          <w:tcPr>
            <w:tcW w:w="10075" w:type="dxa"/>
            <w:gridSpan w:val="3"/>
            <w:shd w:val="clear" w:color="000000" w:fill="E49EDD"/>
            <w:noWrap/>
            <w:vAlign w:val="bottom"/>
            <w:hideMark/>
          </w:tcPr>
          <w:p w14:paraId="690E13D9"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Task 0: Project Administration</w:t>
            </w:r>
          </w:p>
        </w:tc>
      </w:tr>
      <w:tr w:rsidR="00CD71A6" w:rsidRPr="005E4D39" w14:paraId="74264C6E" w14:textId="77777777" w:rsidTr="005E4D39">
        <w:trPr>
          <w:trHeight w:val="20"/>
        </w:trPr>
        <w:tc>
          <w:tcPr>
            <w:tcW w:w="5215" w:type="dxa"/>
            <w:shd w:val="clear" w:color="000000" w:fill="F2CEED"/>
            <w:vAlign w:val="center"/>
            <w:hideMark/>
          </w:tcPr>
          <w:p w14:paraId="45A67244"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Activity</w:t>
            </w:r>
          </w:p>
        </w:tc>
        <w:tc>
          <w:tcPr>
            <w:tcW w:w="1620" w:type="dxa"/>
            <w:shd w:val="clear" w:color="000000" w:fill="F2CEED"/>
            <w:vAlign w:val="center"/>
            <w:hideMark/>
          </w:tcPr>
          <w:p w14:paraId="1D7A7392"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Responsible Entity</w:t>
            </w:r>
          </w:p>
        </w:tc>
        <w:tc>
          <w:tcPr>
            <w:tcW w:w="3240" w:type="dxa"/>
            <w:shd w:val="clear" w:color="000000" w:fill="F2CEED"/>
            <w:vAlign w:val="center"/>
            <w:hideMark/>
          </w:tcPr>
          <w:p w14:paraId="7DB06BD9"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Dates</w:t>
            </w:r>
          </w:p>
        </w:tc>
      </w:tr>
      <w:tr w:rsidR="00CD71A6" w:rsidRPr="005E4D39" w14:paraId="09EBE1A7" w14:textId="77777777" w:rsidTr="005E4D39">
        <w:trPr>
          <w:trHeight w:val="20"/>
        </w:trPr>
        <w:tc>
          <w:tcPr>
            <w:tcW w:w="5215" w:type="dxa"/>
            <w:shd w:val="clear" w:color="auto" w:fill="auto"/>
            <w:vAlign w:val="bottom"/>
            <w:hideMark/>
          </w:tcPr>
          <w:p w14:paraId="7C4F07AD" w14:textId="14A397DD" w:rsidR="00CD71A6" w:rsidRPr="005E4D39" w:rsidRDefault="00CD71A6" w:rsidP="00676B00">
            <w:pPr>
              <w:widowControl/>
              <w:autoSpaceDE/>
              <w:autoSpaceDN/>
              <w:rPr>
                <w:rFonts w:eastAsia="Times New Roman"/>
                <w:color w:val="000000"/>
                <w:lang w:bidi="ar-SA"/>
              </w:rPr>
            </w:pPr>
            <w:r w:rsidRPr="005E4D39">
              <w:rPr>
                <w:rFonts w:eastAsia="Times New Roman"/>
                <w:color w:val="000000"/>
                <w:lang w:bidi="ar-SA"/>
              </w:rPr>
              <w:t>Year 2</w:t>
            </w:r>
            <w:r w:rsidR="00D84E1F" w:rsidRPr="005E4D39">
              <w:rPr>
                <w:rFonts w:eastAsia="Times New Roman"/>
                <w:color w:val="000000"/>
                <w:lang w:bidi="ar-SA"/>
              </w:rPr>
              <w:t xml:space="preserve"> </w:t>
            </w:r>
            <w:r w:rsidRPr="005E4D39">
              <w:rPr>
                <w:rFonts w:eastAsia="Times New Roman"/>
                <w:color w:val="000000"/>
                <w:lang w:bidi="ar-SA"/>
              </w:rPr>
              <w:t>Semi-annual EPA Progress Report</w:t>
            </w:r>
            <w:r w:rsidR="00862D15" w:rsidRPr="005E4D39">
              <w:rPr>
                <w:rFonts w:eastAsia="Times New Roman"/>
                <w:color w:val="000000"/>
                <w:lang w:bidi="ar-SA"/>
              </w:rPr>
              <w:t xml:space="preserve"> #1</w:t>
            </w:r>
          </w:p>
        </w:tc>
        <w:tc>
          <w:tcPr>
            <w:tcW w:w="1620" w:type="dxa"/>
            <w:shd w:val="clear" w:color="auto" w:fill="auto"/>
            <w:noWrap/>
            <w:vAlign w:val="bottom"/>
            <w:hideMark/>
          </w:tcPr>
          <w:p w14:paraId="7EE67174" w14:textId="51E4CBD4" w:rsidR="00CD71A6" w:rsidRPr="005E4D39" w:rsidRDefault="008868C2" w:rsidP="00676B00">
            <w:pPr>
              <w:widowControl/>
              <w:autoSpaceDE/>
              <w:autoSpaceDN/>
              <w:rPr>
                <w:rFonts w:eastAsia="Times New Roman"/>
                <w:color w:val="000000"/>
                <w:lang w:bidi="ar-SA"/>
              </w:rPr>
            </w:pPr>
            <w:r w:rsidRPr="005E4D39">
              <w:rPr>
                <w:rFonts w:eastAsia="Times New Roman"/>
                <w:color w:val="000000"/>
                <w:lang w:bidi="ar-SA"/>
              </w:rPr>
              <w:t>ORS</w:t>
            </w:r>
          </w:p>
        </w:tc>
        <w:tc>
          <w:tcPr>
            <w:tcW w:w="3240" w:type="dxa"/>
            <w:shd w:val="clear" w:color="auto" w:fill="auto"/>
            <w:noWrap/>
            <w:vAlign w:val="bottom"/>
            <w:hideMark/>
          </w:tcPr>
          <w:p w14:paraId="699B67D9" w14:textId="01177665" w:rsidR="00CD71A6" w:rsidRPr="005E4D39" w:rsidRDefault="00CD71A6" w:rsidP="00676B00">
            <w:pPr>
              <w:widowControl/>
              <w:autoSpaceDE/>
              <w:autoSpaceDN/>
              <w:jc w:val="right"/>
              <w:rPr>
                <w:rFonts w:eastAsia="Times New Roman"/>
                <w:color w:val="000000"/>
                <w:lang w:bidi="ar-SA"/>
              </w:rPr>
            </w:pPr>
            <w:r w:rsidRPr="005E4D39">
              <w:rPr>
                <w:rFonts w:eastAsia="Times New Roman"/>
                <w:color w:val="000000"/>
                <w:lang w:bidi="ar-SA"/>
              </w:rPr>
              <w:t>March 2026</w:t>
            </w:r>
          </w:p>
        </w:tc>
      </w:tr>
      <w:tr w:rsidR="00CD71A6" w:rsidRPr="005E4D39" w14:paraId="0C855E34" w14:textId="77777777" w:rsidTr="005E4D39">
        <w:trPr>
          <w:trHeight w:val="20"/>
        </w:trPr>
        <w:tc>
          <w:tcPr>
            <w:tcW w:w="5215" w:type="dxa"/>
            <w:shd w:val="clear" w:color="auto" w:fill="auto"/>
            <w:vAlign w:val="bottom"/>
            <w:hideMark/>
          </w:tcPr>
          <w:p w14:paraId="393C73C6" w14:textId="61A1AC11" w:rsidR="00CD71A6" w:rsidRPr="005E4D39" w:rsidRDefault="00CD71A6" w:rsidP="00676B00">
            <w:pPr>
              <w:widowControl/>
              <w:autoSpaceDE/>
              <w:autoSpaceDN/>
              <w:rPr>
                <w:rFonts w:eastAsia="Times New Roman"/>
                <w:color w:val="000000"/>
                <w:lang w:bidi="ar-SA"/>
              </w:rPr>
            </w:pPr>
            <w:r w:rsidRPr="005E4D39">
              <w:rPr>
                <w:rFonts w:eastAsia="Times New Roman"/>
                <w:color w:val="000000"/>
                <w:lang w:bidi="ar-SA"/>
              </w:rPr>
              <w:t>Year 2</w:t>
            </w:r>
            <w:r w:rsidR="00D84E1F" w:rsidRPr="005E4D39">
              <w:rPr>
                <w:rFonts w:eastAsia="Times New Roman"/>
                <w:color w:val="000000"/>
                <w:lang w:bidi="ar-SA"/>
              </w:rPr>
              <w:t xml:space="preserve"> </w:t>
            </w:r>
            <w:r w:rsidRPr="005E4D39">
              <w:rPr>
                <w:rFonts w:eastAsia="Times New Roman"/>
                <w:color w:val="000000"/>
                <w:lang w:bidi="ar-SA"/>
              </w:rPr>
              <w:t>Semi-annual EPA Progress Report</w:t>
            </w:r>
            <w:r w:rsidR="00862D15" w:rsidRPr="005E4D39">
              <w:rPr>
                <w:rFonts w:eastAsia="Times New Roman"/>
                <w:color w:val="000000"/>
                <w:lang w:bidi="ar-SA"/>
              </w:rPr>
              <w:t xml:space="preserve"> #2</w:t>
            </w:r>
          </w:p>
        </w:tc>
        <w:tc>
          <w:tcPr>
            <w:tcW w:w="1620" w:type="dxa"/>
            <w:shd w:val="clear" w:color="auto" w:fill="auto"/>
            <w:noWrap/>
            <w:vAlign w:val="bottom"/>
            <w:hideMark/>
          </w:tcPr>
          <w:p w14:paraId="5F323DEE" w14:textId="538D5EDB" w:rsidR="00CD71A6" w:rsidRPr="005E4D39" w:rsidRDefault="008868C2" w:rsidP="00676B00">
            <w:pPr>
              <w:widowControl/>
              <w:autoSpaceDE/>
              <w:autoSpaceDN/>
              <w:rPr>
                <w:rFonts w:eastAsia="Times New Roman"/>
                <w:color w:val="000000"/>
                <w:lang w:bidi="ar-SA"/>
              </w:rPr>
            </w:pPr>
            <w:r w:rsidRPr="005E4D39">
              <w:rPr>
                <w:rFonts w:eastAsia="Times New Roman"/>
                <w:color w:val="000000"/>
                <w:lang w:bidi="ar-SA"/>
              </w:rPr>
              <w:t>ORS</w:t>
            </w:r>
          </w:p>
        </w:tc>
        <w:tc>
          <w:tcPr>
            <w:tcW w:w="3240" w:type="dxa"/>
            <w:shd w:val="clear" w:color="auto" w:fill="auto"/>
            <w:noWrap/>
            <w:vAlign w:val="bottom"/>
            <w:hideMark/>
          </w:tcPr>
          <w:p w14:paraId="257ECCD9" w14:textId="68BFC9F2" w:rsidR="00CD71A6" w:rsidRPr="005E4D39" w:rsidRDefault="00CD71A6" w:rsidP="00676B00">
            <w:pPr>
              <w:widowControl/>
              <w:autoSpaceDE/>
              <w:autoSpaceDN/>
              <w:jc w:val="right"/>
              <w:rPr>
                <w:rFonts w:eastAsia="Times New Roman"/>
                <w:color w:val="000000"/>
                <w:lang w:bidi="ar-SA"/>
              </w:rPr>
            </w:pPr>
            <w:r w:rsidRPr="005E4D39">
              <w:rPr>
                <w:rFonts w:eastAsia="Times New Roman"/>
                <w:color w:val="000000"/>
                <w:lang w:bidi="ar-SA"/>
              </w:rPr>
              <w:t>September 2026</w:t>
            </w:r>
          </w:p>
        </w:tc>
      </w:tr>
      <w:tr w:rsidR="00D84E1F" w:rsidRPr="005E4D39" w14:paraId="42755D29" w14:textId="77777777" w:rsidTr="005E4D39">
        <w:trPr>
          <w:trHeight w:val="20"/>
        </w:trPr>
        <w:tc>
          <w:tcPr>
            <w:tcW w:w="5215" w:type="dxa"/>
            <w:shd w:val="clear" w:color="auto" w:fill="auto"/>
            <w:vAlign w:val="bottom"/>
          </w:tcPr>
          <w:p w14:paraId="17493241" w14:textId="6305BBBF" w:rsidR="00D84E1F" w:rsidRPr="005E4D39" w:rsidRDefault="00D84E1F" w:rsidP="00676B00">
            <w:pPr>
              <w:widowControl/>
              <w:autoSpaceDE/>
              <w:autoSpaceDN/>
              <w:rPr>
                <w:rFonts w:eastAsia="Times New Roman"/>
                <w:color w:val="000000"/>
                <w:lang w:bidi="ar-SA"/>
              </w:rPr>
            </w:pPr>
            <w:r w:rsidRPr="005E4D39">
              <w:rPr>
                <w:rFonts w:eastAsia="Times New Roman"/>
                <w:color w:val="000000"/>
                <w:lang w:bidi="ar-SA"/>
              </w:rPr>
              <w:t>Year 3 Semi-annual EPA Progress Report #1</w:t>
            </w:r>
          </w:p>
        </w:tc>
        <w:tc>
          <w:tcPr>
            <w:tcW w:w="1620" w:type="dxa"/>
            <w:shd w:val="clear" w:color="auto" w:fill="auto"/>
            <w:noWrap/>
            <w:vAlign w:val="bottom"/>
          </w:tcPr>
          <w:p w14:paraId="6E19AE1E" w14:textId="50A66124" w:rsidR="00D84E1F" w:rsidRPr="005E4D39" w:rsidRDefault="008868C2" w:rsidP="00676B00">
            <w:pPr>
              <w:widowControl/>
              <w:autoSpaceDE/>
              <w:autoSpaceDN/>
              <w:rPr>
                <w:rFonts w:eastAsia="Times New Roman"/>
                <w:color w:val="000000"/>
                <w:lang w:bidi="ar-SA"/>
              </w:rPr>
            </w:pPr>
            <w:r w:rsidRPr="005E4D39">
              <w:rPr>
                <w:rFonts w:eastAsia="Times New Roman"/>
                <w:color w:val="000000"/>
                <w:lang w:bidi="ar-SA"/>
              </w:rPr>
              <w:t>ORS</w:t>
            </w:r>
          </w:p>
        </w:tc>
        <w:tc>
          <w:tcPr>
            <w:tcW w:w="3240" w:type="dxa"/>
            <w:shd w:val="clear" w:color="auto" w:fill="auto"/>
            <w:noWrap/>
            <w:vAlign w:val="bottom"/>
          </w:tcPr>
          <w:p w14:paraId="6A39B22D" w14:textId="74114815" w:rsidR="00D84E1F" w:rsidRPr="005E4D39" w:rsidRDefault="00D84E1F" w:rsidP="00676B00">
            <w:pPr>
              <w:widowControl/>
              <w:autoSpaceDE/>
              <w:autoSpaceDN/>
              <w:jc w:val="right"/>
              <w:rPr>
                <w:rFonts w:eastAsia="Times New Roman"/>
                <w:color w:val="000000"/>
                <w:lang w:bidi="ar-SA"/>
              </w:rPr>
            </w:pPr>
            <w:r w:rsidRPr="005E4D39">
              <w:rPr>
                <w:rFonts w:eastAsia="Times New Roman"/>
                <w:color w:val="000000"/>
                <w:lang w:bidi="ar-SA"/>
              </w:rPr>
              <w:t>March 2027</w:t>
            </w:r>
          </w:p>
        </w:tc>
      </w:tr>
      <w:tr w:rsidR="00D84E1F" w:rsidRPr="005E4D39" w14:paraId="0453139A" w14:textId="77777777" w:rsidTr="005E4D39">
        <w:trPr>
          <w:trHeight w:val="20"/>
        </w:trPr>
        <w:tc>
          <w:tcPr>
            <w:tcW w:w="5215" w:type="dxa"/>
            <w:shd w:val="clear" w:color="auto" w:fill="auto"/>
            <w:vAlign w:val="bottom"/>
          </w:tcPr>
          <w:p w14:paraId="50AF65EA" w14:textId="2ACD6B85" w:rsidR="00D84E1F" w:rsidRPr="005E4D39" w:rsidRDefault="00D84E1F" w:rsidP="00676B00">
            <w:pPr>
              <w:widowControl/>
              <w:autoSpaceDE/>
              <w:autoSpaceDN/>
              <w:rPr>
                <w:rFonts w:eastAsia="Times New Roman"/>
                <w:color w:val="000000"/>
                <w:lang w:bidi="ar-SA"/>
              </w:rPr>
            </w:pPr>
            <w:r w:rsidRPr="005E4D39">
              <w:rPr>
                <w:rFonts w:eastAsia="Times New Roman"/>
                <w:color w:val="000000"/>
                <w:lang w:bidi="ar-SA"/>
              </w:rPr>
              <w:t>Year 3 Semi-annual EPA Progress Report #2</w:t>
            </w:r>
          </w:p>
        </w:tc>
        <w:tc>
          <w:tcPr>
            <w:tcW w:w="1620" w:type="dxa"/>
            <w:shd w:val="clear" w:color="auto" w:fill="auto"/>
            <w:noWrap/>
            <w:vAlign w:val="bottom"/>
          </w:tcPr>
          <w:p w14:paraId="73E5A117" w14:textId="725A0BB7" w:rsidR="00D84E1F" w:rsidRPr="005E4D39" w:rsidRDefault="008868C2" w:rsidP="00676B00">
            <w:pPr>
              <w:widowControl/>
              <w:autoSpaceDE/>
              <w:autoSpaceDN/>
              <w:rPr>
                <w:rFonts w:eastAsia="Times New Roman"/>
                <w:color w:val="000000"/>
                <w:lang w:bidi="ar-SA"/>
              </w:rPr>
            </w:pPr>
            <w:r w:rsidRPr="005E4D39">
              <w:rPr>
                <w:rFonts w:eastAsia="Times New Roman"/>
                <w:color w:val="000000"/>
                <w:lang w:bidi="ar-SA"/>
              </w:rPr>
              <w:t>ORS</w:t>
            </w:r>
          </w:p>
        </w:tc>
        <w:tc>
          <w:tcPr>
            <w:tcW w:w="3240" w:type="dxa"/>
            <w:shd w:val="clear" w:color="auto" w:fill="auto"/>
            <w:noWrap/>
            <w:vAlign w:val="bottom"/>
          </w:tcPr>
          <w:p w14:paraId="4B61DC73" w14:textId="5FC3FCFB" w:rsidR="00D84E1F" w:rsidRPr="005E4D39" w:rsidRDefault="00D84E1F" w:rsidP="00676B00">
            <w:pPr>
              <w:widowControl/>
              <w:autoSpaceDE/>
              <w:autoSpaceDN/>
              <w:jc w:val="right"/>
              <w:rPr>
                <w:rFonts w:eastAsia="Times New Roman"/>
                <w:color w:val="000000"/>
                <w:lang w:bidi="ar-SA"/>
              </w:rPr>
            </w:pPr>
            <w:r w:rsidRPr="005E4D39">
              <w:rPr>
                <w:rFonts w:eastAsia="Times New Roman"/>
                <w:color w:val="000000"/>
                <w:lang w:bidi="ar-SA"/>
              </w:rPr>
              <w:t>September 2027</w:t>
            </w:r>
          </w:p>
        </w:tc>
      </w:tr>
      <w:tr w:rsidR="00D84E1F" w:rsidRPr="005E4D39" w14:paraId="246DFF77" w14:textId="77777777" w:rsidTr="005E4D39">
        <w:trPr>
          <w:trHeight w:val="20"/>
        </w:trPr>
        <w:tc>
          <w:tcPr>
            <w:tcW w:w="5215" w:type="dxa"/>
            <w:shd w:val="clear" w:color="auto" w:fill="auto"/>
            <w:vAlign w:val="bottom"/>
          </w:tcPr>
          <w:p w14:paraId="2AE8C59F" w14:textId="75370E2F" w:rsidR="00D84E1F" w:rsidRPr="005E4D39" w:rsidRDefault="00D84E1F" w:rsidP="00676B00">
            <w:pPr>
              <w:widowControl/>
              <w:autoSpaceDE/>
              <w:autoSpaceDN/>
              <w:rPr>
                <w:rFonts w:eastAsia="Times New Roman"/>
                <w:color w:val="000000"/>
                <w:lang w:bidi="ar-SA"/>
              </w:rPr>
            </w:pPr>
            <w:r w:rsidRPr="005E4D39">
              <w:rPr>
                <w:rFonts w:eastAsia="Times New Roman"/>
                <w:color w:val="000000"/>
                <w:lang w:bidi="ar-SA"/>
              </w:rPr>
              <w:t>Year 4 Semi-annual EPA Progress Report #1</w:t>
            </w:r>
          </w:p>
        </w:tc>
        <w:tc>
          <w:tcPr>
            <w:tcW w:w="1620" w:type="dxa"/>
            <w:shd w:val="clear" w:color="auto" w:fill="auto"/>
            <w:noWrap/>
            <w:vAlign w:val="bottom"/>
          </w:tcPr>
          <w:p w14:paraId="3EF22786" w14:textId="102FCCBE" w:rsidR="00D84E1F" w:rsidRPr="005E4D39" w:rsidRDefault="008868C2" w:rsidP="00676B00">
            <w:pPr>
              <w:widowControl/>
              <w:autoSpaceDE/>
              <w:autoSpaceDN/>
              <w:rPr>
                <w:rFonts w:eastAsia="Times New Roman"/>
                <w:color w:val="000000"/>
                <w:lang w:bidi="ar-SA"/>
              </w:rPr>
            </w:pPr>
            <w:r w:rsidRPr="005E4D39">
              <w:rPr>
                <w:rFonts w:eastAsia="Times New Roman"/>
                <w:color w:val="000000"/>
                <w:lang w:bidi="ar-SA"/>
              </w:rPr>
              <w:t>ORS</w:t>
            </w:r>
          </w:p>
        </w:tc>
        <w:tc>
          <w:tcPr>
            <w:tcW w:w="3240" w:type="dxa"/>
            <w:shd w:val="clear" w:color="auto" w:fill="auto"/>
            <w:noWrap/>
            <w:vAlign w:val="bottom"/>
          </w:tcPr>
          <w:p w14:paraId="6AE31372" w14:textId="5E34DC7D" w:rsidR="00D84E1F" w:rsidRPr="005E4D39" w:rsidRDefault="00D84E1F" w:rsidP="00676B00">
            <w:pPr>
              <w:widowControl/>
              <w:autoSpaceDE/>
              <w:autoSpaceDN/>
              <w:jc w:val="right"/>
              <w:rPr>
                <w:rFonts w:eastAsia="Times New Roman"/>
                <w:color w:val="000000"/>
                <w:lang w:bidi="ar-SA"/>
              </w:rPr>
            </w:pPr>
            <w:r w:rsidRPr="005E4D39">
              <w:rPr>
                <w:rFonts w:eastAsia="Times New Roman"/>
                <w:color w:val="000000"/>
                <w:lang w:bidi="ar-SA"/>
              </w:rPr>
              <w:t>March 2028</w:t>
            </w:r>
          </w:p>
        </w:tc>
      </w:tr>
      <w:tr w:rsidR="00D84E1F" w:rsidRPr="005E4D39" w14:paraId="254904ED" w14:textId="77777777" w:rsidTr="005E4D39">
        <w:trPr>
          <w:trHeight w:val="20"/>
        </w:trPr>
        <w:tc>
          <w:tcPr>
            <w:tcW w:w="5215" w:type="dxa"/>
            <w:shd w:val="clear" w:color="auto" w:fill="auto"/>
            <w:vAlign w:val="bottom"/>
          </w:tcPr>
          <w:p w14:paraId="2DC8E4BF" w14:textId="428EA404" w:rsidR="00D84E1F" w:rsidRPr="005E4D39" w:rsidRDefault="00D84E1F" w:rsidP="00676B00">
            <w:pPr>
              <w:widowControl/>
              <w:autoSpaceDE/>
              <w:autoSpaceDN/>
              <w:rPr>
                <w:rFonts w:eastAsia="Times New Roman"/>
                <w:color w:val="000000"/>
                <w:lang w:bidi="ar-SA"/>
              </w:rPr>
            </w:pPr>
            <w:r w:rsidRPr="005E4D39">
              <w:rPr>
                <w:rFonts w:eastAsia="Times New Roman"/>
                <w:color w:val="000000"/>
                <w:lang w:bidi="ar-SA"/>
              </w:rPr>
              <w:t>Year 4 Semi-annual EPA Progress Report #2</w:t>
            </w:r>
          </w:p>
        </w:tc>
        <w:tc>
          <w:tcPr>
            <w:tcW w:w="1620" w:type="dxa"/>
            <w:shd w:val="clear" w:color="auto" w:fill="auto"/>
            <w:noWrap/>
            <w:vAlign w:val="bottom"/>
          </w:tcPr>
          <w:p w14:paraId="0EFC46B6" w14:textId="30200751" w:rsidR="00D84E1F" w:rsidRPr="005E4D39" w:rsidRDefault="008868C2" w:rsidP="00676B00">
            <w:pPr>
              <w:widowControl/>
              <w:autoSpaceDE/>
              <w:autoSpaceDN/>
              <w:rPr>
                <w:rFonts w:eastAsia="Times New Roman"/>
                <w:color w:val="000000"/>
                <w:lang w:bidi="ar-SA"/>
              </w:rPr>
            </w:pPr>
            <w:r w:rsidRPr="005E4D39">
              <w:rPr>
                <w:rFonts w:eastAsia="Times New Roman"/>
                <w:color w:val="000000"/>
                <w:lang w:bidi="ar-SA"/>
              </w:rPr>
              <w:t>ORS</w:t>
            </w:r>
          </w:p>
        </w:tc>
        <w:tc>
          <w:tcPr>
            <w:tcW w:w="3240" w:type="dxa"/>
            <w:shd w:val="clear" w:color="auto" w:fill="auto"/>
            <w:noWrap/>
            <w:vAlign w:val="bottom"/>
          </w:tcPr>
          <w:p w14:paraId="7F3166FD" w14:textId="2CFB7F74" w:rsidR="00D84E1F" w:rsidRPr="005E4D39" w:rsidRDefault="00D84E1F" w:rsidP="00676B00">
            <w:pPr>
              <w:widowControl/>
              <w:autoSpaceDE/>
              <w:autoSpaceDN/>
              <w:jc w:val="right"/>
              <w:rPr>
                <w:rFonts w:eastAsia="Times New Roman"/>
                <w:color w:val="000000"/>
                <w:lang w:bidi="ar-SA"/>
              </w:rPr>
            </w:pPr>
            <w:r w:rsidRPr="005E4D39">
              <w:rPr>
                <w:rFonts w:eastAsia="Times New Roman"/>
                <w:color w:val="000000"/>
                <w:lang w:bidi="ar-SA"/>
              </w:rPr>
              <w:t>September 2028</w:t>
            </w:r>
          </w:p>
        </w:tc>
      </w:tr>
      <w:tr w:rsidR="00CD71A6" w:rsidRPr="005E4D39" w14:paraId="6801AB77" w14:textId="77777777" w:rsidTr="005E4D39">
        <w:trPr>
          <w:trHeight w:val="20"/>
        </w:trPr>
        <w:tc>
          <w:tcPr>
            <w:tcW w:w="10075" w:type="dxa"/>
            <w:gridSpan w:val="3"/>
            <w:shd w:val="clear" w:color="000000" w:fill="E49EDD"/>
            <w:vAlign w:val="bottom"/>
            <w:hideMark/>
          </w:tcPr>
          <w:p w14:paraId="737B9B4C"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Task 1: Keep Safe Miami Program</w:t>
            </w:r>
          </w:p>
        </w:tc>
      </w:tr>
      <w:tr w:rsidR="00CD71A6" w:rsidRPr="005E4D39" w14:paraId="7462D88D" w14:textId="77777777" w:rsidTr="005E4D39">
        <w:trPr>
          <w:trHeight w:val="20"/>
        </w:trPr>
        <w:tc>
          <w:tcPr>
            <w:tcW w:w="5215" w:type="dxa"/>
            <w:shd w:val="clear" w:color="000000" w:fill="F2CEED"/>
            <w:vAlign w:val="center"/>
            <w:hideMark/>
          </w:tcPr>
          <w:p w14:paraId="231BF3FC"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Activity</w:t>
            </w:r>
          </w:p>
        </w:tc>
        <w:tc>
          <w:tcPr>
            <w:tcW w:w="1620" w:type="dxa"/>
            <w:shd w:val="clear" w:color="000000" w:fill="F2CEED"/>
            <w:vAlign w:val="center"/>
            <w:hideMark/>
          </w:tcPr>
          <w:p w14:paraId="026BD8C7"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Responsible Entity</w:t>
            </w:r>
          </w:p>
        </w:tc>
        <w:tc>
          <w:tcPr>
            <w:tcW w:w="3240" w:type="dxa"/>
            <w:shd w:val="clear" w:color="000000" w:fill="F2CEED"/>
            <w:vAlign w:val="center"/>
            <w:hideMark/>
          </w:tcPr>
          <w:p w14:paraId="7E67EFAE" w14:textId="77777777" w:rsidR="00CD71A6" w:rsidRPr="005E4D39" w:rsidRDefault="00CD71A6" w:rsidP="00676B00">
            <w:pPr>
              <w:widowControl/>
              <w:autoSpaceDE/>
              <w:autoSpaceDN/>
              <w:jc w:val="center"/>
              <w:rPr>
                <w:rFonts w:eastAsia="Times New Roman"/>
                <w:b/>
                <w:bCs/>
                <w:color w:val="000000"/>
                <w:lang w:bidi="ar-SA"/>
              </w:rPr>
            </w:pPr>
            <w:r w:rsidRPr="005E4D39">
              <w:rPr>
                <w:rFonts w:eastAsia="Times New Roman"/>
                <w:b/>
                <w:bCs/>
                <w:color w:val="000000"/>
                <w:lang w:bidi="ar-SA"/>
              </w:rPr>
              <w:t>Dates</w:t>
            </w:r>
          </w:p>
        </w:tc>
      </w:tr>
      <w:tr w:rsidR="00AA4D56" w:rsidRPr="005E4D39" w14:paraId="3245B0C0" w14:textId="77777777" w:rsidTr="005E4D39">
        <w:trPr>
          <w:trHeight w:val="20"/>
        </w:trPr>
        <w:tc>
          <w:tcPr>
            <w:tcW w:w="5215" w:type="dxa"/>
            <w:shd w:val="clear" w:color="auto" w:fill="auto"/>
            <w:vAlign w:val="center"/>
          </w:tcPr>
          <w:p w14:paraId="62FAE20C" w14:textId="76F92DBD"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Assist building owners/operators with completing energy resilience assessments</w:t>
            </w:r>
          </w:p>
        </w:tc>
        <w:tc>
          <w:tcPr>
            <w:tcW w:w="1620" w:type="dxa"/>
            <w:shd w:val="clear" w:color="auto" w:fill="auto"/>
            <w:noWrap/>
            <w:vAlign w:val="center"/>
          </w:tcPr>
          <w:p w14:paraId="4DBEE344" w14:textId="505CA02C"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ORS</w:t>
            </w:r>
          </w:p>
        </w:tc>
        <w:tc>
          <w:tcPr>
            <w:tcW w:w="3240" w:type="dxa"/>
            <w:shd w:val="clear" w:color="auto" w:fill="auto"/>
            <w:noWrap/>
            <w:vAlign w:val="center"/>
          </w:tcPr>
          <w:p w14:paraId="2F2179AD" w14:textId="0C79A336" w:rsidR="00AA4D56" w:rsidRPr="005E4D39" w:rsidRDefault="00AA4D56" w:rsidP="00676B00">
            <w:pPr>
              <w:widowControl/>
              <w:autoSpaceDE/>
              <w:autoSpaceDN/>
              <w:jc w:val="right"/>
              <w:rPr>
                <w:rFonts w:eastAsia="Times New Roman"/>
                <w:lang w:bidi="ar-SA"/>
              </w:rPr>
            </w:pPr>
            <w:r w:rsidRPr="005E4D39">
              <w:rPr>
                <w:rFonts w:eastAsia="Times New Roman"/>
                <w:lang w:bidi="ar-SA"/>
              </w:rPr>
              <w:t>1</w:t>
            </w:r>
            <w:r w:rsidRPr="005E4D39">
              <w:rPr>
                <w:rFonts w:eastAsia="Times New Roman"/>
                <w:vertAlign w:val="superscript"/>
                <w:lang w:bidi="ar-SA"/>
              </w:rPr>
              <w:t>st</w:t>
            </w:r>
            <w:r w:rsidRPr="005E4D39">
              <w:rPr>
                <w:rFonts w:eastAsia="Times New Roman"/>
                <w:lang w:bidi="ar-SA"/>
              </w:rPr>
              <w:t xml:space="preserve"> – 4</w:t>
            </w:r>
            <w:r w:rsidRPr="005E4D39">
              <w:rPr>
                <w:rFonts w:eastAsia="Times New Roman"/>
                <w:vertAlign w:val="superscript"/>
                <w:lang w:bidi="ar-SA"/>
              </w:rPr>
              <w:t>th</w:t>
            </w:r>
            <w:r w:rsidRPr="005E4D39">
              <w:rPr>
                <w:rFonts w:eastAsia="Times New Roman"/>
                <w:lang w:bidi="ar-SA"/>
              </w:rPr>
              <w:t xml:space="preserve"> Quarter of FY</w:t>
            </w:r>
          </w:p>
        </w:tc>
      </w:tr>
      <w:tr w:rsidR="00AA4D56" w:rsidRPr="005E4D39" w14:paraId="7DE25650" w14:textId="77777777" w:rsidTr="005E4D39">
        <w:trPr>
          <w:trHeight w:val="20"/>
        </w:trPr>
        <w:tc>
          <w:tcPr>
            <w:tcW w:w="5215" w:type="dxa"/>
            <w:shd w:val="clear" w:color="auto" w:fill="auto"/>
            <w:vAlign w:val="bottom"/>
            <w:hideMark/>
          </w:tcPr>
          <w:p w14:paraId="0F1A9130" w14:textId="77777777"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Conduct baseline energy assessments</w:t>
            </w:r>
          </w:p>
        </w:tc>
        <w:tc>
          <w:tcPr>
            <w:tcW w:w="1620" w:type="dxa"/>
            <w:shd w:val="clear" w:color="auto" w:fill="auto"/>
            <w:noWrap/>
            <w:vAlign w:val="bottom"/>
            <w:hideMark/>
          </w:tcPr>
          <w:p w14:paraId="09408A93" w14:textId="568763C5"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OCI</w:t>
            </w:r>
          </w:p>
        </w:tc>
        <w:tc>
          <w:tcPr>
            <w:tcW w:w="3240" w:type="dxa"/>
            <w:shd w:val="clear" w:color="auto" w:fill="auto"/>
            <w:noWrap/>
            <w:vAlign w:val="bottom"/>
            <w:hideMark/>
          </w:tcPr>
          <w:p w14:paraId="0C10DC5B" w14:textId="5F679B1E" w:rsidR="00AA4D56" w:rsidRPr="005E4D39" w:rsidRDefault="00AA4D56" w:rsidP="00676B00">
            <w:pPr>
              <w:widowControl/>
              <w:autoSpaceDE/>
              <w:autoSpaceDN/>
              <w:jc w:val="right"/>
              <w:rPr>
                <w:rFonts w:eastAsia="Times New Roman"/>
                <w:sz w:val="20"/>
                <w:szCs w:val="20"/>
                <w:lang w:bidi="ar-SA"/>
              </w:rPr>
            </w:pPr>
            <w:r w:rsidRPr="005E4D39">
              <w:rPr>
                <w:rFonts w:eastAsia="Times New Roman"/>
                <w:lang w:bidi="ar-SA"/>
              </w:rPr>
              <w:t>1</w:t>
            </w:r>
            <w:r w:rsidRPr="005E4D39">
              <w:rPr>
                <w:rFonts w:eastAsia="Times New Roman"/>
                <w:vertAlign w:val="superscript"/>
                <w:lang w:bidi="ar-SA"/>
              </w:rPr>
              <w:t>st</w:t>
            </w:r>
            <w:r w:rsidRPr="005E4D39">
              <w:rPr>
                <w:rFonts w:eastAsia="Times New Roman"/>
                <w:lang w:bidi="ar-SA"/>
              </w:rPr>
              <w:t xml:space="preserve"> Quarter of FY</w:t>
            </w:r>
          </w:p>
        </w:tc>
      </w:tr>
      <w:tr w:rsidR="00AA4D56" w:rsidRPr="005E4D39" w14:paraId="0EDF8C9E" w14:textId="77777777" w:rsidTr="005E4D39">
        <w:trPr>
          <w:trHeight w:val="20"/>
        </w:trPr>
        <w:tc>
          <w:tcPr>
            <w:tcW w:w="5215" w:type="dxa"/>
            <w:shd w:val="clear" w:color="auto" w:fill="auto"/>
            <w:vAlign w:val="bottom"/>
            <w:hideMark/>
          </w:tcPr>
          <w:p w14:paraId="6F16314C" w14:textId="0948C237"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 xml:space="preserve">Implement Keep Safe Miami Program. Install GHG </w:t>
            </w:r>
            <w:r w:rsidR="000E792B">
              <w:rPr>
                <w:rFonts w:eastAsia="Times New Roman"/>
                <w:color w:val="000000"/>
                <w:lang w:bidi="ar-SA"/>
              </w:rPr>
              <w:t>R</w:t>
            </w:r>
            <w:r w:rsidRPr="005E4D39">
              <w:rPr>
                <w:rFonts w:eastAsia="Times New Roman"/>
                <w:color w:val="000000"/>
                <w:lang w:bidi="ar-SA"/>
              </w:rPr>
              <w:t xml:space="preserve">eduction </w:t>
            </w:r>
            <w:r w:rsidR="000E792B">
              <w:rPr>
                <w:rFonts w:eastAsia="Times New Roman"/>
                <w:color w:val="000000"/>
                <w:lang w:bidi="ar-SA"/>
              </w:rPr>
              <w:t>M</w:t>
            </w:r>
            <w:r w:rsidRPr="005E4D39">
              <w:rPr>
                <w:rFonts w:eastAsia="Times New Roman"/>
                <w:color w:val="000000"/>
                <w:lang w:bidi="ar-SA"/>
              </w:rPr>
              <w:t xml:space="preserve">easures in apartment buildings. Annual goal: </w:t>
            </w:r>
            <w:r w:rsidR="000F3AA0">
              <w:rPr>
                <w:rFonts w:eastAsia="Times New Roman"/>
                <w:color w:val="000000"/>
                <w:lang w:bidi="ar-SA"/>
              </w:rPr>
              <w:t>20</w:t>
            </w:r>
            <w:r w:rsidR="00A44174">
              <w:rPr>
                <w:rFonts w:eastAsia="Times New Roman"/>
                <w:color w:val="000000"/>
                <w:lang w:bidi="ar-SA"/>
              </w:rPr>
              <w:t xml:space="preserve"> multifamily buildings</w:t>
            </w:r>
            <w:r w:rsidR="005241DB">
              <w:rPr>
                <w:rFonts w:eastAsia="Times New Roman"/>
                <w:color w:val="000000"/>
                <w:lang w:bidi="ar-SA"/>
              </w:rPr>
              <w:t>/80</w:t>
            </w:r>
            <w:r w:rsidR="003726D6">
              <w:rPr>
                <w:rFonts w:eastAsia="Times New Roman"/>
                <w:color w:val="000000"/>
                <w:lang w:bidi="ar-SA"/>
              </w:rPr>
              <w:t xml:space="preserve"> housing units </w:t>
            </w:r>
            <w:r w:rsidR="000E7AC5">
              <w:rPr>
                <w:rFonts w:eastAsia="Times New Roman"/>
                <w:color w:val="000000"/>
                <w:lang w:bidi="ar-SA"/>
              </w:rPr>
              <w:t>per year (0.04% of total housing</w:t>
            </w:r>
            <w:r w:rsidR="0090044A">
              <w:rPr>
                <w:rFonts w:eastAsia="Times New Roman"/>
                <w:color w:val="000000"/>
                <w:lang w:bidi="ar-SA"/>
              </w:rPr>
              <w:t>/year</w:t>
            </w:r>
            <w:r w:rsidR="000E7AC5">
              <w:rPr>
                <w:rFonts w:eastAsia="Times New Roman"/>
                <w:color w:val="000000"/>
                <w:lang w:bidi="ar-SA"/>
              </w:rPr>
              <w:t>)</w:t>
            </w:r>
            <w:r w:rsidRPr="005E4D39">
              <w:rPr>
                <w:rFonts w:eastAsia="Times New Roman"/>
                <w:color w:val="000000"/>
                <w:lang w:bidi="ar-SA"/>
              </w:rPr>
              <w:br/>
            </w:r>
            <w:r w:rsidRPr="005E4D39">
              <w:rPr>
                <w:rFonts w:eastAsia="Times New Roman"/>
                <w:color w:val="000000"/>
                <w:lang w:bidi="ar-SA"/>
              </w:rPr>
              <w:br/>
              <w:t>Measures include:</w:t>
            </w:r>
            <w:r w:rsidRPr="005E4D39">
              <w:rPr>
                <w:rFonts w:eastAsia="Times New Roman"/>
                <w:color w:val="000000"/>
                <w:lang w:bidi="ar-SA"/>
              </w:rPr>
              <w:br/>
              <w:t>-</w:t>
            </w:r>
            <w:r w:rsidR="006459F3" w:rsidRPr="005E4D39">
              <w:t xml:space="preserve"> </w:t>
            </w:r>
            <w:r w:rsidR="006459F3" w:rsidRPr="005E4D39">
              <w:rPr>
                <w:rFonts w:eastAsia="Times New Roman"/>
                <w:color w:val="000000"/>
                <w:lang w:bidi="ar-SA"/>
              </w:rPr>
              <w:t xml:space="preserve">R-01. </w:t>
            </w:r>
            <w:r w:rsidRPr="005E4D39">
              <w:rPr>
                <w:rFonts w:eastAsia="Times New Roman"/>
                <w:color w:val="000000"/>
                <w:lang w:bidi="ar-SA"/>
              </w:rPr>
              <w:t>Heat pumps or high efficiency AC retrofits and commissioning</w:t>
            </w:r>
            <w:r w:rsidRPr="005E4D39">
              <w:rPr>
                <w:rFonts w:eastAsia="Times New Roman"/>
                <w:color w:val="000000"/>
                <w:lang w:bidi="ar-SA"/>
              </w:rPr>
              <w:br/>
              <w:t>-</w:t>
            </w:r>
            <w:r w:rsidR="00A74954" w:rsidRPr="005E4D39">
              <w:t xml:space="preserve"> R-02. </w:t>
            </w:r>
            <w:r w:rsidRPr="005E4D39">
              <w:rPr>
                <w:rFonts w:eastAsia="Times New Roman"/>
                <w:color w:val="000000"/>
                <w:lang w:bidi="ar-SA"/>
              </w:rPr>
              <w:t>Solar PV (</w:t>
            </w:r>
            <w:r w:rsidR="008E2305">
              <w:rPr>
                <w:rFonts w:eastAsia="Times New Roman"/>
                <w:color w:val="000000"/>
                <w:lang w:bidi="ar-SA"/>
              </w:rPr>
              <w:t>800</w:t>
            </w:r>
            <w:r w:rsidRPr="005E4D39">
              <w:rPr>
                <w:rFonts w:eastAsia="Times New Roman"/>
                <w:color w:val="000000"/>
                <w:lang w:bidi="ar-SA"/>
              </w:rPr>
              <w:t xml:space="preserve"> kW installed/year)</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R-03. </w:t>
            </w:r>
            <w:r w:rsidRPr="005E4D39">
              <w:rPr>
                <w:rFonts w:eastAsia="Times New Roman"/>
                <w:color w:val="000000"/>
                <w:lang w:bidi="ar-SA"/>
              </w:rPr>
              <w:t>LED lighting</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R-04. </w:t>
            </w:r>
            <w:r w:rsidRPr="005E4D39">
              <w:rPr>
                <w:rFonts w:eastAsia="Times New Roman"/>
                <w:color w:val="000000"/>
                <w:lang w:bidi="ar-SA"/>
              </w:rPr>
              <w:t>Enclosure upgrades</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R-05. </w:t>
            </w:r>
            <w:r w:rsidRPr="005E4D39">
              <w:rPr>
                <w:rFonts w:eastAsia="Times New Roman"/>
                <w:color w:val="000000"/>
                <w:lang w:bidi="ar-SA"/>
              </w:rPr>
              <w:t>Window, door, and skylight replacements</w:t>
            </w:r>
            <w:r w:rsidRPr="005E4D39">
              <w:rPr>
                <w:rFonts w:eastAsia="Times New Roman"/>
                <w:color w:val="000000"/>
                <w:lang w:bidi="ar-SA"/>
              </w:rPr>
              <w:br/>
              <w:t>-</w:t>
            </w:r>
            <w:r w:rsidR="00416B4F" w:rsidRPr="005E4D39">
              <w:t xml:space="preserve"> </w:t>
            </w:r>
            <w:r w:rsidR="00416B4F" w:rsidRPr="005E4D39">
              <w:rPr>
                <w:rFonts w:eastAsia="Times New Roman"/>
                <w:color w:val="000000"/>
                <w:lang w:bidi="ar-SA"/>
              </w:rPr>
              <w:t xml:space="preserve">R-06. </w:t>
            </w:r>
            <w:r w:rsidRPr="005E4D39">
              <w:rPr>
                <w:rFonts w:eastAsia="Times New Roman"/>
                <w:color w:val="000000"/>
                <w:lang w:bidi="ar-SA"/>
              </w:rPr>
              <w:t>Efficient appliances and plug load management</w:t>
            </w:r>
            <w:r w:rsidRPr="005E4D39">
              <w:rPr>
                <w:rFonts w:eastAsia="Times New Roman"/>
                <w:color w:val="000000"/>
                <w:lang w:bidi="ar-SA"/>
              </w:rPr>
              <w:br/>
              <w:t>-</w:t>
            </w:r>
            <w:r w:rsidR="00416B4F" w:rsidRPr="005E4D39">
              <w:t xml:space="preserve"> </w:t>
            </w:r>
            <w:r w:rsidR="00416B4F" w:rsidRPr="005E4D39">
              <w:rPr>
                <w:rFonts w:eastAsia="Times New Roman"/>
                <w:color w:val="000000"/>
                <w:lang w:bidi="ar-SA"/>
              </w:rPr>
              <w:t xml:space="preserve">R-07. </w:t>
            </w:r>
            <w:r w:rsidRPr="005E4D39">
              <w:rPr>
                <w:rFonts w:eastAsia="Times New Roman"/>
                <w:color w:val="000000"/>
                <w:lang w:bidi="ar-SA"/>
              </w:rPr>
              <w:t>Heat pump for hot water</w:t>
            </w:r>
            <w:r w:rsidRPr="005E4D39">
              <w:rPr>
                <w:rFonts w:eastAsia="Times New Roman"/>
                <w:color w:val="000000"/>
                <w:lang w:bidi="ar-SA"/>
              </w:rPr>
              <w:br/>
              <w:t>-</w:t>
            </w:r>
            <w:r w:rsidR="00416B4F" w:rsidRPr="005E4D39">
              <w:t xml:space="preserve"> </w:t>
            </w:r>
            <w:r w:rsidR="00416B4F" w:rsidRPr="005E4D39">
              <w:rPr>
                <w:rFonts w:eastAsia="Times New Roman"/>
                <w:color w:val="000000"/>
                <w:lang w:bidi="ar-SA"/>
              </w:rPr>
              <w:t xml:space="preserve">R-08. </w:t>
            </w:r>
            <w:r w:rsidRPr="005E4D39">
              <w:rPr>
                <w:rFonts w:eastAsia="Times New Roman"/>
                <w:color w:val="000000"/>
                <w:lang w:bidi="ar-SA"/>
              </w:rPr>
              <w:t>Solar hot water heater</w:t>
            </w:r>
            <w:r w:rsidRPr="005E4D39">
              <w:rPr>
                <w:rFonts w:eastAsia="Times New Roman"/>
                <w:color w:val="000000"/>
                <w:lang w:bidi="ar-SA"/>
              </w:rPr>
              <w:br/>
              <w:t>-</w:t>
            </w:r>
            <w:r w:rsidR="00416B4F" w:rsidRPr="005E4D39">
              <w:t xml:space="preserve"> </w:t>
            </w:r>
            <w:r w:rsidR="00416B4F" w:rsidRPr="005E4D39">
              <w:rPr>
                <w:rFonts w:eastAsia="Times New Roman"/>
                <w:color w:val="000000"/>
                <w:lang w:bidi="ar-SA"/>
              </w:rPr>
              <w:t xml:space="preserve">R-09. </w:t>
            </w:r>
            <w:r w:rsidRPr="005E4D39">
              <w:rPr>
                <w:rFonts w:eastAsia="Times New Roman"/>
                <w:color w:val="000000"/>
                <w:lang w:bidi="ar-SA"/>
              </w:rPr>
              <w:t>Smart thermostat</w:t>
            </w:r>
          </w:p>
        </w:tc>
        <w:tc>
          <w:tcPr>
            <w:tcW w:w="1620" w:type="dxa"/>
            <w:shd w:val="clear" w:color="auto" w:fill="auto"/>
            <w:noWrap/>
            <w:vAlign w:val="bottom"/>
            <w:hideMark/>
          </w:tcPr>
          <w:p w14:paraId="416E22BA" w14:textId="6998E2E9"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OCI</w:t>
            </w:r>
          </w:p>
        </w:tc>
        <w:tc>
          <w:tcPr>
            <w:tcW w:w="3240" w:type="dxa"/>
            <w:shd w:val="clear" w:color="auto" w:fill="auto"/>
            <w:noWrap/>
            <w:vAlign w:val="bottom"/>
            <w:hideMark/>
          </w:tcPr>
          <w:p w14:paraId="393705A0" w14:textId="4940482A" w:rsidR="00AA4D56" w:rsidRPr="00AC6822" w:rsidRDefault="00AA4D56" w:rsidP="00676B00">
            <w:pPr>
              <w:widowControl/>
              <w:autoSpaceDE/>
              <w:autoSpaceDN/>
              <w:jc w:val="right"/>
              <w:rPr>
                <w:rFonts w:eastAsia="Times New Roman"/>
                <w:lang w:bidi="ar-SA"/>
              </w:rPr>
            </w:pPr>
            <w:r w:rsidRPr="005E4D39">
              <w:rPr>
                <w:rFonts w:eastAsia="Times New Roman"/>
                <w:lang w:bidi="ar-SA"/>
              </w:rPr>
              <w:t>2</w:t>
            </w:r>
            <w:r w:rsidRPr="005E4D39">
              <w:rPr>
                <w:rFonts w:eastAsia="Times New Roman"/>
                <w:vertAlign w:val="superscript"/>
                <w:lang w:bidi="ar-SA"/>
              </w:rPr>
              <w:t xml:space="preserve">nd </w:t>
            </w:r>
            <w:r w:rsidRPr="005E4D39">
              <w:rPr>
                <w:rFonts w:eastAsia="Times New Roman"/>
                <w:lang w:bidi="ar-SA"/>
              </w:rPr>
              <w:t>– 4</w:t>
            </w:r>
            <w:r w:rsidRPr="005E4D39">
              <w:rPr>
                <w:rFonts w:eastAsia="Times New Roman"/>
                <w:vertAlign w:val="superscript"/>
                <w:lang w:bidi="ar-SA"/>
              </w:rPr>
              <w:t>th</w:t>
            </w:r>
            <w:r w:rsidRPr="005E4D39">
              <w:rPr>
                <w:rFonts w:eastAsia="Times New Roman"/>
                <w:lang w:bidi="ar-SA"/>
              </w:rPr>
              <w:t xml:space="preserve"> Quarter of FY</w:t>
            </w:r>
          </w:p>
        </w:tc>
      </w:tr>
      <w:tr w:rsidR="00AA4D56" w:rsidRPr="005E4D39" w14:paraId="081BFF58" w14:textId="77777777" w:rsidTr="005E4D39">
        <w:trPr>
          <w:trHeight w:val="20"/>
        </w:trPr>
        <w:tc>
          <w:tcPr>
            <w:tcW w:w="10075" w:type="dxa"/>
            <w:gridSpan w:val="3"/>
            <w:shd w:val="clear" w:color="000000" w:fill="E49EDD"/>
            <w:vAlign w:val="bottom"/>
            <w:hideMark/>
          </w:tcPr>
          <w:p w14:paraId="533C024C" w14:textId="77777777" w:rsidR="00921C9C" w:rsidRDefault="00921C9C" w:rsidP="00676B00">
            <w:pPr>
              <w:widowControl/>
              <w:autoSpaceDE/>
              <w:autoSpaceDN/>
              <w:jc w:val="center"/>
              <w:rPr>
                <w:rFonts w:eastAsia="Times New Roman"/>
                <w:b/>
                <w:bCs/>
                <w:color w:val="000000"/>
                <w:lang w:bidi="ar-SA"/>
              </w:rPr>
            </w:pPr>
          </w:p>
          <w:p w14:paraId="3122336F" w14:textId="48B4981A"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Task 2: Homeowner Preservation Program</w:t>
            </w:r>
          </w:p>
        </w:tc>
      </w:tr>
      <w:tr w:rsidR="00AA4D56" w:rsidRPr="005E4D39" w14:paraId="1CADE22C" w14:textId="77777777" w:rsidTr="005E4D39">
        <w:trPr>
          <w:trHeight w:val="20"/>
        </w:trPr>
        <w:tc>
          <w:tcPr>
            <w:tcW w:w="5215" w:type="dxa"/>
            <w:shd w:val="clear" w:color="000000" w:fill="F2CEED"/>
            <w:vAlign w:val="center"/>
            <w:hideMark/>
          </w:tcPr>
          <w:p w14:paraId="351F9A87" w14:textId="77777777"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Activity</w:t>
            </w:r>
          </w:p>
        </w:tc>
        <w:tc>
          <w:tcPr>
            <w:tcW w:w="1620" w:type="dxa"/>
            <w:shd w:val="clear" w:color="000000" w:fill="F2CEED"/>
            <w:vAlign w:val="center"/>
            <w:hideMark/>
          </w:tcPr>
          <w:p w14:paraId="1877F26E" w14:textId="77777777"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Responsible Entity</w:t>
            </w:r>
          </w:p>
        </w:tc>
        <w:tc>
          <w:tcPr>
            <w:tcW w:w="3240" w:type="dxa"/>
            <w:shd w:val="clear" w:color="000000" w:fill="F2CEED"/>
            <w:vAlign w:val="center"/>
            <w:hideMark/>
          </w:tcPr>
          <w:p w14:paraId="4C9C2114" w14:textId="77777777"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Dates</w:t>
            </w:r>
          </w:p>
        </w:tc>
      </w:tr>
      <w:tr w:rsidR="00AA4D56" w:rsidRPr="005E4D39" w14:paraId="7F6C6A25" w14:textId="77777777" w:rsidTr="005E4D39">
        <w:trPr>
          <w:trHeight w:val="20"/>
        </w:trPr>
        <w:tc>
          <w:tcPr>
            <w:tcW w:w="5215" w:type="dxa"/>
            <w:shd w:val="clear" w:color="auto" w:fill="auto"/>
            <w:vAlign w:val="bottom"/>
            <w:hideMark/>
          </w:tcPr>
          <w:p w14:paraId="55CA66A8" w14:textId="77777777"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Conduct baseline energy assessments</w:t>
            </w:r>
          </w:p>
        </w:tc>
        <w:tc>
          <w:tcPr>
            <w:tcW w:w="1620" w:type="dxa"/>
            <w:shd w:val="clear" w:color="auto" w:fill="auto"/>
            <w:noWrap/>
            <w:vAlign w:val="bottom"/>
            <w:hideMark/>
          </w:tcPr>
          <w:p w14:paraId="50D12F78" w14:textId="2626D600"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OCI</w:t>
            </w:r>
          </w:p>
        </w:tc>
        <w:tc>
          <w:tcPr>
            <w:tcW w:w="3240" w:type="dxa"/>
            <w:shd w:val="clear" w:color="auto" w:fill="auto"/>
            <w:noWrap/>
            <w:vAlign w:val="bottom"/>
            <w:hideMark/>
          </w:tcPr>
          <w:p w14:paraId="0416F2C7" w14:textId="54A99F5B" w:rsidR="00AA4D56" w:rsidRPr="005E4D39" w:rsidRDefault="00AA4D56" w:rsidP="00676B00">
            <w:pPr>
              <w:widowControl/>
              <w:autoSpaceDE/>
              <w:autoSpaceDN/>
              <w:jc w:val="right"/>
              <w:rPr>
                <w:rFonts w:eastAsia="Times New Roman"/>
                <w:sz w:val="20"/>
                <w:szCs w:val="20"/>
                <w:lang w:bidi="ar-SA"/>
              </w:rPr>
            </w:pPr>
            <w:r w:rsidRPr="005E4D39">
              <w:rPr>
                <w:rFonts w:eastAsia="Times New Roman"/>
                <w:lang w:bidi="ar-SA"/>
              </w:rPr>
              <w:t>1</w:t>
            </w:r>
            <w:r w:rsidRPr="005E4D39">
              <w:rPr>
                <w:rFonts w:eastAsia="Times New Roman"/>
                <w:vertAlign w:val="superscript"/>
                <w:lang w:bidi="ar-SA"/>
              </w:rPr>
              <w:t>st</w:t>
            </w:r>
            <w:r w:rsidRPr="005E4D39">
              <w:rPr>
                <w:rFonts w:eastAsia="Times New Roman"/>
                <w:lang w:bidi="ar-SA"/>
              </w:rPr>
              <w:t xml:space="preserve"> Quarter of FY</w:t>
            </w:r>
          </w:p>
        </w:tc>
      </w:tr>
      <w:tr w:rsidR="00AA4D56" w:rsidRPr="005E4D39" w14:paraId="191E029F" w14:textId="77777777" w:rsidTr="005E4D39">
        <w:trPr>
          <w:trHeight w:val="20"/>
        </w:trPr>
        <w:tc>
          <w:tcPr>
            <w:tcW w:w="5215" w:type="dxa"/>
            <w:shd w:val="clear" w:color="auto" w:fill="auto"/>
            <w:vAlign w:val="bottom"/>
            <w:hideMark/>
          </w:tcPr>
          <w:p w14:paraId="7D3113EF" w14:textId="63EBF1CD"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 xml:space="preserve">Implement Homeownership Preservation Program. Install GHG </w:t>
            </w:r>
            <w:r w:rsidR="000E792B">
              <w:rPr>
                <w:rFonts w:eastAsia="Times New Roman"/>
                <w:color w:val="000000"/>
                <w:lang w:bidi="ar-SA"/>
              </w:rPr>
              <w:t>R</w:t>
            </w:r>
            <w:r w:rsidRPr="005E4D39">
              <w:rPr>
                <w:rFonts w:eastAsia="Times New Roman"/>
                <w:color w:val="000000"/>
                <w:lang w:bidi="ar-SA"/>
              </w:rPr>
              <w:t xml:space="preserve">eduction </w:t>
            </w:r>
            <w:r w:rsidR="000E792B">
              <w:rPr>
                <w:rFonts w:eastAsia="Times New Roman"/>
                <w:color w:val="000000"/>
                <w:lang w:bidi="ar-SA"/>
              </w:rPr>
              <w:t>M</w:t>
            </w:r>
            <w:r w:rsidRPr="005E4D39">
              <w:rPr>
                <w:rFonts w:eastAsia="Times New Roman"/>
                <w:color w:val="000000"/>
                <w:lang w:bidi="ar-SA"/>
              </w:rPr>
              <w:t xml:space="preserve">easures in single-family homes buildings. Annual goal: </w:t>
            </w:r>
            <w:r w:rsidR="000A7759">
              <w:rPr>
                <w:rFonts w:eastAsia="Times New Roman"/>
                <w:color w:val="000000"/>
                <w:lang w:bidi="ar-SA"/>
              </w:rPr>
              <w:t>20 single family homes per year (0.009% of total housing)</w:t>
            </w:r>
            <w:r w:rsidRPr="005E4D39">
              <w:rPr>
                <w:rFonts w:eastAsia="Times New Roman"/>
                <w:color w:val="000000"/>
                <w:lang w:bidi="ar-SA"/>
              </w:rPr>
              <w:br/>
            </w:r>
            <w:r w:rsidRPr="005E4D39">
              <w:rPr>
                <w:rFonts w:eastAsia="Times New Roman"/>
                <w:color w:val="000000"/>
                <w:lang w:bidi="ar-SA"/>
              </w:rPr>
              <w:br/>
              <w:t>Measures include:</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R-02. </w:t>
            </w:r>
            <w:r w:rsidRPr="005E4D39">
              <w:rPr>
                <w:rFonts w:eastAsia="Times New Roman"/>
                <w:color w:val="000000"/>
                <w:lang w:bidi="ar-SA"/>
              </w:rPr>
              <w:t>Solar PV (</w:t>
            </w:r>
            <w:r w:rsidR="00032B42">
              <w:rPr>
                <w:rFonts w:eastAsia="Times New Roman"/>
                <w:color w:val="000000"/>
                <w:lang w:bidi="ar-SA"/>
              </w:rPr>
              <w:t>200</w:t>
            </w:r>
            <w:r w:rsidRPr="005E4D39">
              <w:rPr>
                <w:rFonts w:eastAsia="Times New Roman"/>
                <w:color w:val="000000"/>
                <w:lang w:bidi="ar-SA"/>
              </w:rPr>
              <w:t xml:space="preserve"> kW installed/year)</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R-04. </w:t>
            </w:r>
            <w:r w:rsidRPr="005E4D39">
              <w:rPr>
                <w:rFonts w:eastAsia="Times New Roman"/>
                <w:color w:val="000000"/>
                <w:lang w:bidi="ar-SA"/>
              </w:rPr>
              <w:t>Enclosure upgrades</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R-05. </w:t>
            </w:r>
            <w:r w:rsidRPr="005E4D39">
              <w:rPr>
                <w:rFonts w:eastAsia="Times New Roman"/>
                <w:color w:val="000000"/>
                <w:lang w:bidi="ar-SA"/>
              </w:rPr>
              <w:t>Window, door, and skylight replacement</w:t>
            </w:r>
          </w:p>
        </w:tc>
        <w:tc>
          <w:tcPr>
            <w:tcW w:w="1620" w:type="dxa"/>
            <w:shd w:val="clear" w:color="auto" w:fill="auto"/>
            <w:noWrap/>
            <w:vAlign w:val="bottom"/>
            <w:hideMark/>
          </w:tcPr>
          <w:p w14:paraId="5ED6B9D3" w14:textId="12E0A3C3"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OCI</w:t>
            </w:r>
          </w:p>
        </w:tc>
        <w:tc>
          <w:tcPr>
            <w:tcW w:w="3240" w:type="dxa"/>
            <w:shd w:val="clear" w:color="auto" w:fill="auto"/>
            <w:noWrap/>
            <w:vAlign w:val="bottom"/>
            <w:hideMark/>
          </w:tcPr>
          <w:p w14:paraId="6EA3B32F" w14:textId="0A53497E" w:rsidR="00AA4D56" w:rsidRPr="005E4D39" w:rsidRDefault="00AA4D56" w:rsidP="00676B00">
            <w:pPr>
              <w:widowControl/>
              <w:autoSpaceDE/>
              <w:autoSpaceDN/>
              <w:jc w:val="right"/>
              <w:rPr>
                <w:rFonts w:eastAsia="Times New Roman"/>
                <w:sz w:val="20"/>
                <w:szCs w:val="20"/>
                <w:lang w:bidi="ar-SA"/>
              </w:rPr>
            </w:pPr>
            <w:r w:rsidRPr="005E4D39">
              <w:rPr>
                <w:rFonts w:eastAsia="Times New Roman"/>
                <w:lang w:bidi="ar-SA"/>
              </w:rPr>
              <w:t>2</w:t>
            </w:r>
            <w:r w:rsidRPr="005E4D39">
              <w:rPr>
                <w:rFonts w:eastAsia="Times New Roman"/>
                <w:vertAlign w:val="superscript"/>
                <w:lang w:bidi="ar-SA"/>
              </w:rPr>
              <w:t xml:space="preserve">nd </w:t>
            </w:r>
            <w:r w:rsidRPr="005E4D39">
              <w:rPr>
                <w:rFonts w:eastAsia="Times New Roman"/>
                <w:lang w:bidi="ar-SA"/>
              </w:rPr>
              <w:t>– 4</w:t>
            </w:r>
            <w:r w:rsidRPr="005E4D39">
              <w:rPr>
                <w:rFonts w:eastAsia="Times New Roman"/>
                <w:vertAlign w:val="superscript"/>
                <w:lang w:bidi="ar-SA"/>
              </w:rPr>
              <w:t>th</w:t>
            </w:r>
            <w:r w:rsidRPr="005E4D39">
              <w:rPr>
                <w:rFonts w:eastAsia="Times New Roman"/>
                <w:lang w:bidi="ar-SA"/>
              </w:rPr>
              <w:t xml:space="preserve"> Quarter of FY</w:t>
            </w:r>
          </w:p>
        </w:tc>
      </w:tr>
      <w:tr w:rsidR="00AA4D56" w:rsidRPr="005E4D39" w14:paraId="40719E37" w14:textId="77777777" w:rsidTr="005E4D39">
        <w:trPr>
          <w:trHeight w:val="20"/>
        </w:trPr>
        <w:tc>
          <w:tcPr>
            <w:tcW w:w="10075" w:type="dxa"/>
            <w:gridSpan w:val="3"/>
            <w:shd w:val="clear" w:color="000000" w:fill="E49EDD"/>
            <w:vAlign w:val="bottom"/>
            <w:hideMark/>
          </w:tcPr>
          <w:p w14:paraId="2F573AA5" w14:textId="77777777"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Task 3: Miami Cools Program</w:t>
            </w:r>
          </w:p>
        </w:tc>
      </w:tr>
      <w:tr w:rsidR="00AA4D56" w:rsidRPr="005E4D39" w14:paraId="365B26C9" w14:textId="77777777" w:rsidTr="005E4D39">
        <w:trPr>
          <w:trHeight w:val="20"/>
        </w:trPr>
        <w:tc>
          <w:tcPr>
            <w:tcW w:w="5215" w:type="dxa"/>
            <w:shd w:val="clear" w:color="000000" w:fill="F2CEED"/>
            <w:vAlign w:val="center"/>
            <w:hideMark/>
          </w:tcPr>
          <w:p w14:paraId="61CF6863" w14:textId="77777777"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Activity</w:t>
            </w:r>
          </w:p>
        </w:tc>
        <w:tc>
          <w:tcPr>
            <w:tcW w:w="1620" w:type="dxa"/>
            <w:shd w:val="clear" w:color="000000" w:fill="F2CEED"/>
            <w:vAlign w:val="center"/>
            <w:hideMark/>
          </w:tcPr>
          <w:p w14:paraId="6CE497F2" w14:textId="77777777"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Responsible Entity</w:t>
            </w:r>
          </w:p>
        </w:tc>
        <w:tc>
          <w:tcPr>
            <w:tcW w:w="3240" w:type="dxa"/>
            <w:shd w:val="clear" w:color="000000" w:fill="F2CEED"/>
            <w:vAlign w:val="center"/>
            <w:hideMark/>
          </w:tcPr>
          <w:p w14:paraId="18A61408" w14:textId="77777777" w:rsidR="00AA4D56" w:rsidRPr="005E4D39" w:rsidRDefault="00AA4D56" w:rsidP="00676B00">
            <w:pPr>
              <w:widowControl/>
              <w:autoSpaceDE/>
              <w:autoSpaceDN/>
              <w:jc w:val="center"/>
              <w:rPr>
                <w:rFonts w:eastAsia="Times New Roman"/>
                <w:b/>
                <w:bCs/>
                <w:color w:val="000000"/>
                <w:lang w:bidi="ar-SA"/>
              </w:rPr>
            </w:pPr>
            <w:r w:rsidRPr="005E4D39">
              <w:rPr>
                <w:rFonts w:eastAsia="Times New Roman"/>
                <w:b/>
                <w:bCs/>
                <w:color w:val="000000"/>
                <w:lang w:bidi="ar-SA"/>
              </w:rPr>
              <w:t>Dates</w:t>
            </w:r>
          </w:p>
        </w:tc>
      </w:tr>
      <w:tr w:rsidR="00AA4D56" w:rsidRPr="005E4D39" w14:paraId="1DE6F4FF" w14:textId="77777777" w:rsidTr="005E4D39">
        <w:trPr>
          <w:trHeight w:val="20"/>
        </w:trPr>
        <w:tc>
          <w:tcPr>
            <w:tcW w:w="5215" w:type="dxa"/>
            <w:shd w:val="clear" w:color="auto" w:fill="auto"/>
            <w:vAlign w:val="bottom"/>
            <w:hideMark/>
          </w:tcPr>
          <w:p w14:paraId="61EBC97B" w14:textId="77777777"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Conduct baseline energy assessments</w:t>
            </w:r>
          </w:p>
        </w:tc>
        <w:tc>
          <w:tcPr>
            <w:tcW w:w="1620" w:type="dxa"/>
            <w:shd w:val="clear" w:color="auto" w:fill="auto"/>
            <w:noWrap/>
            <w:vAlign w:val="bottom"/>
            <w:hideMark/>
          </w:tcPr>
          <w:p w14:paraId="2D9D5312" w14:textId="3C3A0FDF"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OCI</w:t>
            </w:r>
          </w:p>
        </w:tc>
        <w:tc>
          <w:tcPr>
            <w:tcW w:w="3240" w:type="dxa"/>
            <w:shd w:val="clear" w:color="auto" w:fill="auto"/>
            <w:noWrap/>
            <w:vAlign w:val="bottom"/>
            <w:hideMark/>
          </w:tcPr>
          <w:p w14:paraId="078895C9" w14:textId="3AA799EB" w:rsidR="00AA4D56" w:rsidRPr="005E4D39" w:rsidRDefault="00AA4D56" w:rsidP="00676B00">
            <w:pPr>
              <w:widowControl/>
              <w:autoSpaceDE/>
              <w:autoSpaceDN/>
              <w:jc w:val="right"/>
              <w:rPr>
                <w:rFonts w:eastAsia="Times New Roman"/>
                <w:sz w:val="20"/>
                <w:szCs w:val="20"/>
                <w:lang w:bidi="ar-SA"/>
              </w:rPr>
            </w:pPr>
            <w:r w:rsidRPr="005E4D39">
              <w:rPr>
                <w:rFonts w:eastAsia="Times New Roman"/>
                <w:lang w:bidi="ar-SA"/>
              </w:rPr>
              <w:t>1</w:t>
            </w:r>
            <w:r w:rsidRPr="005E4D39">
              <w:rPr>
                <w:rFonts w:eastAsia="Times New Roman"/>
                <w:vertAlign w:val="superscript"/>
                <w:lang w:bidi="ar-SA"/>
              </w:rPr>
              <w:t>st</w:t>
            </w:r>
            <w:r w:rsidRPr="005E4D39">
              <w:rPr>
                <w:rFonts w:eastAsia="Times New Roman"/>
                <w:lang w:bidi="ar-SA"/>
              </w:rPr>
              <w:t xml:space="preserve"> Quarter of FY</w:t>
            </w:r>
          </w:p>
        </w:tc>
      </w:tr>
      <w:tr w:rsidR="00AA4D56" w:rsidRPr="005E4D39" w14:paraId="11CA05C4" w14:textId="77777777" w:rsidTr="005E4D39">
        <w:trPr>
          <w:trHeight w:val="20"/>
        </w:trPr>
        <w:tc>
          <w:tcPr>
            <w:tcW w:w="5215" w:type="dxa"/>
            <w:shd w:val="clear" w:color="auto" w:fill="auto"/>
            <w:vAlign w:val="bottom"/>
            <w:hideMark/>
          </w:tcPr>
          <w:p w14:paraId="40519E39" w14:textId="63BF77FD"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 xml:space="preserve">Implement Miami Cools Program. Install GHG </w:t>
            </w:r>
            <w:r w:rsidR="000E792B">
              <w:rPr>
                <w:rFonts w:eastAsia="Times New Roman"/>
                <w:color w:val="000000"/>
                <w:lang w:bidi="ar-SA"/>
              </w:rPr>
              <w:t>R</w:t>
            </w:r>
            <w:r w:rsidRPr="005E4D39">
              <w:rPr>
                <w:rFonts w:eastAsia="Times New Roman"/>
                <w:color w:val="000000"/>
                <w:lang w:bidi="ar-SA"/>
              </w:rPr>
              <w:t xml:space="preserve">eduction </w:t>
            </w:r>
            <w:r w:rsidR="000E792B">
              <w:rPr>
                <w:rFonts w:eastAsia="Times New Roman"/>
                <w:color w:val="000000"/>
                <w:lang w:bidi="ar-SA"/>
              </w:rPr>
              <w:t>M</w:t>
            </w:r>
            <w:r w:rsidRPr="005E4D39">
              <w:rPr>
                <w:rFonts w:eastAsia="Times New Roman"/>
                <w:color w:val="000000"/>
                <w:lang w:bidi="ar-SA"/>
              </w:rPr>
              <w:t xml:space="preserve">easures in renter-occupied units. Annual goal: </w:t>
            </w:r>
            <w:r w:rsidR="00E56FEE">
              <w:rPr>
                <w:rFonts w:eastAsia="Times New Roman"/>
                <w:color w:val="000000"/>
                <w:lang w:bidi="ar-SA"/>
              </w:rPr>
              <w:t xml:space="preserve">50 housing units per year </w:t>
            </w:r>
            <w:r w:rsidR="007157E2">
              <w:rPr>
                <w:rFonts w:eastAsia="Times New Roman"/>
                <w:color w:val="000000"/>
                <w:lang w:bidi="ar-SA"/>
              </w:rPr>
              <w:t>–</w:t>
            </w:r>
            <w:r w:rsidR="00E56FEE">
              <w:rPr>
                <w:rFonts w:eastAsia="Times New Roman"/>
                <w:color w:val="000000"/>
                <w:lang w:bidi="ar-SA"/>
              </w:rPr>
              <w:t xml:space="preserve"> </w:t>
            </w:r>
            <w:r w:rsidR="007157E2">
              <w:rPr>
                <w:rFonts w:eastAsia="Times New Roman"/>
                <w:color w:val="000000"/>
                <w:lang w:bidi="ar-SA"/>
              </w:rPr>
              <w:t>25 single family homes, 25 units in multifamily (.0</w:t>
            </w:r>
            <w:r w:rsidR="00A15FB9">
              <w:rPr>
                <w:rFonts w:eastAsia="Times New Roman"/>
                <w:color w:val="000000"/>
                <w:lang w:bidi="ar-SA"/>
              </w:rPr>
              <w:t>2% of total housing)</w:t>
            </w:r>
            <w:r w:rsidRPr="005E4D39">
              <w:rPr>
                <w:rFonts w:eastAsia="Times New Roman"/>
                <w:color w:val="000000"/>
                <w:lang w:bidi="ar-SA"/>
              </w:rPr>
              <w:br/>
            </w:r>
            <w:r w:rsidRPr="005E4D39">
              <w:rPr>
                <w:rFonts w:eastAsia="Times New Roman"/>
                <w:color w:val="000000"/>
                <w:lang w:bidi="ar-SA"/>
              </w:rPr>
              <w:br/>
              <w:t>Measures include:</w:t>
            </w:r>
            <w:r w:rsidRPr="005E4D39">
              <w:rPr>
                <w:rFonts w:eastAsia="Times New Roman"/>
                <w:color w:val="000000"/>
                <w:lang w:bidi="ar-SA"/>
              </w:rPr>
              <w:br/>
              <w:t>-</w:t>
            </w:r>
            <w:r w:rsidR="006459F3" w:rsidRPr="005E4D39">
              <w:t xml:space="preserve"> </w:t>
            </w:r>
            <w:r w:rsidR="006459F3" w:rsidRPr="005E4D39">
              <w:rPr>
                <w:rFonts w:eastAsia="Times New Roman"/>
                <w:color w:val="000000"/>
                <w:lang w:bidi="ar-SA"/>
              </w:rPr>
              <w:t xml:space="preserve">R-01. </w:t>
            </w:r>
            <w:r w:rsidRPr="005E4D39">
              <w:rPr>
                <w:rFonts w:eastAsia="Times New Roman"/>
                <w:color w:val="000000"/>
                <w:lang w:bidi="ar-SA"/>
              </w:rPr>
              <w:t>Heat pumps or high efficiency AC retrofits and commissioning</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R-03. </w:t>
            </w:r>
            <w:r w:rsidRPr="005E4D39">
              <w:rPr>
                <w:rFonts w:eastAsia="Times New Roman"/>
                <w:color w:val="000000"/>
                <w:lang w:bidi="ar-SA"/>
              </w:rPr>
              <w:t>LED lighting</w:t>
            </w:r>
            <w:r w:rsidRPr="005E4D39">
              <w:rPr>
                <w:rFonts w:eastAsia="Times New Roman"/>
                <w:color w:val="000000"/>
                <w:lang w:bidi="ar-SA"/>
              </w:rPr>
              <w:br/>
              <w:t>-</w:t>
            </w:r>
            <w:r w:rsidR="00A74954" w:rsidRPr="005E4D39">
              <w:t xml:space="preserve"> </w:t>
            </w:r>
            <w:r w:rsidR="00A74954" w:rsidRPr="005E4D39">
              <w:rPr>
                <w:rFonts w:eastAsia="Times New Roman"/>
                <w:color w:val="000000"/>
                <w:lang w:bidi="ar-SA"/>
              </w:rPr>
              <w:t xml:space="preserve">R-04. </w:t>
            </w:r>
            <w:r w:rsidRPr="005E4D39">
              <w:rPr>
                <w:rFonts w:eastAsia="Times New Roman"/>
                <w:color w:val="000000"/>
                <w:lang w:bidi="ar-SA"/>
              </w:rPr>
              <w:t>Enclosure upgrades</w:t>
            </w:r>
            <w:r w:rsidRPr="005E4D39">
              <w:rPr>
                <w:rFonts w:eastAsia="Times New Roman"/>
                <w:color w:val="000000"/>
                <w:lang w:bidi="ar-SA"/>
              </w:rPr>
              <w:br/>
              <w:t>-</w:t>
            </w:r>
            <w:r w:rsidR="00416B4F" w:rsidRPr="005E4D39">
              <w:t xml:space="preserve"> </w:t>
            </w:r>
            <w:r w:rsidR="00416B4F" w:rsidRPr="005E4D39">
              <w:rPr>
                <w:rFonts w:eastAsia="Times New Roman"/>
                <w:color w:val="000000"/>
                <w:lang w:bidi="ar-SA"/>
              </w:rPr>
              <w:t xml:space="preserve">R-09. </w:t>
            </w:r>
            <w:r w:rsidRPr="005E4D39">
              <w:rPr>
                <w:rFonts w:eastAsia="Times New Roman"/>
                <w:color w:val="000000"/>
                <w:lang w:bidi="ar-SA"/>
              </w:rPr>
              <w:t>Smart thermostat</w:t>
            </w:r>
          </w:p>
        </w:tc>
        <w:tc>
          <w:tcPr>
            <w:tcW w:w="1620" w:type="dxa"/>
            <w:shd w:val="clear" w:color="auto" w:fill="auto"/>
            <w:noWrap/>
            <w:vAlign w:val="bottom"/>
            <w:hideMark/>
          </w:tcPr>
          <w:p w14:paraId="162FC468" w14:textId="0DFBF059" w:rsidR="00AA4D56" w:rsidRPr="005E4D39" w:rsidRDefault="00AA4D56" w:rsidP="00676B00">
            <w:pPr>
              <w:widowControl/>
              <w:autoSpaceDE/>
              <w:autoSpaceDN/>
              <w:rPr>
                <w:rFonts w:eastAsia="Times New Roman"/>
                <w:color w:val="000000"/>
                <w:lang w:bidi="ar-SA"/>
              </w:rPr>
            </w:pPr>
            <w:r w:rsidRPr="005E4D39">
              <w:rPr>
                <w:rFonts w:eastAsia="Times New Roman"/>
                <w:color w:val="000000"/>
                <w:lang w:bidi="ar-SA"/>
              </w:rPr>
              <w:t>OCI</w:t>
            </w:r>
          </w:p>
        </w:tc>
        <w:tc>
          <w:tcPr>
            <w:tcW w:w="3240" w:type="dxa"/>
            <w:shd w:val="clear" w:color="auto" w:fill="auto"/>
            <w:noWrap/>
            <w:vAlign w:val="bottom"/>
            <w:hideMark/>
          </w:tcPr>
          <w:p w14:paraId="418E7923" w14:textId="77777777" w:rsidR="00AA4D56" w:rsidRPr="005E4D39" w:rsidRDefault="00AA4D56" w:rsidP="00676B00">
            <w:pPr>
              <w:widowControl/>
              <w:autoSpaceDE/>
              <w:autoSpaceDN/>
              <w:jc w:val="right"/>
              <w:rPr>
                <w:rFonts w:eastAsia="Times New Roman"/>
                <w:sz w:val="20"/>
                <w:szCs w:val="20"/>
                <w:lang w:bidi="ar-SA"/>
              </w:rPr>
            </w:pPr>
            <w:r w:rsidRPr="005E4D39">
              <w:rPr>
                <w:rFonts w:eastAsia="Times New Roman"/>
                <w:lang w:bidi="ar-SA"/>
              </w:rPr>
              <w:t>2</w:t>
            </w:r>
            <w:r w:rsidRPr="005E4D39">
              <w:rPr>
                <w:rFonts w:eastAsia="Times New Roman"/>
                <w:vertAlign w:val="superscript"/>
                <w:lang w:bidi="ar-SA"/>
              </w:rPr>
              <w:t xml:space="preserve">nd </w:t>
            </w:r>
            <w:r w:rsidRPr="005E4D39">
              <w:rPr>
                <w:rFonts w:eastAsia="Times New Roman"/>
                <w:lang w:bidi="ar-SA"/>
              </w:rPr>
              <w:t>– 4</w:t>
            </w:r>
            <w:r w:rsidRPr="005E4D39">
              <w:rPr>
                <w:rFonts w:eastAsia="Times New Roman"/>
                <w:vertAlign w:val="superscript"/>
                <w:lang w:bidi="ar-SA"/>
              </w:rPr>
              <w:t>th</w:t>
            </w:r>
            <w:r w:rsidRPr="005E4D39">
              <w:rPr>
                <w:rFonts w:eastAsia="Times New Roman"/>
                <w:lang w:bidi="ar-SA"/>
              </w:rPr>
              <w:t xml:space="preserve"> Quarter of FY</w:t>
            </w:r>
          </w:p>
        </w:tc>
      </w:tr>
    </w:tbl>
    <w:p w14:paraId="4FAB84FF" w14:textId="77777777" w:rsidR="00C70D92" w:rsidRPr="00126EAA" w:rsidRDefault="00C70D92" w:rsidP="00B7698B">
      <w:pPr>
        <w:pStyle w:val="BodyText"/>
        <w:spacing w:before="1"/>
        <w:ind w:right="645"/>
        <w:rPr>
          <w:color w:val="A02B93" w:themeColor="accent5"/>
          <w:sz w:val="22"/>
          <w:szCs w:val="22"/>
        </w:rPr>
      </w:pPr>
    </w:p>
    <w:tbl>
      <w:tblPr>
        <w:tblW w:w="10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bottom w:w="14" w:type="dxa"/>
        </w:tblCellMar>
        <w:tblLook w:val="04A0" w:firstRow="1" w:lastRow="0" w:firstColumn="1" w:lastColumn="0" w:noHBand="0" w:noVBand="1"/>
      </w:tblPr>
      <w:tblGrid>
        <w:gridCol w:w="5215"/>
        <w:gridCol w:w="1620"/>
        <w:gridCol w:w="3241"/>
      </w:tblGrid>
      <w:tr w:rsidR="000B101A" w:rsidRPr="00126EAA" w14:paraId="75BBAD48" w14:textId="77777777" w:rsidTr="005E4D39">
        <w:trPr>
          <w:trHeight w:val="20"/>
        </w:trPr>
        <w:tc>
          <w:tcPr>
            <w:tcW w:w="10076" w:type="dxa"/>
            <w:gridSpan w:val="3"/>
            <w:shd w:val="clear" w:color="auto" w:fill="A02B93" w:themeFill="accent5"/>
            <w:noWrap/>
            <w:vAlign w:val="bottom"/>
            <w:hideMark/>
          </w:tcPr>
          <w:p w14:paraId="75205DCE" w14:textId="37A34412" w:rsidR="000B101A" w:rsidRPr="00126EAA" w:rsidRDefault="000B101A" w:rsidP="00676B00">
            <w:pPr>
              <w:widowControl/>
              <w:autoSpaceDE/>
              <w:autoSpaceDN/>
              <w:jc w:val="center"/>
              <w:rPr>
                <w:rFonts w:eastAsia="Times New Roman"/>
                <w:b/>
                <w:bCs/>
                <w:color w:val="FFFFFF" w:themeColor="background1"/>
                <w:sz w:val="20"/>
                <w:szCs w:val="20"/>
                <w:lang w:bidi="ar-SA"/>
              </w:rPr>
            </w:pPr>
            <w:r w:rsidRPr="00126EAA">
              <w:rPr>
                <w:rFonts w:eastAsia="Times New Roman"/>
                <w:b/>
                <w:bCs/>
                <w:color w:val="FFFFFF" w:themeColor="background1"/>
                <w:lang w:bidi="ar-SA"/>
              </w:rPr>
              <w:t>YEAR 5 (OCTOBER 2028 – SEPTEMBER 2029)</w:t>
            </w:r>
          </w:p>
        </w:tc>
      </w:tr>
      <w:tr w:rsidR="000B101A" w:rsidRPr="00126EAA" w14:paraId="09F4B305" w14:textId="77777777" w:rsidTr="005E4D39">
        <w:trPr>
          <w:trHeight w:val="20"/>
        </w:trPr>
        <w:tc>
          <w:tcPr>
            <w:tcW w:w="10076" w:type="dxa"/>
            <w:gridSpan w:val="3"/>
            <w:shd w:val="clear" w:color="000000" w:fill="E49EDD"/>
            <w:noWrap/>
            <w:vAlign w:val="bottom"/>
            <w:hideMark/>
          </w:tcPr>
          <w:p w14:paraId="3BF39054"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Task 0: Project Administration</w:t>
            </w:r>
          </w:p>
        </w:tc>
      </w:tr>
      <w:tr w:rsidR="000B101A" w:rsidRPr="00126EAA" w14:paraId="5F943675" w14:textId="77777777" w:rsidTr="005E4D39">
        <w:trPr>
          <w:trHeight w:val="20"/>
        </w:trPr>
        <w:tc>
          <w:tcPr>
            <w:tcW w:w="5215" w:type="dxa"/>
            <w:shd w:val="clear" w:color="000000" w:fill="F2CEED"/>
            <w:vAlign w:val="center"/>
            <w:hideMark/>
          </w:tcPr>
          <w:p w14:paraId="0B848BC1"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Activity</w:t>
            </w:r>
          </w:p>
        </w:tc>
        <w:tc>
          <w:tcPr>
            <w:tcW w:w="1620" w:type="dxa"/>
            <w:shd w:val="clear" w:color="000000" w:fill="F2CEED"/>
            <w:vAlign w:val="center"/>
            <w:hideMark/>
          </w:tcPr>
          <w:p w14:paraId="76F222C8"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Responsible Entity</w:t>
            </w:r>
          </w:p>
        </w:tc>
        <w:tc>
          <w:tcPr>
            <w:tcW w:w="3241" w:type="dxa"/>
            <w:shd w:val="clear" w:color="000000" w:fill="F2CEED"/>
            <w:vAlign w:val="center"/>
            <w:hideMark/>
          </w:tcPr>
          <w:p w14:paraId="422D5149"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Dates</w:t>
            </w:r>
          </w:p>
        </w:tc>
      </w:tr>
      <w:tr w:rsidR="000B101A" w:rsidRPr="00126EAA" w14:paraId="34916C61" w14:textId="77777777" w:rsidTr="005E4D39">
        <w:trPr>
          <w:trHeight w:val="20"/>
        </w:trPr>
        <w:tc>
          <w:tcPr>
            <w:tcW w:w="5215" w:type="dxa"/>
            <w:shd w:val="clear" w:color="auto" w:fill="auto"/>
            <w:vAlign w:val="bottom"/>
            <w:hideMark/>
          </w:tcPr>
          <w:p w14:paraId="53FA17A5" w14:textId="2E24F811" w:rsidR="000B101A" w:rsidRPr="00126EAA" w:rsidRDefault="000B101A" w:rsidP="00676B00">
            <w:pPr>
              <w:widowControl/>
              <w:autoSpaceDE/>
              <w:autoSpaceDN/>
              <w:rPr>
                <w:rFonts w:eastAsia="Times New Roman"/>
                <w:color w:val="000000"/>
                <w:lang w:bidi="ar-SA"/>
              </w:rPr>
            </w:pPr>
            <w:r w:rsidRPr="00126EAA">
              <w:rPr>
                <w:rFonts w:eastAsia="Times New Roman"/>
                <w:color w:val="000000"/>
                <w:lang w:bidi="ar-SA"/>
              </w:rPr>
              <w:t xml:space="preserve">Year </w:t>
            </w:r>
            <w:r w:rsidR="004E06B3" w:rsidRPr="00126EAA">
              <w:rPr>
                <w:rFonts w:eastAsia="Times New Roman"/>
                <w:color w:val="000000"/>
                <w:lang w:bidi="ar-SA"/>
              </w:rPr>
              <w:t>5</w:t>
            </w:r>
            <w:r w:rsidRPr="00126EAA">
              <w:rPr>
                <w:rFonts w:eastAsia="Times New Roman"/>
                <w:color w:val="000000"/>
                <w:lang w:bidi="ar-SA"/>
              </w:rPr>
              <w:t xml:space="preserve"> Semi-annual EPA Progress Report #1</w:t>
            </w:r>
          </w:p>
        </w:tc>
        <w:tc>
          <w:tcPr>
            <w:tcW w:w="1620" w:type="dxa"/>
            <w:shd w:val="clear" w:color="auto" w:fill="auto"/>
            <w:noWrap/>
            <w:vAlign w:val="bottom"/>
            <w:hideMark/>
          </w:tcPr>
          <w:p w14:paraId="3C69F96C" w14:textId="61CC5892" w:rsidR="000B101A" w:rsidRPr="00126EAA" w:rsidRDefault="00D04B78" w:rsidP="00676B00">
            <w:pPr>
              <w:widowControl/>
              <w:autoSpaceDE/>
              <w:autoSpaceDN/>
              <w:rPr>
                <w:rFonts w:eastAsia="Times New Roman"/>
                <w:color w:val="000000"/>
                <w:lang w:bidi="ar-SA"/>
              </w:rPr>
            </w:pPr>
            <w:r w:rsidRPr="00126EAA">
              <w:rPr>
                <w:rFonts w:eastAsia="Times New Roman"/>
                <w:color w:val="000000"/>
                <w:lang w:bidi="ar-SA"/>
              </w:rPr>
              <w:t>ORS</w:t>
            </w:r>
          </w:p>
        </w:tc>
        <w:tc>
          <w:tcPr>
            <w:tcW w:w="3241" w:type="dxa"/>
            <w:shd w:val="clear" w:color="auto" w:fill="auto"/>
            <w:noWrap/>
            <w:vAlign w:val="bottom"/>
            <w:hideMark/>
          </w:tcPr>
          <w:p w14:paraId="48926DF7" w14:textId="527D79AC" w:rsidR="000B101A" w:rsidRPr="00126EAA" w:rsidRDefault="000B101A" w:rsidP="00676B00">
            <w:pPr>
              <w:widowControl/>
              <w:autoSpaceDE/>
              <w:autoSpaceDN/>
              <w:jc w:val="right"/>
              <w:rPr>
                <w:rFonts w:eastAsia="Times New Roman"/>
                <w:color w:val="000000"/>
                <w:lang w:bidi="ar-SA"/>
              </w:rPr>
            </w:pPr>
            <w:r w:rsidRPr="00126EAA">
              <w:rPr>
                <w:rFonts w:eastAsia="Times New Roman"/>
                <w:color w:val="000000"/>
                <w:lang w:bidi="ar-SA"/>
              </w:rPr>
              <w:t xml:space="preserve">March </w:t>
            </w:r>
            <w:r w:rsidR="004E06B3" w:rsidRPr="00126EAA">
              <w:rPr>
                <w:rFonts w:eastAsia="Times New Roman"/>
                <w:color w:val="000000"/>
                <w:lang w:bidi="ar-SA"/>
              </w:rPr>
              <w:t>2029</w:t>
            </w:r>
          </w:p>
        </w:tc>
      </w:tr>
      <w:tr w:rsidR="000B101A" w:rsidRPr="00126EAA" w14:paraId="57986FB5" w14:textId="77777777" w:rsidTr="005E4D39">
        <w:trPr>
          <w:trHeight w:val="20"/>
        </w:trPr>
        <w:tc>
          <w:tcPr>
            <w:tcW w:w="5215" w:type="dxa"/>
            <w:shd w:val="clear" w:color="auto" w:fill="auto"/>
            <w:vAlign w:val="bottom"/>
            <w:hideMark/>
          </w:tcPr>
          <w:p w14:paraId="49F7A24D" w14:textId="4721AE8A" w:rsidR="000B101A" w:rsidRPr="00126EAA" w:rsidRDefault="000B101A" w:rsidP="00676B00">
            <w:pPr>
              <w:widowControl/>
              <w:autoSpaceDE/>
              <w:autoSpaceDN/>
              <w:rPr>
                <w:rFonts w:eastAsia="Times New Roman"/>
                <w:color w:val="000000"/>
                <w:lang w:bidi="ar-SA"/>
              </w:rPr>
            </w:pPr>
            <w:r w:rsidRPr="00126EAA">
              <w:rPr>
                <w:rFonts w:eastAsia="Times New Roman"/>
                <w:color w:val="000000"/>
                <w:lang w:bidi="ar-SA"/>
              </w:rPr>
              <w:t xml:space="preserve">Year </w:t>
            </w:r>
            <w:r w:rsidR="004E06B3" w:rsidRPr="00126EAA">
              <w:rPr>
                <w:rFonts w:eastAsia="Times New Roman"/>
                <w:color w:val="000000"/>
                <w:lang w:bidi="ar-SA"/>
              </w:rPr>
              <w:t>5</w:t>
            </w:r>
            <w:r w:rsidRPr="00126EAA">
              <w:rPr>
                <w:rFonts w:eastAsia="Times New Roman"/>
                <w:color w:val="000000"/>
                <w:lang w:bidi="ar-SA"/>
              </w:rPr>
              <w:t xml:space="preserve"> Semi-annual EPA Progress Report #2</w:t>
            </w:r>
          </w:p>
        </w:tc>
        <w:tc>
          <w:tcPr>
            <w:tcW w:w="1620" w:type="dxa"/>
            <w:shd w:val="clear" w:color="auto" w:fill="auto"/>
            <w:noWrap/>
            <w:vAlign w:val="bottom"/>
            <w:hideMark/>
          </w:tcPr>
          <w:p w14:paraId="3C1A2E61" w14:textId="1C52F3CC" w:rsidR="000B101A" w:rsidRPr="00126EAA" w:rsidRDefault="00D04B78" w:rsidP="00676B00">
            <w:pPr>
              <w:widowControl/>
              <w:autoSpaceDE/>
              <w:autoSpaceDN/>
              <w:rPr>
                <w:rFonts w:eastAsia="Times New Roman"/>
                <w:color w:val="000000"/>
                <w:lang w:bidi="ar-SA"/>
              </w:rPr>
            </w:pPr>
            <w:r w:rsidRPr="00126EAA">
              <w:rPr>
                <w:rFonts w:eastAsia="Times New Roman"/>
                <w:color w:val="000000"/>
                <w:lang w:bidi="ar-SA"/>
              </w:rPr>
              <w:t>ORS</w:t>
            </w:r>
          </w:p>
        </w:tc>
        <w:tc>
          <w:tcPr>
            <w:tcW w:w="3241" w:type="dxa"/>
            <w:shd w:val="clear" w:color="auto" w:fill="auto"/>
            <w:noWrap/>
            <w:vAlign w:val="bottom"/>
            <w:hideMark/>
          </w:tcPr>
          <w:p w14:paraId="537200E0" w14:textId="48911AA0" w:rsidR="000B101A" w:rsidRPr="00126EAA" w:rsidRDefault="000B101A" w:rsidP="00676B00">
            <w:pPr>
              <w:widowControl/>
              <w:autoSpaceDE/>
              <w:autoSpaceDN/>
              <w:jc w:val="right"/>
              <w:rPr>
                <w:rFonts w:eastAsia="Times New Roman"/>
                <w:color w:val="000000"/>
                <w:lang w:bidi="ar-SA"/>
              </w:rPr>
            </w:pPr>
            <w:r w:rsidRPr="00126EAA">
              <w:rPr>
                <w:rFonts w:eastAsia="Times New Roman"/>
                <w:color w:val="000000"/>
                <w:lang w:bidi="ar-SA"/>
              </w:rPr>
              <w:t xml:space="preserve">September </w:t>
            </w:r>
            <w:r w:rsidR="002B7FF7" w:rsidRPr="00126EAA">
              <w:rPr>
                <w:rFonts w:eastAsia="Times New Roman"/>
                <w:color w:val="000000"/>
                <w:lang w:bidi="ar-SA"/>
              </w:rPr>
              <w:t>2029</w:t>
            </w:r>
          </w:p>
        </w:tc>
      </w:tr>
      <w:tr w:rsidR="002B7FF7" w:rsidRPr="00126EAA" w14:paraId="06D13EC5" w14:textId="77777777" w:rsidTr="005E4D39">
        <w:trPr>
          <w:trHeight w:val="20"/>
        </w:trPr>
        <w:tc>
          <w:tcPr>
            <w:tcW w:w="5215" w:type="dxa"/>
            <w:shd w:val="clear" w:color="auto" w:fill="auto"/>
            <w:vAlign w:val="bottom"/>
          </w:tcPr>
          <w:p w14:paraId="33A90745" w14:textId="3708FB87" w:rsidR="002B7FF7" w:rsidRPr="00126EAA" w:rsidRDefault="00D10712" w:rsidP="00676B00">
            <w:pPr>
              <w:widowControl/>
              <w:autoSpaceDE/>
              <w:autoSpaceDN/>
              <w:rPr>
                <w:rFonts w:eastAsia="Times New Roman"/>
                <w:color w:val="000000"/>
                <w:lang w:bidi="ar-SA"/>
              </w:rPr>
            </w:pPr>
            <w:r w:rsidRPr="00126EAA">
              <w:rPr>
                <w:rFonts w:eastAsia="Times New Roman"/>
                <w:color w:val="000000"/>
                <w:lang w:bidi="ar-SA"/>
              </w:rPr>
              <w:t>Final Report</w:t>
            </w:r>
          </w:p>
        </w:tc>
        <w:tc>
          <w:tcPr>
            <w:tcW w:w="1620" w:type="dxa"/>
            <w:shd w:val="clear" w:color="auto" w:fill="auto"/>
            <w:noWrap/>
            <w:vAlign w:val="bottom"/>
          </w:tcPr>
          <w:p w14:paraId="7688A426" w14:textId="47844D2F" w:rsidR="002B7FF7" w:rsidRPr="00126EAA" w:rsidRDefault="00D04B78" w:rsidP="00676B00">
            <w:pPr>
              <w:widowControl/>
              <w:autoSpaceDE/>
              <w:autoSpaceDN/>
              <w:rPr>
                <w:rFonts w:eastAsia="Times New Roman"/>
                <w:color w:val="000000"/>
                <w:lang w:bidi="ar-SA"/>
              </w:rPr>
            </w:pPr>
            <w:r w:rsidRPr="00126EAA">
              <w:rPr>
                <w:rFonts w:eastAsia="Times New Roman"/>
                <w:color w:val="000000"/>
                <w:lang w:bidi="ar-SA"/>
              </w:rPr>
              <w:t>ORS</w:t>
            </w:r>
          </w:p>
        </w:tc>
        <w:tc>
          <w:tcPr>
            <w:tcW w:w="3241" w:type="dxa"/>
            <w:shd w:val="clear" w:color="auto" w:fill="auto"/>
            <w:noWrap/>
            <w:vAlign w:val="bottom"/>
          </w:tcPr>
          <w:p w14:paraId="730E4DF2" w14:textId="2D2C45FF" w:rsidR="002B7FF7" w:rsidRPr="00126EAA" w:rsidRDefault="00EE6C06" w:rsidP="00676B00">
            <w:pPr>
              <w:widowControl/>
              <w:autoSpaceDE/>
              <w:autoSpaceDN/>
              <w:jc w:val="right"/>
              <w:rPr>
                <w:rFonts w:eastAsia="Times New Roman"/>
                <w:color w:val="000000"/>
                <w:lang w:bidi="ar-SA"/>
              </w:rPr>
            </w:pPr>
            <w:r w:rsidRPr="00126EAA">
              <w:rPr>
                <w:rFonts w:eastAsia="Times New Roman"/>
                <w:color w:val="000000"/>
                <w:lang w:bidi="ar-SA"/>
              </w:rPr>
              <w:t>December 2029</w:t>
            </w:r>
          </w:p>
        </w:tc>
      </w:tr>
      <w:tr w:rsidR="000B101A" w:rsidRPr="00126EAA" w14:paraId="0D322780" w14:textId="77777777" w:rsidTr="005E4D39">
        <w:trPr>
          <w:trHeight w:val="20"/>
        </w:trPr>
        <w:tc>
          <w:tcPr>
            <w:tcW w:w="10076" w:type="dxa"/>
            <w:gridSpan w:val="3"/>
            <w:shd w:val="clear" w:color="000000" w:fill="E49EDD"/>
            <w:vAlign w:val="bottom"/>
            <w:hideMark/>
          </w:tcPr>
          <w:p w14:paraId="0E0266E5"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Task 1: Keep Safe Miami Program</w:t>
            </w:r>
          </w:p>
        </w:tc>
      </w:tr>
      <w:tr w:rsidR="000B101A" w:rsidRPr="00126EAA" w14:paraId="714239E2" w14:textId="77777777" w:rsidTr="005E4D39">
        <w:trPr>
          <w:trHeight w:val="20"/>
        </w:trPr>
        <w:tc>
          <w:tcPr>
            <w:tcW w:w="5215" w:type="dxa"/>
            <w:shd w:val="clear" w:color="000000" w:fill="F2CEED"/>
            <w:vAlign w:val="center"/>
            <w:hideMark/>
          </w:tcPr>
          <w:p w14:paraId="582217D7"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Activity</w:t>
            </w:r>
          </w:p>
        </w:tc>
        <w:tc>
          <w:tcPr>
            <w:tcW w:w="1620" w:type="dxa"/>
            <w:shd w:val="clear" w:color="000000" w:fill="F2CEED"/>
            <w:vAlign w:val="center"/>
            <w:hideMark/>
          </w:tcPr>
          <w:p w14:paraId="2EF971BE"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Responsible Entity</w:t>
            </w:r>
          </w:p>
        </w:tc>
        <w:tc>
          <w:tcPr>
            <w:tcW w:w="3241" w:type="dxa"/>
            <w:shd w:val="clear" w:color="000000" w:fill="F2CEED"/>
            <w:vAlign w:val="center"/>
            <w:hideMark/>
          </w:tcPr>
          <w:p w14:paraId="328D494F" w14:textId="77777777" w:rsidR="000B101A" w:rsidRPr="00126EAA" w:rsidRDefault="000B101A" w:rsidP="00676B00">
            <w:pPr>
              <w:widowControl/>
              <w:autoSpaceDE/>
              <w:autoSpaceDN/>
              <w:jc w:val="center"/>
              <w:rPr>
                <w:rFonts w:eastAsia="Times New Roman"/>
                <w:b/>
                <w:bCs/>
                <w:color w:val="000000"/>
                <w:lang w:bidi="ar-SA"/>
              </w:rPr>
            </w:pPr>
            <w:r w:rsidRPr="00126EAA">
              <w:rPr>
                <w:rFonts w:eastAsia="Times New Roman"/>
                <w:b/>
                <w:bCs/>
                <w:color w:val="000000"/>
                <w:lang w:bidi="ar-SA"/>
              </w:rPr>
              <w:t>Dates</w:t>
            </w:r>
          </w:p>
        </w:tc>
      </w:tr>
      <w:tr w:rsidR="00500577" w:rsidRPr="00126EAA" w14:paraId="639C3AA1" w14:textId="77777777" w:rsidTr="005E4D39">
        <w:trPr>
          <w:trHeight w:val="20"/>
        </w:trPr>
        <w:tc>
          <w:tcPr>
            <w:tcW w:w="5215" w:type="dxa"/>
            <w:shd w:val="clear" w:color="auto" w:fill="auto"/>
            <w:vAlign w:val="center"/>
          </w:tcPr>
          <w:p w14:paraId="08FB9480" w14:textId="37D1B76E" w:rsidR="00500577" w:rsidRPr="00126EAA" w:rsidRDefault="00453CC5" w:rsidP="00676B00">
            <w:pPr>
              <w:widowControl/>
              <w:autoSpaceDE/>
              <w:autoSpaceDN/>
              <w:rPr>
                <w:rFonts w:eastAsia="Times New Roman"/>
                <w:color w:val="000000"/>
                <w:lang w:bidi="ar-SA"/>
              </w:rPr>
            </w:pPr>
            <w:r w:rsidRPr="00126EAA">
              <w:rPr>
                <w:rFonts w:eastAsia="Times New Roman"/>
                <w:color w:val="000000"/>
                <w:lang w:bidi="ar-SA"/>
              </w:rPr>
              <w:t>Assist building owners/operators with completing energy resilience assessments</w:t>
            </w:r>
          </w:p>
        </w:tc>
        <w:tc>
          <w:tcPr>
            <w:tcW w:w="1620" w:type="dxa"/>
            <w:shd w:val="clear" w:color="auto" w:fill="auto"/>
            <w:vAlign w:val="center"/>
          </w:tcPr>
          <w:p w14:paraId="367CA707" w14:textId="649DAB2F" w:rsidR="00500577" w:rsidRPr="00126EAA" w:rsidRDefault="00453CC5" w:rsidP="00676B00">
            <w:pPr>
              <w:widowControl/>
              <w:autoSpaceDE/>
              <w:autoSpaceDN/>
              <w:rPr>
                <w:rFonts w:eastAsia="Times New Roman"/>
                <w:color w:val="000000"/>
                <w:lang w:bidi="ar-SA"/>
              </w:rPr>
            </w:pPr>
            <w:r w:rsidRPr="00126EAA">
              <w:rPr>
                <w:rFonts w:eastAsia="Times New Roman"/>
                <w:color w:val="000000"/>
                <w:lang w:bidi="ar-SA"/>
              </w:rPr>
              <w:t>ORS</w:t>
            </w:r>
          </w:p>
        </w:tc>
        <w:tc>
          <w:tcPr>
            <w:tcW w:w="3241" w:type="dxa"/>
            <w:shd w:val="clear" w:color="auto" w:fill="auto"/>
            <w:vAlign w:val="center"/>
          </w:tcPr>
          <w:p w14:paraId="672077AE" w14:textId="08AFD301" w:rsidR="00500577" w:rsidRPr="00126EAA" w:rsidRDefault="005C66F8" w:rsidP="00676B00">
            <w:pPr>
              <w:widowControl/>
              <w:autoSpaceDE/>
              <w:autoSpaceDN/>
              <w:jc w:val="right"/>
              <w:rPr>
                <w:rFonts w:eastAsia="Times New Roman"/>
                <w:b/>
                <w:bCs/>
                <w:color w:val="000000"/>
                <w:lang w:bidi="ar-SA"/>
              </w:rPr>
            </w:pPr>
            <w:r w:rsidRPr="00126EAA">
              <w:rPr>
                <w:rFonts w:eastAsia="Times New Roman"/>
                <w:lang w:bidi="ar-SA"/>
              </w:rPr>
              <w:t>1</w:t>
            </w:r>
            <w:r w:rsidRPr="00126EAA">
              <w:rPr>
                <w:rFonts w:eastAsia="Times New Roman"/>
                <w:vertAlign w:val="superscript"/>
                <w:lang w:bidi="ar-SA"/>
              </w:rPr>
              <w:t>st</w:t>
            </w:r>
            <w:r w:rsidRPr="00126EAA">
              <w:rPr>
                <w:rFonts w:eastAsia="Times New Roman"/>
                <w:lang w:bidi="ar-SA"/>
              </w:rPr>
              <w:t xml:space="preserve"> – 4</w:t>
            </w:r>
            <w:r w:rsidRPr="00126EAA">
              <w:rPr>
                <w:rFonts w:eastAsia="Times New Roman"/>
                <w:vertAlign w:val="superscript"/>
                <w:lang w:bidi="ar-SA"/>
              </w:rPr>
              <w:t>th</w:t>
            </w:r>
            <w:r w:rsidRPr="00126EAA">
              <w:rPr>
                <w:rFonts w:eastAsia="Times New Roman"/>
                <w:lang w:bidi="ar-SA"/>
              </w:rPr>
              <w:t xml:space="preserve"> Quarter of FY</w:t>
            </w:r>
          </w:p>
        </w:tc>
      </w:tr>
      <w:tr w:rsidR="00560DE9" w:rsidRPr="00126EAA" w14:paraId="219D55C4" w14:textId="77777777" w:rsidTr="005E4D39">
        <w:trPr>
          <w:trHeight w:val="20"/>
        </w:trPr>
        <w:tc>
          <w:tcPr>
            <w:tcW w:w="5215" w:type="dxa"/>
            <w:shd w:val="clear" w:color="auto" w:fill="auto"/>
            <w:vAlign w:val="bottom"/>
            <w:hideMark/>
          </w:tcPr>
          <w:p w14:paraId="14B3794F" w14:textId="77777777"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Conduct baseline energy assessments</w:t>
            </w:r>
          </w:p>
        </w:tc>
        <w:tc>
          <w:tcPr>
            <w:tcW w:w="1620" w:type="dxa"/>
            <w:shd w:val="clear" w:color="auto" w:fill="auto"/>
            <w:noWrap/>
            <w:vAlign w:val="bottom"/>
            <w:hideMark/>
          </w:tcPr>
          <w:p w14:paraId="444175E2" w14:textId="6A62B21A"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OCI</w:t>
            </w:r>
          </w:p>
        </w:tc>
        <w:tc>
          <w:tcPr>
            <w:tcW w:w="3241" w:type="dxa"/>
            <w:shd w:val="clear" w:color="auto" w:fill="auto"/>
            <w:noWrap/>
            <w:vAlign w:val="bottom"/>
            <w:hideMark/>
          </w:tcPr>
          <w:p w14:paraId="1E54430F" w14:textId="78C35DB2" w:rsidR="00560DE9" w:rsidRPr="00126EAA" w:rsidRDefault="00560DE9" w:rsidP="00676B00">
            <w:pPr>
              <w:widowControl/>
              <w:autoSpaceDE/>
              <w:autoSpaceDN/>
              <w:jc w:val="right"/>
              <w:rPr>
                <w:rFonts w:eastAsia="Times New Roman"/>
                <w:sz w:val="20"/>
                <w:szCs w:val="20"/>
                <w:lang w:bidi="ar-SA"/>
              </w:rPr>
            </w:pPr>
            <w:r w:rsidRPr="00126EAA">
              <w:rPr>
                <w:rFonts w:eastAsia="Times New Roman"/>
                <w:lang w:bidi="ar-SA"/>
              </w:rPr>
              <w:t>1</w:t>
            </w:r>
            <w:r w:rsidRPr="00126EAA">
              <w:rPr>
                <w:rFonts w:eastAsia="Times New Roman"/>
                <w:vertAlign w:val="superscript"/>
                <w:lang w:bidi="ar-SA"/>
              </w:rPr>
              <w:t>st</w:t>
            </w:r>
            <w:r w:rsidRPr="00126EAA">
              <w:rPr>
                <w:rFonts w:eastAsia="Times New Roman"/>
                <w:lang w:bidi="ar-SA"/>
              </w:rPr>
              <w:t xml:space="preserve"> Quarter of FY</w:t>
            </w:r>
          </w:p>
        </w:tc>
      </w:tr>
      <w:tr w:rsidR="00560DE9" w:rsidRPr="00126EAA" w14:paraId="5DE0F07C" w14:textId="77777777" w:rsidTr="005E4D39">
        <w:trPr>
          <w:trHeight w:val="20"/>
        </w:trPr>
        <w:tc>
          <w:tcPr>
            <w:tcW w:w="5215" w:type="dxa"/>
            <w:shd w:val="clear" w:color="auto" w:fill="auto"/>
            <w:vAlign w:val="bottom"/>
            <w:hideMark/>
          </w:tcPr>
          <w:p w14:paraId="2BF00656" w14:textId="6C92347F"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 xml:space="preserve">Implement Keep Safe Miami Program. Install GHG </w:t>
            </w:r>
            <w:r w:rsidR="00B013C8">
              <w:rPr>
                <w:rFonts w:eastAsia="Times New Roman"/>
                <w:color w:val="000000"/>
                <w:lang w:bidi="ar-SA"/>
              </w:rPr>
              <w:t>R</w:t>
            </w:r>
            <w:r w:rsidRPr="00126EAA">
              <w:rPr>
                <w:rFonts w:eastAsia="Times New Roman"/>
                <w:color w:val="000000"/>
                <w:lang w:bidi="ar-SA"/>
              </w:rPr>
              <w:t xml:space="preserve">eduction </w:t>
            </w:r>
            <w:r w:rsidR="00B013C8">
              <w:rPr>
                <w:rFonts w:eastAsia="Times New Roman"/>
                <w:color w:val="000000"/>
                <w:lang w:bidi="ar-SA"/>
              </w:rPr>
              <w:t>M</w:t>
            </w:r>
            <w:r w:rsidRPr="00126EAA">
              <w:rPr>
                <w:rFonts w:eastAsia="Times New Roman"/>
                <w:color w:val="000000"/>
                <w:lang w:bidi="ar-SA"/>
              </w:rPr>
              <w:t xml:space="preserve">easures in apartment buildings. Annual goal: </w:t>
            </w:r>
            <w:r w:rsidR="00B34205">
              <w:rPr>
                <w:rFonts w:eastAsia="Times New Roman"/>
                <w:color w:val="000000"/>
                <w:lang w:bidi="ar-SA"/>
              </w:rPr>
              <w:t>20 multifamily buildings/80 housing units per year (0.04% of total housing/year)</w:t>
            </w:r>
            <w:r w:rsidRPr="00126EAA">
              <w:rPr>
                <w:rFonts w:eastAsia="Times New Roman"/>
                <w:color w:val="000000"/>
                <w:lang w:bidi="ar-SA"/>
              </w:rPr>
              <w:t>)</w:t>
            </w:r>
            <w:r w:rsidRPr="00126EAA">
              <w:rPr>
                <w:rFonts w:eastAsia="Times New Roman"/>
                <w:color w:val="000000"/>
                <w:lang w:bidi="ar-SA"/>
              </w:rPr>
              <w:br/>
            </w:r>
            <w:r w:rsidRPr="00126EAA">
              <w:rPr>
                <w:rFonts w:eastAsia="Times New Roman"/>
                <w:color w:val="000000"/>
                <w:lang w:bidi="ar-SA"/>
              </w:rPr>
              <w:br/>
              <w:t>Measures include:</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R-01. </w:t>
            </w:r>
            <w:r w:rsidRPr="00126EAA">
              <w:rPr>
                <w:rFonts w:eastAsia="Times New Roman"/>
                <w:color w:val="000000"/>
                <w:lang w:bidi="ar-SA"/>
              </w:rPr>
              <w:t>Heat pumps or high efficiency AC retrofits and commissioning</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R-02. </w:t>
            </w:r>
            <w:r w:rsidRPr="00126EAA">
              <w:rPr>
                <w:rFonts w:eastAsia="Times New Roman"/>
                <w:color w:val="000000"/>
                <w:lang w:bidi="ar-SA"/>
              </w:rPr>
              <w:t>Solar PV (</w:t>
            </w:r>
            <w:r w:rsidR="00B34205">
              <w:rPr>
                <w:rFonts w:eastAsia="Times New Roman"/>
                <w:color w:val="000000"/>
                <w:lang w:bidi="ar-SA"/>
              </w:rPr>
              <w:t>800</w:t>
            </w:r>
            <w:r w:rsidRPr="00126EAA">
              <w:rPr>
                <w:rFonts w:eastAsia="Times New Roman"/>
                <w:color w:val="000000"/>
                <w:lang w:bidi="ar-SA"/>
              </w:rPr>
              <w:t xml:space="preserve"> kW installed/year)</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R-03. </w:t>
            </w:r>
            <w:r w:rsidRPr="00126EAA">
              <w:rPr>
                <w:rFonts w:eastAsia="Times New Roman"/>
                <w:color w:val="000000"/>
                <w:lang w:bidi="ar-SA"/>
              </w:rPr>
              <w:t>LED lighting</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R-04. </w:t>
            </w:r>
            <w:r w:rsidRPr="00126EAA">
              <w:rPr>
                <w:rFonts w:eastAsia="Times New Roman"/>
                <w:color w:val="000000"/>
                <w:lang w:bidi="ar-SA"/>
              </w:rPr>
              <w:t>Enclosure upgrades</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R-05. </w:t>
            </w:r>
            <w:r w:rsidRPr="00126EAA">
              <w:rPr>
                <w:rFonts w:eastAsia="Times New Roman"/>
                <w:color w:val="000000"/>
                <w:lang w:bidi="ar-SA"/>
              </w:rPr>
              <w:t>Window, door, and skylight replacements</w:t>
            </w:r>
            <w:r w:rsidRPr="00126EAA">
              <w:rPr>
                <w:rFonts w:eastAsia="Times New Roman"/>
                <w:color w:val="000000"/>
                <w:lang w:bidi="ar-SA"/>
              </w:rPr>
              <w:br/>
              <w:t>-</w:t>
            </w:r>
            <w:r w:rsidR="00416B4F" w:rsidRPr="00126EAA">
              <w:t xml:space="preserve"> </w:t>
            </w:r>
            <w:r w:rsidR="00416B4F" w:rsidRPr="00126EAA">
              <w:rPr>
                <w:rFonts w:eastAsia="Times New Roman"/>
                <w:color w:val="000000"/>
                <w:lang w:bidi="ar-SA"/>
              </w:rPr>
              <w:t xml:space="preserve">R-06. </w:t>
            </w:r>
            <w:r w:rsidRPr="00126EAA">
              <w:rPr>
                <w:rFonts w:eastAsia="Times New Roman"/>
                <w:color w:val="000000"/>
                <w:lang w:bidi="ar-SA"/>
              </w:rPr>
              <w:t>Efficient appliances and plug load management</w:t>
            </w:r>
            <w:r w:rsidRPr="00126EAA">
              <w:rPr>
                <w:rFonts w:eastAsia="Times New Roman"/>
                <w:color w:val="000000"/>
                <w:lang w:bidi="ar-SA"/>
              </w:rPr>
              <w:br/>
              <w:t>-</w:t>
            </w:r>
            <w:r w:rsidR="00416B4F" w:rsidRPr="00126EAA">
              <w:t xml:space="preserve"> </w:t>
            </w:r>
            <w:r w:rsidR="00416B4F" w:rsidRPr="00126EAA">
              <w:rPr>
                <w:rFonts w:eastAsia="Times New Roman"/>
                <w:color w:val="000000"/>
                <w:lang w:bidi="ar-SA"/>
              </w:rPr>
              <w:t xml:space="preserve">R-07. </w:t>
            </w:r>
            <w:r w:rsidRPr="00126EAA">
              <w:rPr>
                <w:rFonts w:eastAsia="Times New Roman"/>
                <w:color w:val="000000"/>
                <w:lang w:bidi="ar-SA"/>
              </w:rPr>
              <w:t>Heat pump for hot water</w:t>
            </w:r>
            <w:r w:rsidRPr="00126EAA">
              <w:rPr>
                <w:rFonts w:eastAsia="Times New Roman"/>
                <w:color w:val="000000"/>
                <w:lang w:bidi="ar-SA"/>
              </w:rPr>
              <w:br/>
              <w:t>-</w:t>
            </w:r>
            <w:r w:rsidR="00416B4F" w:rsidRPr="00126EAA">
              <w:t xml:space="preserve"> </w:t>
            </w:r>
            <w:r w:rsidR="00416B4F" w:rsidRPr="00126EAA">
              <w:rPr>
                <w:rFonts w:eastAsia="Times New Roman"/>
                <w:color w:val="000000"/>
                <w:lang w:bidi="ar-SA"/>
              </w:rPr>
              <w:t xml:space="preserve">R-08. </w:t>
            </w:r>
            <w:r w:rsidRPr="00126EAA">
              <w:rPr>
                <w:rFonts w:eastAsia="Times New Roman"/>
                <w:color w:val="000000"/>
                <w:lang w:bidi="ar-SA"/>
              </w:rPr>
              <w:t>Solar hot water heater</w:t>
            </w:r>
            <w:r w:rsidRPr="00126EAA">
              <w:rPr>
                <w:rFonts w:eastAsia="Times New Roman"/>
                <w:color w:val="000000"/>
                <w:lang w:bidi="ar-SA"/>
              </w:rPr>
              <w:br/>
              <w:t>-</w:t>
            </w:r>
            <w:r w:rsidR="00416B4F" w:rsidRPr="00126EAA">
              <w:t xml:space="preserve"> </w:t>
            </w:r>
            <w:r w:rsidR="00416B4F" w:rsidRPr="00126EAA">
              <w:rPr>
                <w:rFonts w:eastAsia="Times New Roman"/>
                <w:color w:val="000000"/>
                <w:lang w:bidi="ar-SA"/>
              </w:rPr>
              <w:t xml:space="preserve">R-09. </w:t>
            </w:r>
            <w:r w:rsidRPr="00126EAA">
              <w:rPr>
                <w:rFonts w:eastAsia="Times New Roman"/>
                <w:color w:val="000000"/>
                <w:lang w:bidi="ar-SA"/>
              </w:rPr>
              <w:t>Smart thermostat</w:t>
            </w:r>
          </w:p>
        </w:tc>
        <w:tc>
          <w:tcPr>
            <w:tcW w:w="1620" w:type="dxa"/>
            <w:shd w:val="clear" w:color="auto" w:fill="auto"/>
            <w:noWrap/>
            <w:vAlign w:val="bottom"/>
            <w:hideMark/>
          </w:tcPr>
          <w:p w14:paraId="322FEBAF" w14:textId="18DE9649"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OCI</w:t>
            </w:r>
          </w:p>
        </w:tc>
        <w:tc>
          <w:tcPr>
            <w:tcW w:w="3241" w:type="dxa"/>
            <w:shd w:val="clear" w:color="auto" w:fill="auto"/>
            <w:noWrap/>
            <w:vAlign w:val="bottom"/>
            <w:hideMark/>
          </w:tcPr>
          <w:p w14:paraId="73715543" w14:textId="79EE7DCF" w:rsidR="00560DE9" w:rsidRPr="00126EAA" w:rsidRDefault="00560DE9" w:rsidP="00676B00">
            <w:pPr>
              <w:widowControl/>
              <w:autoSpaceDE/>
              <w:autoSpaceDN/>
              <w:jc w:val="right"/>
              <w:rPr>
                <w:rFonts w:eastAsia="Times New Roman"/>
                <w:sz w:val="20"/>
                <w:szCs w:val="20"/>
                <w:lang w:bidi="ar-SA"/>
              </w:rPr>
            </w:pPr>
            <w:r w:rsidRPr="00126EAA">
              <w:rPr>
                <w:rFonts w:eastAsia="Times New Roman"/>
                <w:lang w:bidi="ar-SA"/>
              </w:rPr>
              <w:t>2</w:t>
            </w:r>
            <w:r w:rsidRPr="00126EAA">
              <w:rPr>
                <w:rFonts w:eastAsia="Times New Roman"/>
                <w:vertAlign w:val="superscript"/>
                <w:lang w:bidi="ar-SA"/>
              </w:rPr>
              <w:t xml:space="preserve">nd </w:t>
            </w:r>
            <w:r w:rsidRPr="00126EAA">
              <w:rPr>
                <w:rFonts w:eastAsia="Times New Roman"/>
                <w:lang w:bidi="ar-SA"/>
              </w:rPr>
              <w:t>– 4</w:t>
            </w:r>
            <w:r w:rsidRPr="00126EAA">
              <w:rPr>
                <w:rFonts w:eastAsia="Times New Roman"/>
                <w:vertAlign w:val="superscript"/>
                <w:lang w:bidi="ar-SA"/>
              </w:rPr>
              <w:t>th</w:t>
            </w:r>
            <w:r w:rsidRPr="00126EAA">
              <w:rPr>
                <w:rFonts w:eastAsia="Times New Roman"/>
                <w:lang w:bidi="ar-SA"/>
              </w:rPr>
              <w:t xml:space="preserve"> Quarter of FY</w:t>
            </w:r>
          </w:p>
        </w:tc>
      </w:tr>
      <w:tr w:rsidR="00560DE9" w:rsidRPr="00126EAA" w14:paraId="7B3248A9" w14:textId="77777777" w:rsidTr="005E4D39">
        <w:trPr>
          <w:trHeight w:val="20"/>
        </w:trPr>
        <w:tc>
          <w:tcPr>
            <w:tcW w:w="10076" w:type="dxa"/>
            <w:gridSpan w:val="3"/>
            <w:shd w:val="clear" w:color="000000" w:fill="E49EDD"/>
            <w:vAlign w:val="bottom"/>
            <w:hideMark/>
          </w:tcPr>
          <w:p w14:paraId="1976BCB6"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Task 2: Homeowner Preservation Program</w:t>
            </w:r>
          </w:p>
        </w:tc>
      </w:tr>
      <w:tr w:rsidR="00560DE9" w:rsidRPr="00126EAA" w14:paraId="2B682FD0" w14:textId="77777777" w:rsidTr="005E4D39">
        <w:trPr>
          <w:trHeight w:val="20"/>
        </w:trPr>
        <w:tc>
          <w:tcPr>
            <w:tcW w:w="5215" w:type="dxa"/>
            <w:shd w:val="clear" w:color="000000" w:fill="F2CEED"/>
            <w:vAlign w:val="center"/>
            <w:hideMark/>
          </w:tcPr>
          <w:p w14:paraId="531A8496"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Activity</w:t>
            </w:r>
          </w:p>
        </w:tc>
        <w:tc>
          <w:tcPr>
            <w:tcW w:w="1620" w:type="dxa"/>
            <w:shd w:val="clear" w:color="000000" w:fill="F2CEED"/>
            <w:vAlign w:val="center"/>
            <w:hideMark/>
          </w:tcPr>
          <w:p w14:paraId="3B5D5ECF"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Responsible Entity</w:t>
            </w:r>
          </w:p>
        </w:tc>
        <w:tc>
          <w:tcPr>
            <w:tcW w:w="3241" w:type="dxa"/>
            <w:shd w:val="clear" w:color="000000" w:fill="F2CEED"/>
            <w:vAlign w:val="center"/>
            <w:hideMark/>
          </w:tcPr>
          <w:p w14:paraId="080B0FC2"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Dates</w:t>
            </w:r>
          </w:p>
        </w:tc>
      </w:tr>
      <w:tr w:rsidR="00560DE9" w:rsidRPr="00126EAA" w14:paraId="4F2E56E2" w14:textId="77777777" w:rsidTr="005E4D39">
        <w:trPr>
          <w:trHeight w:val="20"/>
        </w:trPr>
        <w:tc>
          <w:tcPr>
            <w:tcW w:w="5215" w:type="dxa"/>
            <w:shd w:val="clear" w:color="auto" w:fill="auto"/>
            <w:vAlign w:val="bottom"/>
            <w:hideMark/>
          </w:tcPr>
          <w:p w14:paraId="56FF0A17" w14:textId="77777777"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Conduct baseline energy assessments</w:t>
            </w:r>
          </w:p>
        </w:tc>
        <w:tc>
          <w:tcPr>
            <w:tcW w:w="1620" w:type="dxa"/>
            <w:shd w:val="clear" w:color="auto" w:fill="auto"/>
            <w:noWrap/>
            <w:vAlign w:val="bottom"/>
            <w:hideMark/>
          </w:tcPr>
          <w:p w14:paraId="1132F1CB" w14:textId="572A93A8"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OCI</w:t>
            </w:r>
          </w:p>
        </w:tc>
        <w:tc>
          <w:tcPr>
            <w:tcW w:w="3241" w:type="dxa"/>
            <w:shd w:val="clear" w:color="auto" w:fill="auto"/>
            <w:noWrap/>
            <w:vAlign w:val="bottom"/>
            <w:hideMark/>
          </w:tcPr>
          <w:p w14:paraId="6A72BFA0" w14:textId="6BFEA557" w:rsidR="00560DE9" w:rsidRPr="00126EAA" w:rsidRDefault="00560DE9" w:rsidP="00676B00">
            <w:pPr>
              <w:widowControl/>
              <w:autoSpaceDE/>
              <w:autoSpaceDN/>
              <w:jc w:val="right"/>
              <w:rPr>
                <w:rFonts w:eastAsia="Times New Roman"/>
                <w:sz w:val="20"/>
                <w:szCs w:val="20"/>
                <w:lang w:bidi="ar-SA"/>
              </w:rPr>
            </w:pPr>
            <w:r w:rsidRPr="00126EAA">
              <w:rPr>
                <w:rFonts w:eastAsia="Times New Roman"/>
                <w:lang w:bidi="ar-SA"/>
              </w:rPr>
              <w:t>1</w:t>
            </w:r>
            <w:r w:rsidRPr="00126EAA">
              <w:rPr>
                <w:rFonts w:eastAsia="Times New Roman"/>
                <w:vertAlign w:val="superscript"/>
                <w:lang w:bidi="ar-SA"/>
              </w:rPr>
              <w:t>st</w:t>
            </w:r>
            <w:r w:rsidRPr="00126EAA">
              <w:rPr>
                <w:rFonts w:eastAsia="Times New Roman"/>
                <w:lang w:bidi="ar-SA"/>
              </w:rPr>
              <w:t xml:space="preserve"> Quarter of FY</w:t>
            </w:r>
          </w:p>
        </w:tc>
      </w:tr>
      <w:tr w:rsidR="00560DE9" w:rsidRPr="00126EAA" w14:paraId="6732F2B1" w14:textId="77777777" w:rsidTr="005E4D39">
        <w:trPr>
          <w:trHeight w:val="20"/>
        </w:trPr>
        <w:tc>
          <w:tcPr>
            <w:tcW w:w="5215" w:type="dxa"/>
            <w:shd w:val="clear" w:color="auto" w:fill="auto"/>
            <w:vAlign w:val="bottom"/>
            <w:hideMark/>
          </w:tcPr>
          <w:p w14:paraId="3FC7FC4F" w14:textId="08B470ED"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 xml:space="preserve">Implement Homeownership Preservation Program. Install GHG </w:t>
            </w:r>
            <w:r w:rsidR="000E792B">
              <w:rPr>
                <w:rFonts w:eastAsia="Times New Roman"/>
                <w:color w:val="000000"/>
                <w:lang w:bidi="ar-SA"/>
              </w:rPr>
              <w:t>R</w:t>
            </w:r>
            <w:r w:rsidRPr="00126EAA">
              <w:rPr>
                <w:rFonts w:eastAsia="Times New Roman"/>
                <w:color w:val="000000"/>
                <w:lang w:bidi="ar-SA"/>
              </w:rPr>
              <w:t xml:space="preserve">eduction </w:t>
            </w:r>
            <w:r w:rsidR="000E792B">
              <w:rPr>
                <w:rFonts w:eastAsia="Times New Roman"/>
                <w:color w:val="000000"/>
                <w:lang w:bidi="ar-SA"/>
              </w:rPr>
              <w:t>M</w:t>
            </w:r>
            <w:r w:rsidRPr="00126EAA">
              <w:rPr>
                <w:rFonts w:eastAsia="Times New Roman"/>
                <w:color w:val="000000"/>
                <w:lang w:bidi="ar-SA"/>
              </w:rPr>
              <w:t xml:space="preserve">easures in single-family homes buildings. Annual goal: </w:t>
            </w:r>
            <w:r w:rsidR="00B34205">
              <w:rPr>
                <w:rFonts w:eastAsia="Times New Roman"/>
                <w:color w:val="000000"/>
                <w:lang w:bidi="ar-SA"/>
              </w:rPr>
              <w:t>20 single family homes per year (0.009% of total housing)</w:t>
            </w:r>
            <w:r w:rsidRPr="00126EAA">
              <w:rPr>
                <w:rFonts w:eastAsia="Times New Roman"/>
                <w:color w:val="000000"/>
                <w:lang w:bidi="ar-SA"/>
              </w:rPr>
              <w:br/>
            </w:r>
            <w:r w:rsidRPr="00126EAA">
              <w:rPr>
                <w:rFonts w:eastAsia="Times New Roman"/>
                <w:color w:val="000000"/>
                <w:lang w:bidi="ar-SA"/>
              </w:rPr>
              <w:br/>
              <w:t>Measures include:</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R-02. </w:t>
            </w:r>
            <w:r w:rsidRPr="00126EAA">
              <w:rPr>
                <w:rFonts w:eastAsia="Times New Roman"/>
                <w:color w:val="000000"/>
                <w:lang w:bidi="ar-SA"/>
              </w:rPr>
              <w:t>Solar PV (</w:t>
            </w:r>
            <w:r w:rsidR="00B34205">
              <w:rPr>
                <w:rFonts w:eastAsia="Times New Roman"/>
                <w:color w:val="000000"/>
                <w:lang w:bidi="ar-SA"/>
              </w:rPr>
              <w:t>200</w:t>
            </w:r>
            <w:r w:rsidRPr="00126EAA">
              <w:rPr>
                <w:rFonts w:eastAsia="Times New Roman"/>
                <w:color w:val="000000"/>
                <w:lang w:bidi="ar-SA"/>
              </w:rPr>
              <w:t xml:space="preserve"> kW installed/year)</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R-04. </w:t>
            </w:r>
            <w:r w:rsidRPr="00126EAA">
              <w:rPr>
                <w:rFonts w:eastAsia="Times New Roman"/>
                <w:color w:val="000000"/>
                <w:lang w:bidi="ar-SA"/>
              </w:rPr>
              <w:t>Enclosure upgrades</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R-05. </w:t>
            </w:r>
            <w:r w:rsidRPr="00126EAA">
              <w:rPr>
                <w:rFonts w:eastAsia="Times New Roman"/>
                <w:color w:val="000000"/>
                <w:lang w:bidi="ar-SA"/>
              </w:rPr>
              <w:t>Window, door, and skylight replacement</w:t>
            </w:r>
          </w:p>
        </w:tc>
        <w:tc>
          <w:tcPr>
            <w:tcW w:w="1620" w:type="dxa"/>
            <w:shd w:val="clear" w:color="auto" w:fill="auto"/>
            <w:noWrap/>
            <w:vAlign w:val="bottom"/>
            <w:hideMark/>
          </w:tcPr>
          <w:p w14:paraId="7627453A" w14:textId="28E7EBBE"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OCI</w:t>
            </w:r>
          </w:p>
        </w:tc>
        <w:tc>
          <w:tcPr>
            <w:tcW w:w="3241" w:type="dxa"/>
            <w:shd w:val="clear" w:color="auto" w:fill="auto"/>
            <w:noWrap/>
            <w:vAlign w:val="bottom"/>
            <w:hideMark/>
          </w:tcPr>
          <w:p w14:paraId="5B97BCCD" w14:textId="2319F7AA" w:rsidR="00560DE9" w:rsidRPr="00126EAA" w:rsidRDefault="00560DE9" w:rsidP="00676B00">
            <w:pPr>
              <w:widowControl/>
              <w:autoSpaceDE/>
              <w:autoSpaceDN/>
              <w:jc w:val="right"/>
              <w:rPr>
                <w:rFonts w:eastAsia="Times New Roman"/>
                <w:sz w:val="20"/>
                <w:szCs w:val="20"/>
                <w:lang w:bidi="ar-SA"/>
              </w:rPr>
            </w:pPr>
            <w:r w:rsidRPr="00126EAA">
              <w:rPr>
                <w:rFonts w:eastAsia="Times New Roman"/>
                <w:lang w:bidi="ar-SA"/>
              </w:rPr>
              <w:t>2</w:t>
            </w:r>
            <w:r w:rsidRPr="00126EAA">
              <w:rPr>
                <w:rFonts w:eastAsia="Times New Roman"/>
                <w:vertAlign w:val="superscript"/>
                <w:lang w:bidi="ar-SA"/>
              </w:rPr>
              <w:t xml:space="preserve">nd </w:t>
            </w:r>
            <w:r w:rsidRPr="00126EAA">
              <w:rPr>
                <w:rFonts w:eastAsia="Times New Roman"/>
                <w:lang w:bidi="ar-SA"/>
              </w:rPr>
              <w:t>– 4</w:t>
            </w:r>
            <w:r w:rsidRPr="00126EAA">
              <w:rPr>
                <w:rFonts w:eastAsia="Times New Roman"/>
                <w:vertAlign w:val="superscript"/>
                <w:lang w:bidi="ar-SA"/>
              </w:rPr>
              <w:t>th</w:t>
            </w:r>
            <w:r w:rsidRPr="00126EAA">
              <w:rPr>
                <w:rFonts w:eastAsia="Times New Roman"/>
                <w:lang w:bidi="ar-SA"/>
              </w:rPr>
              <w:t xml:space="preserve"> Quarter of FY</w:t>
            </w:r>
          </w:p>
        </w:tc>
      </w:tr>
      <w:tr w:rsidR="00560DE9" w:rsidRPr="00126EAA" w14:paraId="0366ABF3" w14:textId="77777777" w:rsidTr="005E4D39">
        <w:trPr>
          <w:trHeight w:val="20"/>
        </w:trPr>
        <w:tc>
          <w:tcPr>
            <w:tcW w:w="10076" w:type="dxa"/>
            <w:gridSpan w:val="3"/>
            <w:shd w:val="clear" w:color="000000" w:fill="E49EDD"/>
            <w:vAlign w:val="bottom"/>
            <w:hideMark/>
          </w:tcPr>
          <w:p w14:paraId="2895518F"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Task 3: Miami Cools Program</w:t>
            </w:r>
          </w:p>
        </w:tc>
      </w:tr>
      <w:tr w:rsidR="00560DE9" w:rsidRPr="00126EAA" w14:paraId="1A07E813" w14:textId="77777777" w:rsidTr="005E4D39">
        <w:trPr>
          <w:trHeight w:val="20"/>
        </w:trPr>
        <w:tc>
          <w:tcPr>
            <w:tcW w:w="5215" w:type="dxa"/>
            <w:shd w:val="clear" w:color="000000" w:fill="F2CEED"/>
            <w:vAlign w:val="center"/>
            <w:hideMark/>
          </w:tcPr>
          <w:p w14:paraId="14DF4A51"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Activity</w:t>
            </w:r>
          </w:p>
        </w:tc>
        <w:tc>
          <w:tcPr>
            <w:tcW w:w="1620" w:type="dxa"/>
            <w:shd w:val="clear" w:color="000000" w:fill="F2CEED"/>
            <w:vAlign w:val="center"/>
            <w:hideMark/>
          </w:tcPr>
          <w:p w14:paraId="5532D260"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Responsible Entity</w:t>
            </w:r>
          </w:p>
        </w:tc>
        <w:tc>
          <w:tcPr>
            <w:tcW w:w="3241" w:type="dxa"/>
            <w:shd w:val="clear" w:color="000000" w:fill="F2CEED"/>
            <w:vAlign w:val="center"/>
            <w:hideMark/>
          </w:tcPr>
          <w:p w14:paraId="19BD9B9F" w14:textId="77777777" w:rsidR="00560DE9" w:rsidRPr="00126EAA" w:rsidRDefault="00560DE9" w:rsidP="00676B00">
            <w:pPr>
              <w:widowControl/>
              <w:autoSpaceDE/>
              <w:autoSpaceDN/>
              <w:jc w:val="center"/>
              <w:rPr>
                <w:rFonts w:eastAsia="Times New Roman"/>
                <w:b/>
                <w:bCs/>
                <w:color w:val="000000"/>
                <w:lang w:bidi="ar-SA"/>
              </w:rPr>
            </w:pPr>
            <w:r w:rsidRPr="00126EAA">
              <w:rPr>
                <w:rFonts w:eastAsia="Times New Roman"/>
                <w:b/>
                <w:bCs/>
                <w:color w:val="000000"/>
                <w:lang w:bidi="ar-SA"/>
              </w:rPr>
              <w:t>Dates</w:t>
            </w:r>
          </w:p>
        </w:tc>
      </w:tr>
      <w:tr w:rsidR="00560DE9" w:rsidRPr="00126EAA" w14:paraId="4F94FB52" w14:textId="77777777" w:rsidTr="005E4D39">
        <w:trPr>
          <w:trHeight w:val="20"/>
        </w:trPr>
        <w:tc>
          <w:tcPr>
            <w:tcW w:w="5215" w:type="dxa"/>
            <w:shd w:val="clear" w:color="auto" w:fill="auto"/>
            <w:vAlign w:val="bottom"/>
            <w:hideMark/>
          </w:tcPr>
          <w:p w14:paraId="3C5ED50E" w14:textId="77777777"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Conduct baseline energy assessments</w:t>
            </w:r>
          </w:p>
        </w:tc>
        <w:tc>
          <w:tcPr>
            <w:tcW w:w="1620" w:type="dxa"/>
            <w:shd w:val="clear" w:color="auto" w:fill="auto"/>
            <w:noWrap/>
            <w:vAlign w:val="bottom"/>
            <w:hideMark/>
          </w:tcPr>
          <w:p w14:paraId="1D203DC0" w14:textId="35CE3E2C"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OCI</w:t>
            </w:r>
          </w:p>
        </w:tc>
        <w:tc>
          <w:tcPr>
            <w:tcW w:w="3241" w:type="dxa"/>
            <w:shd w:val="clear" w:color="auto" w:fill="auto"/>
            <w:noWrap/>
            <w:vAlign w:val="bottom"/>
            <w:hideMark/>
          </w:tcPr>
          <w:p w14:paraId="78EDA30C" w14:textId="5E5895CD" w:rsidR="00560DE9" w:rsidRPr="00126EAA" w:rsidRDefault="00560DE9" w:rsidP="00676B00">
            <w:pPr>
              <w:widowControl/>
              <w:autoSpaceDE/>
              <w:autoSpaceDN/>
              <w:jc w:val="right"/>
              <w:rPr>
                <w:rFonts w:eastAsia="Times New Roman"/>
                <w:sz w:val="20"/>
                <w:szCs w:val="20"/>
                <w:lang w:bidi="ar-SA"/>
              </w:rPr>
            </w:pPr>
            <w:r w:rsidRPr="00126EAA">
              <w:rPr>
                <w:rFonts w:eastAsia="Times New Roman"/>
                <w:lang w:bidi="ar-SA"/>
              </w:rPr>
              <w:t>1</w:t>
            </w:r>
            <w:r w:rsidRPr="00126EAA">
              <w:rPr>
                <w:rFonts w:eastAsia="Times New Roman"/>
                <w:vertAlign w:val="superscript"/>
                <w:lang w:bidi="ar-SA"/>
              </w:rPr>
              <w:t>st</w:t>
            </w:r>
            <w:r w:rsidRPr="00126EAA">
              <w:rPr>
                <w:rFonts w:eastAsia="Times New Roman"/>
                <w:lang w:bidi="ar-SA"/>
              </w:rPr>
              <w:t xml:space="preserve"> Quarter of FY</w:t>
            </w:r>
          </w:p>
        </w:tc>
      </w:tr>
      <w:tr w:rsidR="00560DE9" w:rsidRPr="00126EAA" w14:paraId="719AECF2" w14:textId="77777777" w:rsidTr="005E4D39">
        <w:trPr>
          <w:trHeight w:val="20"/>
        </w:trPr>
        <w:tc>
          <w:tcPr>
            <w:tcW w:w="5215" w:type="dxa"/>
            <w:shd w:val="clear" w:color="auto" w:fill="auto"/>
            <w:vAlign w:val="bottom"/>
            <w:hideMark/>
          </w:tcPr>
          <w:p w14:paraId="217A4B4A" w14:textId="3B4C963A"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 xml:space="preserve">Implement Miami Cools Program. Install GHG </w:t>
            </w:r>
            <w:r w:rsidR="000E792B">
              <w:rPr>
                <w:rFonts w:eastAsia="Times New Roman"/>
                <w:color w:val="000000"/>
                <w:lang w:bidi="ar-SA"/>
              </w:rPr>
              <w:t>R</w:t>
            </w:r>
            <w:r w:rsidRPr="00126EAA">
              <w:rPr>
                <w:rFonts w:eastAsia="Times New Roman"/>
                <w:color w:val="000000"/>
                <w:lang w:bidi="ar-SA"/>
              </w:rPr>
              <w:t xml:space="preserve">eduction </w:t>
            </w:r>
            <w:r w:rsidR="000E792B">
              <w:rPr>
                <w:rFonts w:eastAsia="Times New Roman"/>
                <w:color w:val="000000"/>
                <w:lang w:bidi="ar-SA"/>
              </w:rPr>
              <w:t>M</w:t>
            </w:r>
            <w:r w:rsidRPr="00126EAA">
              <w:rPr>
                <w:rFonts w:eastAsia="Times New Roman"/>
                <w:color w:val="000000"/>
                <w:lang w:bidi="ar-SA"/>
              </w:rPr>
              <w:t xml:space="preserve">easures in renter-occupied units. Annual goal: </w:t>
            </w:r>
            <w:r w:rsidR="00B34205">
              <w:rPr>
                <w:rFonts w:eastAsia="Times New Roman"/>
                <w:color w:val="000000"/>
                <w:lang w:bidi="ar-SA"/>
              </w:rPr>
              <w:t>50 housing units per year – 25 single family homes, 25 units in multifamily (.02% of total housing)</w:t>
            </w:r>
            <w:r w:rsidRPr="00126EAA">
              <w:rPr>
                <w:rFonts w:eastAsia="Times New Roman"/>
                <w:color w:val="000000"/>
                <w:lang w:bidi="ar-SA"/>
              </w:rPr>
              <w:br/>
            </w:r>
            <w:r w:rsidRPr="00126EAA">
              <w:rPr>
                <w:rFonts w:eastAsia="Times New Roman"/>
                <w:color w:val="000000"/>
                <w:lang w:bidi="ar-SA"/>
              </w:rPr>
              <w:br/>
              <w:t>Measures include:</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R-01. </w:t>
            </w:r>
            <w:r w:rsidRPr="00126EAA">
              <w:rPr>
                <w:rFonts w:eastAsia="Times New Roman"/>
                <w:color w:val="000000"/>
                <w:lang w:bidi="ar-SA"/>
              </w:rPr>
              <w:t>Heat pumps or high efficiency AC retrofits and commissioning</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R-03. </w:t>
            </w:r>
            <w:r w:rsidRPr="00126EAA">
              <w:rPr>
                <w:rFonts w:eastAsia="Times New Roman"/>
                <w:color w:val="000000"/>
                <w:lang w:bidi="ar-SA"/>
              </w:rPr>
              <w:t>LED lighting</w:t>
            </w:r>
            <w:r w:rsidRPr="00126EAA">
              <w:rPr>
                <w:rFonts w:eastAsia="Times New Roman"/>
                <w:color w:val="000000"/>
                <w:lang w:bidi="ar-SA"/>
              </w:rPr>
              <w:br/>
              <w:t>-</w:t>
            </w:r>
            <w:r w:rsidR="00A74954" w:rsidRPr="00126EAA">
              <w:t xml:space="preserve"> </w:t>
            </w:r>
            <w:r w:rsidR="00A74954" w:rsidRPr="00126EAA">
              <w:rPr>
                <w:rFonts w:eastAsia="Times New Roman"/>
                <w:color w:val="000000"/>
                <w:lang w:bidi="ar-SA"/>
              </w:rPr>
              <w:t xml:space="preserve">R-04. </w:t>
            </w:r>
            <w:r w:rsidRPr="00126EAA">
              <w:rPr>
                <w:rFonts w:eastAsia="Times New Roman"/>
                <w:color w:val="000000"/>
                <w:lang w:bidi="ar-SA"/>
              </w:rPr>
              <w:t>Enclosure upgrades</w:t>
            </w:r>
            <w:r w:rsidRPr="00126EAA">
              <w:rPr>
                <w:rFonts w:eastAsia="Times New Roman"/>
                <w:color w:val="000000"/>
                <w:lang w:bidi="ar-SA"/>
              </w:rPr>
              <w:br/>
              <w:t>-</w:t>
            </w:r>
            <w:r w:rsidR="00416B4F" w:rsidRPr="00126EAA">
              <w:t xml:space="preserve"> </w:t>
            </w:r>
            <w:r w:rsidR="00416B4F" w:rsidRPr="00126EAA">
              <w:rPr>
                <w:rFonts w:eastAsia="Times New Roman"/>
                <w:color w:val="000000"/>
                <w:lang w:bidi="ar-SA"/>
              </w:rPr>
              <w:t xml:space="preserve">R-09. </w:t>
            </w:r>
            <w:r w:rsidRPr="00126EAA">
              <w:rPr>
                <w:rFonts w:eastAsia="Times New Roman"/>
                <w:color w:val="000000"/>
                <w:lang w:bidi="ar-SA"/>
              </w:rPr>
              <w:t>Smart thermostat</w:t>
            </w:r>
          </w:p>
        </w:tc>
        <w:tc>
          <w:tcPr>
            <w:tcW w:w="1620" w:type="dxa"/>
            <w:shd w:val="clear" w:color="auto" w:fill="auto"/>
            <w:noWrap/>
            <w:vAlign w:val="bottom"/>
            <w:hideMark/>
          </w:tcPr>
          <w:p w14:paraId="6BA708D5" w14:textId="2CEEFC64" w:rsidR="00560DE9" w:rsidRPr="00126EAA" w:rsidRDefault="00560DE9" w:rsidP="00676B00">
            <w:pPr>
              <w:widowControl/>
              <w:autoSpaceDE/>
              <w:autoSpaceDN/>
              <w:rPr>
                <w:rFonts w:eastAsia="Times New Roman"/>
                <w:color w:val="000000"/>
                <w:lang w:bidi="ar-SA"/>
              </w:rPr>
            </w:pPr>
            <w:r w:rsidRPr="00126EAA">
              <w:rPr>
                <w:rFonts w:eastAsia="Times New Roman"/>
                <w:color w:val="000000"/>
                <w:lang w:bidi="ar-SA"/>
              </w:rPr>
              <w:t>OCI</w:t>
            </w:r>
          </w:p>
        </w:tc>
        <w:tc>
          <w:tcPr>
            <w:tcW w:w="3241" w:type="dxa"/>
            <w:shd w:val="clear" w:color="auto" w:fill="auto"/>
            <w:noWrap/>
            <w:vAlign w:val="bottom"/>
            <w:hideMark/>
          </w:tcPr>
          <w:p w14:paraId="020AC101" w14:textId="0777B291" w:rsidR="00560DE9" w:rsidRPr="00126EAA" w:rsidRDefault="00560DE9" w:rsidP="00676B00">
            <w:pPr>
              <w:widowControl/>
              <w:autoSpaceDE/>
              <w:autoSpaceDN/>
              <w:jc w:val="right"/>
              <w:rPr>
                <w:rFonts w:eastAsia="Times New Roman"/>
                <w:sz w:val="20"/>
                <w:szCs w:val="20"/>
                <w:lang w:bidi="ar-SA"/>
              </w:rPr>
            </w:pPr>
            <w:r w:rsidRPr="00126EAA">
              <w:rPr>
                <w:rFonts w:eastAsia="Times New Roman"/>
                <w:lang w:bidi="ar-SA"/>
              </w:rPr>
              <w:t>2</w:t>
            </w:r>
            <w:r w:rsidRPr="00126EAA">
              <w:rPr>
                <w:rFonts w:eastAsia="Times New Roman"/>
                <w:vertAlign w:val="superscript"/>
                <w:lang w:bidi="ar-SA"/>
              </w:rPr>
              <w:t xml:space="preserve">nd </w:t>
            </w:r>
            <w:r w:rsidRPr="00126EAA">
              <w:rPr>
                <w:rFonts w:eastAsia="Times New Roman"/>
                <w:lang w:bidi="ar-SA"/>
              </w:rPr>
              <w:t>– 4</w:t>
            </w:r>
            <w:r w:rsidRPr="00126EAA">
              <w:rPr>
                <w:rFonts w:eastAsia="Times New Roman"/>
                <w:vertAlign w:val="superscript"/>
                <w:lang w:bidi="ar-SA"/>
              </w:rPr>
              <w:t>th</w:t>
            </w:r>
            <w:r w:rsidRPr="00126EAA">
              <w:rPr>
                <w:rFonts w:eastAsia="Times New Roman"/>
                <w:lang w:bidi="ar-SA"/>
              </w:rPr>
              <w:t xml:space="preserve"> Quarter of FY</w:t>
            </w:r>
          </w:p>
        </w:tc>
      </w:tr>
    </w:tbl>
    <w:p w14:paraId="0035F0F0" w14:textId="203769E3" w:rsidR="00F55DDD" w:rsidRPr="00F55DDD" w:rsidRDefault="00F55DDD" w:rsidP="007D44EE">
      <w:pPr>
        <w:pStyle w:val="Heading2"/>
      </w:pPr>
      <w:r w:rsidRPr="007D44EE">
        <w:t>Section 4: Low-Income and Disadvantaged Communities (35 possible points)</w:t>
      </w:r>
    </w:p>
    <w:p w14:paraId="58E324EF" w14:textId="1C3CB572" w:rsidR="00D44B95" w:rsidRPr="00D44B95" w:rsidRDefault="00D44B95" w:rsidP="00F55DDD">
      <w:pPr>
        <w:pStyle w:val="BodyText"/>
        <w:spacing w:before="90"/>
        <w:rPr>
          <w:sz w:val="22"/>
          <w:szCs w:val="22"/>
        </w:rPr>
      </w:pPr>
      <w:r>
        <w:rPr>
          <w:sz w:val="22"/>
          <w:szCs w:val="22"/>
        </w:rPr>
        <w:t xml:space="preserve">The </w:t>
      </w:r>
      <w:r w:rsidR="00C7359C">
        <w:rPr>
          <w:sz w:val="22"/>
          <w:szCs w:val="22"/>
        </w:rPr>
        <w:t xml:space="preserve">GHG </w:t>
      </w:r>
      <w:r>
        <w:rPr>
          <w:sz w:val="22"/>
          <w:szCs w:val="22"/>
        </w:rPr>
        <w:t xml:space="preserve">Reduction Measures </w:t>
      </w:r>
      <w:r w:rsidR="00962B1D">
        <w:rPr>
          <w:sz w:val="22"/>
          <w:szCs w:val="22"/>
        </w:rPr>
        <w:t>being utilized are designed to deliver benefits, and avoid disbenefits</w:t>
      </w:r>
      <w:r w:rsidR="00BD2856">
        <w:rPr>
          <w:sz w:val="22"/>
          <w:szCs w:val="22"/>
        </w:rPr>
        <w:t>,</w:t>
      </w:r>
      <w:r w:rsidR="00962B1D">
        <w:rPr>
          <w:sz w:val="22"/>
          <w:szCs w:val="22"/>
        </w:rPr>
        <w:t xml:space="preserve"> to low-income and disadvantaged communities. </w:t>
      </w:r>
      <w:r w:rsidR="00752BFF">
        <w:rPr>
          <w:sz w:val="22"/>
          <w:szCs w:val="22"/>
        </w:rPr>
        <w:t xml:space="preserve">These </w:t>
      </w:r>
      <w:r w:rsidR="00BD377E">
        <w:rPr>
          <w:sz w:val="22"/>
          <w:szCs w:val="22"/>
        </w:rPr>
        <w:t>GHG</w:t>
      </w:r>
      <w:r w:rsidR="00A95245">
        <w:rPr>
          <w:sz w:val="22"/>
          <w:szCs w:val="22"/>
        </w:rPr>
        <w:t xml:space="preserve"> </w:t>
      </w:r>
      <w:r w:rsidR="00752BFF">
        <w:rPr>
          <w:sz w:val="22"/>
          <w:szCs w:val="22"/>
        </w:rPr>
        <w:t xml:space="preserve">Reduction </w:t>
      </w:r>
      <w:r w:rsidR="00B013C8">
        <w:rPr>
          <w:sz w:val="22"/>
          <w:szCs w:val="22"/>
        </w:rPr>
        <w:t>M</w:t>
      </w:r>
      <w:r w:rsidR="00752BFF">
        <w:rPr>
          <w:sz w:val="22"/>
          <w:szCs w:val="22"/>
        </w:rPr>
        <w:t xml:space="preserve">easures decrease carbon emissions, </w:t>
      </w:r>
      <w:r w:rsidR="00503057">
        <w:rPr>
          <w:sz w:val="22"/>
          <w:szCs w:val="22"/>
        </w:rPr>
        <w:t xml:space="preserve">reduce energy bill burden, and prevent displacement from homes. </w:t>
      </w:r>
    </w:p>
    <w:p w14:paraId="00EB4925" w14:textId="46A3D783" w:rsidR="00F55DDD" w:rsidRPr="00F55DDD" w:rsidRDefault="00F55DDD" w:rsidP="00356418">
      <w:pPr>
        <w:pStyle w:val="Heading3"/>
        <w:numPr>
          <w:ilvl w:val="0"/>
          <w:numId w:val="9"/>
        </w:numPr>
      </w:pPr>
      <w:r w:rsidRPr="00D346D8">
        <w:t xml:space="preserve">Community Benefits </w:t>
      </w:r>
      <w:r w:rsidRPr="00F55DDD">
        <w:t>(25 possible</w:t>
      </w:r>
      <w:r w:rsidRPr="00F55DDD">
        <w:rPr>
          <w:spacing w:val="-6"/>
        </w:rPr>
        <w:t xml:space="preserve"> </w:t>
      </w:r>
      <w:r w:rsidRPr="00F55DDD">
        <w:t>points)</w:t>
      </w:r>
    </w:p>
    <w:p w14:paraId="53C4DDA1" w14:textId="51FB2A79" w:rsidR="00BB79BC" w:rsidRPr="00AA0D57" w:rsidRDefault="00435CF5" w:rsidP="00E67EF3">
      <w:pPr>
        <w:widowControl/>
        <w:adjustRightInd w:val="0"/>
        <w:rPr>
          <w:rFonts w:eastAsiaTheme="minorHAnsi"/>
          <w:color w:val="000000"/>
          <w:lang w:bidi="ar-SA"/>
          <w14:ligatures w14:val="standardContextual"/>
        </w:rPr>
      </w:pPr>
      <w:r>
        <w:rPr>
          <w:rFonts w:eastAsiaTheme="minorHAnsi"/>
          <w:color w:val="000000"/>
          <w:lang w:bidi="ar-SA"/>
          <w14:ligatures w14:val="standardContextual"/>
        </w:rPr>
        <w:t xml:space="preserve">The </w:t>
      </w:r>
      <w:r w:rsidR="00BB79BC" w:rsidRPr="00AA0D57">
        <w:rPr>
          <w:rFonts w:eastAsiaTheme="minorHAnsi"/>
          <w:color w:val="000000"/>
          <w:lang w:bidi="ar-SA"/>
          <w14:ligatures w14:val="standardContextual"/>
        </w:rPr>
        <w:t>City of Miami is the largest municipality in Miami-Dade County and home to 439,890 residents</w:t>
      </w:r>
      <w:r w:rsidR="00C63CDC">
        <w:rPr>
          <w:rFonts w:eastAsiaTheme="minorHAnsi"/>
          <w:color w:val="000000"/>
          <w:lang w:bidi="ar-SA"/>
          <w14:ligatures w14:val="standardContextual"/>
        </w:rPr>
        <w:t>, with</w:t>
      </w:r>
      <w:r w:rsidR="00BB79BC" w:rsidRPr="00AA0D57">
        <w:rPr>
          <w:rFonts w:eastAsiaTheme="minorHAnsi"/>
          <w:color w:val="000000"/>
          <w:lang w:bidi="ar-SA"/>
          <w14:ligatures w14:val="standardContextual"/>
        </w:rPr>
        <w:t xml:space="preserve"> 66% of </w:t>
      </w:r>
      <w:r w:rsidR="00C63CDC">
        <w:rPr>
          <w:rFonts w:eastAsiaTheme="minorHAnsi"/>
          <w:color w:val="000000"/>
          <w:lang w:bidi="ar-SA"/>
          <w14:ligatures w14:val="standardContextual"/>
        </w:rPr>
        <w:t>these</w:t>
      </w:r>
      <w:r w:rsidR="00BB79BC" w:rsidRPr="00AA0D57">
        <w:rPr>
          <w:rFonts w:eastAsiaTheme="minorHAnsi"/>
          <w:color w:val="000000"/>
          <w:lang w:bidi="ar-SA"/>
          <w14:ligatures w14:val="standardContextual"/>
        </w:rPr>
        <w:t xml:space="preserve"> residents </w:t>
      </w:r>
      <w:r w:rsidR="00C63CDC">
        <w:rPr>
          <w:rFonts w:eastAsiaTheme="minorHAnsi"/>
          <w:color w:val="000000"/>
          <w:lang w:bidi="ar-SA"/>
          <w14:ligatures w14:val="standardContextual"/>
        </w:rPr>
        <w:t>classifying as</w:t>
      </w:r>
      <w:r w:rsidR="00BB79BC" w:rsidRPr="00AA0D57">
        <w:rPr>
          <w:rFonts w:eastAsiaTheme="minorHAnsi"/>
          <w:color w:val="000000"/>
          <w:lang w:bidi="ar-SA"/>
          <w14:ligatures w14:val="standardContextual"/>
        </w:rPr>
        <w:t xml:space="preserve"> low-to-moderate income (LMI) and 21% </w:t>
      </w:r>
      <w:r w:rsidR="00C63CDC">
        <w:rPr>
          <w:rFonts w:eastAsiaTheme="minorHAnsi"/>
          <w:color w:val="000000"/>
          <w:lang w:bidi="ar-SA"/>
          <w14:ligatures w14:val="standardContextual"/>
        </w:rPr>
        <w:t>living</w:t>
      </w:r>
      <w:r w:rsidR="00BB79BC" w:rsidRPr="00AA0D57">
        <w:rPr>
          <w:rFonts w:eastAsiaTheme="minorHAnsi"/>
          <w:color w:val="000000"/>
          <w:lang w:bidi="ar-SA"/>
          <w14:ligatures w14:val="standardContextual"/>
        </w:rPr>
        <w:t xml:space="preserve"> in poverty. </w:t>
      </w:r>
      <w:r w:rsidR="00C63CDC">
        <w:rPr>
          <w:rFonts w:eastAsiaTheme="minorHAnsi"/>
          <w:color w:val="000000"/>
          <w:lang w:bidi="ar-SA"/>
          <w14:ligatures w14:val="standardContextual"/>
        </w:rPr>
        <w:t>The h</w:t>
      </w:r>
      <w:r w:rsidR="00BB79BC" w:rsidRPr="00AA0D57">
        <w:rPr>
          <w:rFonts w:eastAsiaTheme="minorHAnsi"/>
          <w:color w:val="000000"/>
          <w:lang w:bidi="ar-SA"/>
          <w14:ligatures w14:val="standardContextual"/>
        </w:rPr>
        <w:t xml:space="preserve">ousehold median income is $47,860 compared to the national average of $70,784. As part of the development of the City’s </w:t>
      </w:r>
      <w:r w:rsidR="00BD377E">
        <w:rPr>
          <w:rFonts w:eastAsiaTheme="minorHAnsi"/>
          <w:color w:val="000000"/>
          <w:lang w:bidi="ar-SA"/>
          <w14:ligatures w14:val="standardContextual"/>
        </w:rPr>
        <w:t>GHG</w:t>
      </w:r>
      <w:r w:rsidR="00A95245">
        <w:rPr>
          <w:rFonts w:eastAsiaTheme="minorHAnsi"/>
          <w:color w:val="000000"/>
          <w:lang w:bidi="ar-SA"/>
          <w14:ligatures w14:val="standardContextual"/>
        </w:rPr>
        <w:t xml:space="preserve"> </w:t>
      </w:r>
      <w:r w:rsidR="00BB79BC" w:rsidRPr="00AA0D57">
        <w:rPr>
          <w:rFonts w:eastAsiaTheme="minorHAnsi"/>
          <w:color w:val="000000"/>
          <w:lang w:bidi="ar-SA"/>
          <w14:ligatures w14:val="standardContextual"/>
        </w:rPr>
        <w:t xml:space="preserve">reduction plan the City worked with </w:t>
      </w:r>
      <w:r w:rsidR="004F2E85">
        <w:rPr>
          <w:rFonts w:eastAsiaTheme="minorHAnsi"/>
          <w:color w:val="000000"/>
          <w:lang w:bidi="ar-SA"/>
          <w14:ligatures w14:val="standardContextual"/>
        </w:rPr>
        <w:t xml:space="preserve">a Community-based Organization, </w:t>
      </w:r>
      <w:r w:rsidR="00BB79BC" w:rsidRPr="00AA0D57">
        <w:rPr>
          <w:rFonts w:eastAsiaTheme="minorHAnsi"/>
          <w:color w:val="000000"/>
          <w:lang w:bidi="ar-SA"/>
          <w14:ligatures w14:val="standardContextual"/>
        </w:rPr>
        <w:t>Catalyst Miami</w:t>
      </w:r>
      <w:r w:rsidR="00526007">
        <w:rPr>
          <w:rFonts w:eastAsiaTheme="minorHAnsi"/>
          <w:color w:val="000000"/>
          <w:lang w:bidi="ar-SA"/>
          <w14:ligatures w14:val="standardContextual"/>
        </w:rPr>
        <w:t>,</w:t>
      </w:r>
      <w:r w:rsidR="00BB79BC" w:rsidRPr="00AA0D57">
        <w:rPr>
          <w:rFonts w:eastAsiaTheme="minorHAnsi"/>
          <w:color w:val="000000"/>
          <w:lang w:bidi="ar-SA"/>
          <w14:ligatures w14:val="standardContextual"/>
        </w:rPr>
        <w:t xml:space="preserve"> to identify the following </w:t>
      </w:r>
      <w:r w:rsidR="00526007">
        <w:rPr>
          <w:rFonts w:eastAsiaTheme="minorHAnsi"/>
          <w:color w:val="000000"/>
          <w:lang w:bidi="ar-SA"/>
          <w14:ligatures w14:val="standardContextual"/>
        </w:rPr>
        <w:t>C</w:t>
      </w:r>
      <w:r w:rsidR="00BB79BC" w:rsidRPr="00AA0D57">
        <w:rPr>
          <w:rFonts w:eastAsiaTheme="minorHAnsi"/>
          <w:color w:val="000000"/>
          <w:lang w:bidi="ar-SA"/>
          <w14:ligatures w14:val="standardContextual"/>
        </w:rPr>
        <w:t xml:space="preserve">limate </w:t>
      </w:r>
      <w:r w:rsidR="00526007">
        <w:rPr>
          <w:rFonts w:eastAsiaTheme="minorHAnsi"/>
          <w:color w:val="000000"/>
          <w:lang w:bidi="ar-SA"/>
          <w14:ligatures w14:val="standardContextual"/>
        </w:rPr>
        <w:t>J</w:t>
      </w:r>
      <w:r w:rsidR="00BB79BC" w:rsidRPr="00AA0D57">
        <w:rPr>
          <w:rFonts w:eastAsiaTheme="minorHAnsi"/>
          <w:color w:val="000000"/>
          <w:lang w:bidi="ar-SA"/>
          <w14:ligatures w14:val="standardContextual"/>
        </w:rPr>
        <w:t xml:space="preserve">ustice </w:t>
      </w:r>
      <w:r w:rsidR="00526007">
        <w:rPr>
          <w:rFonts w:eastAsiaTheme="minorHAnsi"/>
          <w:color w:val="000000"/>
          <w:lang w:bidi="ar-SA"/>
          <w14:ligatures w14:val="standardContextual"/>
        </w:rPr>
        <w:t>C</w:t>
      </w:r>
      <w:r w:rsidR="00BB79BC" w:rsidRPr="00AA0D57">
        <w:rPr>
          <w:rFonts w:eastAsiaTheme="minorHAnsi"/>
          <w:color w:val="000000"/>
          <w:lang w:bidi="ar-SA"/>
          <w14:ligatures w14:val="standardContextual"/>
        </w:rPr>
        <w:t xml:space="preserve">ommunities in the City: </w:t>
      </w:r>
    </w:p>
    <w:p w14:paraId="7817EB9B" w14:textId="77777777" w:rsidR="00B4043C" w:rsidRPr="00757B37" w:rsidRDefault="00B4043C" w:rsidP="00E67EF3">
      <w:pPr>
        <w:pStyle w:val="BodyText"/>
        <w:ind w:right="-40"/>
        <w:rPr>
          <w:rFonts w:eastAsiaTheme="minorHAnsi"/>
          <w:b/>
          <w:i/>
          <w:color w:val="090909"/>
          <w:sz w:val="16"/>
          <w:szCs w:val="16"/>
          <w:lang w:bidi="ar-SA"/>
          <w14:ligatures w14:val="standardContextual"/>
        </w:rPr>
      </w:pPr>
    </w:p>
    <w:p w14:paraId="5C4787BA" w14:textId="1B53C777" w:rsidR="00BB79BC" w:rsidRPr="00AA0D57" w:rsidRDefault="00BB79BC" w:rsidP="00C21195">
      <w:pPr>
        <w:ind w:right="-130"/>
        <w:rPr>
          <w:rFonts w:eastAsiaTheme="minorHAnsi"/>
          <w:color w:val="000000"/>
          <w:lang w:bidi="ar-SA"/>
          <w14:ligatures w14:val="standardContextual"/>
        </w:rPr>
      </w:pPr>
      <w:r w:rsidRPr="00AA0D57">
        <w:rPr>
          <w:b/>
          <w:i/>
          <w:color w:val="090909"/>
          <w:lang w:bidi="ar-SA"/>
        </w:rPr>
        <w:t xml:space="preserve">Allapattah </w:t>
      </w:r>
      <w:r w:rsidRPr="00AA0D57">
        <w:rPr>
          <w:rFonts w:eastAsiaTheme="minorHAnsi"/>
          <w:color w:val="090909"/>
          <w:lang w:bidi="ar-SA"/>
          <w14:ligatures w14:val="standardContextual"/>
        </w:rPr>
        <w:t xml:space="preserve">is a </w:t>
      </w:r>
      <w:r w:rsidRPr="00AA0D57">
        <w:rPr>
          <w:rFonts w:eastAsiaTheme="minorHAnsi"/>
          <w:color w:val="000000"/>
          <w:lang w:bidi="ar-SA"/>
          <w14:ligatures w14:val="standardContextual"/>
        </w:rPr>
        <w:t xml:space="preserve">working-class neighborhood known for its sizable Dominican American population. (84% Hispanic, 10.5% Black, 5.5% White/Other). Poverty level hovers between 26% and 32% (2015 U.S. Census). </w:t>
      </w:r>
      <w:r w:rsidRPr="00AA0D57">
        <w:rPr>
          <w:rFonts w:eastAsiaTheme="minorHAnsi"/>
          <w:b/>
          <w:bCs/>
          <w:i/>
          <w:iCs/>
          <w:color w:val="000000"/>
          <w:lang w:bidi="ar-SA"/>
          <w14:ligatures w14:val="standardContextual"/>
        </w:rPr>
        <w:t xml:space="preserve">Liberty City </w:t>
      </w:r>
      <w:r w:rsidRPr="00AA0D57">
        <w:rPr>
          <w:rFonts w:eastAsiaTheme="minorHAnsi"/>
          <w:color w:val="000000"/>
          <w:lang w:bidi="ar-SA"/>
          <w14:ligatures w14:val="standardContextual"/>
        </w:rPr>
        <w:t xml:space="preserve">is the heart of Miami-Dade County's largest African-American community. The median income is $18,000 and is 81% low-moderate-income (LMI) with 95% Black, 3% Hispanic and 2% White/Other. It was a thriving middle-class community until it fell victim to redlining. </w:t>
      </w:r>
      <w:r w:rsidRPr="00AA0D57">
        <w:rPr>
          <w:rFonts w:eastAsiaTheme="minorHAnsi"/>
          <w:b/>
          <w:bCs/>
          <w:i/>
          <w:iCs/>
          <w:color w:val="000000"/>
          <w:lang w:bidi="ar-SA"/>
          <w14:ligatures w14:val="standardContextual"/>
        </w:rPr>
        <w:t xml:space="preserve">Little Haiti </w:t>
      </w:r>
      <w:r w:rsidRPr="00AA0D57">
        <w:rPr>
          <w:rFonts w:eastAsiaTheme="minorHAnsi"/>
          <w:color w:val="000000"/>
          <w:lang w:bidi="ar-SA"/>
          <w14:ligatures w14:val="standardContextual"/>
        </w:rPr>
        <w:t xml:space="preserve">has a great social and cultural significance to the Haitian Diaspora - between 35% and 76% of residents identify as Haitian. Like Liberty City, Little Haiti is an area where more than 8 in 10 households are very low/low income. </w:t>
      </w:r>
      <w:r w:rsidRPr="00AA0D57">
        <w:rPr>
          <w:rFonts w:eastAsiaTheme="minorHAnsi"/>
          <w:b/>
          <w:bCs/>
          <w:i/>
          <w:iCs/>
          <w:color w:val="000000"/>
          <w:lang w:bidi="ar-SA"/>
          <w14:ligatures w14:val="standardContextual"/>
        </w:rPr>
        <w:t xml:space="preserve">Little Havana </w:t>
      </w:r>
      <w:r w:rsidRPr="00AA0D57">
        <w:rPr>
          <w:rFonts w:eastAsiaTheme="minorHAnsi"/>
          <w:color w:val="000000"/>
          <w:lang w:bidi="ar-SA"/>
          <w14:ligatures w14:val="standardContextual"/>
        </w:rPr>
        <w:t xml:space="preserve">serves as an entry point for many immigrants from Latin America/Caribbean, with 92% identifying as Hispanic and 52% speaking little to no English. Prior to the Affordable Care Act, 44% of residents carried no health insurance. </w:t>
      </w:r>
      <w:r w:rsidRPr="00AA0D57">
        <w:rPr>
          <w:rFonts w:eastAsiaTheme="minorHAnsi"/>
          <w:b/>
          <w:bCs/>
          <w:i/>
          <w:iCs/>
          <w:color w:val="000000"/>
          <w:lang w:bidi="ar-SA"/>
          <w14:ligatures w14:val="standardContextual"/>
        </w:rPr>
        <w:t xml:space="preserve">Overtown </w:t>
      </w:r>
      <w:r w:rsidRPr="00AA0D57">
        <w:rPr>
          <w:rFonts w:eastAsiaTheme="minorHAnsi"/>
          <w:color w:val="000000"/>
          <w:lang w:bidi="ar-SA"/>
          <w14:ligatures w14:val="standardContextual"/>
        </w:rPr>
        <w:t xml:space="preserve">was once a thriving center for commerce and arts for the Black community until the construction of I-95 in the 1960s tore the neighborhood apart. Overtown now has a majority Black population who are extremely low-income with a median income of about $13,000 per year. Most residents are renters (87%) and rent-burdened (56%) paying over 30% of their income in rent. </w:t>
      </w:r>
      <w:r w:rsidRPr="00AA0D57">
        <w:rPr>
          <w:rFonts w:eastAsiaTheme="minorHAnsi"/>
          <w:b/>
          <w:bCs/>
          <w:i/>
          <w:iCs/>
          <w:color w:val="000000"/>
          <w:lang w:bidi="ar-SA"/>
          <w14:ligatures w14:val="standardContextual"/>
        </w:rPr>
        <w:t xml:space="preserve">West Coconut Grove </w:t>
      </w:r>
      <w:r w:rsidRPr="00AA0D57">
        <w:rPr>
          <w:rFonts w:eastAsiaTheme="minorHAnsi"/>
          <w:color w:val="000000"/>
          <w:lang w:bidi="ar-SA"/>
          <w14:ligatures w14:val="standardContextual"/>
        </w:rPr>
        <w:t>is a historically Black community of Bahamian descendants. More than 40% of West Grove’s 3,000 Black residents live below the poverty level versus 21% of Miami residents. Real estate speculation and gentrification is ongoing in this area. The Black population has declined over 32% from 2000-2017, while the White population has increased by more than 176%.</w:t>
      </w:r>
    </w:p>
    <w:p w14:paraId="55B34F74" w14:textId="0EE67737" w:rsidR="00BB79BC" w:rsidRPr="00BD2861" w:rsidRDefault="00BD2861" w:rsidP="00BB79BC">
      <w:pPr>
        <w:pStyle w:val="BodyText"/>
        <w:spacing w:before="162"/>
        <w:ind w:right="-40"/>
        <w:rPr>
          <w:rFonts w:eastAsiaTheme="minorHAnsi"/>
          <w:b/>
          <w:bCs/>
          <w:color w:val="000000"/>
          <w:sz w:val="22"/>
          <w:szCs w:val="22"/>
          <w:lang w:bidi="ar-SA"/>
          <w14:ligatures w14:val="standardContextual"/>
        </w:rPr>
      </w:pPr>
      <w:r w:rsidRPr="00BD2861">
        <w:rPr>
          <w:rFonts w:eastAsiaTheme="minorHAnsi"/>
          <w:b/>
          <w:bCs/>
          <w:color w:val="000000"/>
          <w:sz w:val="22"/>
          <w:szCs w:val="22"/>
          <w:lang w:bidi="ar-SA"/>
          <w14:ligatures w14:val="standardContextual"/>
        </w:rPr>
        <w:t>Climate Justice Communities / Disadvantaged Communities</w:t>
      </w:r>
    </w:p>
    <w:tbl>
      <w:tblPr>
        <w:tblW w:w="10271"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3"/>
        <w:gridCol w:w="1369"/>
        <w:gridCol w:w="1369"/>
        <w:gridCol w:w="1369"/>
        <w:gridCol w:w="1369"/>
        <w:gridCol w:w="1369"/>
        <w:gridCol w:w="1373"/>
      </w:tblGrid>
      <w:tr w:rsidR="007D21A4" w:rsidRPr="007D21A4" w14:paraId="0D1B46B7" w14:textId="77777777" w:rsidTr="007531DD">
        <w:trPr>
          <w:trHeight w:val="99"/>
        </w:trPr>
        <w:tc>
          <w:tcPr>
            <w:tcW w:w="2053" w:type="dxa"/>
            <w:shd w:val="clear" w:color="auto" w:fill="A02B93" w:themeFill="accent5"/>
          </w:tcPr>
          <w:p w14:paraId="4EECC3FD" w14:textId="710A35B5" w:rsidR="00BB79BC" w:rsidRPr="007D21A4" w:rsidRDefault="00BB79BC" w:rsidP="007D21A4">
            <w:pPr>
              <w:widowControl/>
              <w:adjustRightInd w:val="0"/>
              <w:spacing w:before="120" w:after="120"/>
              <w:rPr>
                <w:rFonts w:eastAsiaTheme="minorHAnsi"/>
                <w:color w:val="FFFFFF" w:themeColor="background1"/>
                <w:sz w:val="20"/>
                <w:szCs w:val="20"/>
                <w:lang w:bidi="ar-SA"/>
                <w14:ligatures w14:val="standardContextual"/>
              </w:rPr>
            </w:pPr>
            <w:r w:rsidRPr="007D21A4">
              <w:rPr>
                <w:rFonts w:eastAsiaTheme="minorHAnsi"/>
                <w:b/>
                <w:bCs/>
                <w:color w:val="FFFFFF" w:themeColor="background1"/>
                <w:sz w:val="20"/>
                <w:szCs w:val="20"/>
                <w:lang w:bidi="ar-SA"/>
                <w14:ligatures w14:val="standardContextual"/>
              </w:rPr>
              <w:t xml:space="preserve">EJ Screen Tool </w:t>
            </w:r>
          </w:p>
        </w:tc>
        <w:tc>
          <w:tcPr>
            <w:tcW w:w="1369" w:type="dxa"/>
            <w:shd w:val="clear" w:color="auto" w:fill="A02B93" w:themeFill="accent5"/>
          </w:tcPr>
          <w:p w14:paraId="6C27AF5A" w14:textId="77777777" w:rsidR="00BB79BC" w:rsidRPr="007D21A4" w:rsidRDefault="00BB79BC" w:rsidP="007D21A4">
            <w:pPr>
              <w:widowControl/>
              <w:adjustRightInd w:val="0"/>
              <w:spacing w:before="120" w:after="120"/>
              <w:rPr>
                <w:rFonts w:eastAsiaTheme="minorHAnsi"/>
                <w:color w:val="FFFFFF" w:themeColor="background1"/>
                <w:sz w:val="20"/>
                <w:szCs w:val="20"/>
                <w:lang w:bidi="ar-SA"/>
                <w14:ligatures w14:val="standardContextual"/>
              </w:rPr>
            </w:pPr>
            <w:r w:rsidRPr="007D21A4">
              <w:rPr>
                <w:rFonts w:eastAsiaTheme="minorHAnsi"/>
                <w:b/>
                <w:bCs/>
                <w:color w:val="FFFFFF" w:themeColor="background1"/>
                <w:sz w:val="20"/>
                <w:szCs w:val="20"/>
                <w:lang w:bidi="ar-SA"/>
                <w14:ligatures w14:val="standardContextual"/>
              </w:rPr>
              <w:t xml:space="preserve">Allapattah </w:t>
            </w:r>
          </w:p>
        </w:tc>
        <w:tc>
          <w:tcPr>
            <w:tcW w:w="1369" w:type="dxa"/>
            <w:shd w:val="clear" w:color="auto" w:fill="A02B93" w:themeFill="accent5"/>
          </w:tcPr>
          <w:p w14:paraId="497F05DB" w14:textId="77777777" w:rsidR="00BB79BC" w:rsidRPr="007D21A4" w:rsidRDefault="00BB79BC" w:rsidP="007D21A4">
            <w:pPr>
              <w:widowControl/>
              <w:adjustRightInd w:val="0"/>
              <w:spacing w:before="120" w:after="120"/>
              <w:rPr>
                <w:rFonts w:eastAsiaTheme="minorHAnsi"/>
                <w:color w:val="FFFFFF" w:themeColor="background1"/>
                <w:sz w:val="20"/>
                <w:szCs w:val="20"/>
                <w:lang w:bidi="ar-SA"/>
                <w14:ligatures w14:val="standardContextual"/>
              </w:rPr>
            </w:pPr>
            <w:r w:rsidRPr="007D21A4">
              <w:rPr>
                <w:rFonts w:eastAsiaTheme="minorHAnsi"/>
                <w:b/>
                <w:bCs/>
                <w:color w:val="FFFFFF" w:themeColor="background1"/>
                <w:sz w:val="20"/>
                <w:szCs w:val="20"/>
                <w:lang w:bidi="ar-SA"/>
                <w14:ligatures w14:val="standardContextual"/>
              </w:rPr>
              <w:t xml:space="preserve">Liberty City </w:t>
            </w:r>
          </w:p>
        </w:tc>
        <w:tc>
          <w:tcPr>
            <w:tcW w:w="1369" w:type="dxa"/>
            <w:shd w:val="clear" w:color="auto" w:fill="A02B93" w:themeFill="accent5"/>
          </w:tcPr>
          <w:p w14:paraId="29108DA2" w14:textId="77777777" w:rsidR="00BB79BC" w:rsidRPr="007D21A4" w:rsidRDefault="00BB79BC" w:rsidP="007D21A4">
            <w:pPr>
              <w:widowControl/>
              <w:adjustRightInd w:val="0"/>
              <w:spacing w:before="120" w:after="120"/>
              <w:rPr>
                <w:rFonts w:eastAsiaTheme="minorHAnsi"/>
                <w:color w:val="FFFFFF" w:themeColor="background1"/>
                <w:sz w:val="20"/>
                <w:szCs w:val="20"/>
                <w:lang w:bidi="ar-SA"/>
                <w14:ligatures w14:val="standardContextual"/>
              </w:rPr>
            </w:pPr>
            <w:r w:rsidRPr="007D21A4">
              <w:rPr>
                <w:rFonts w:eastAsiaTheme="minorHAnsi"/>
                <w:b/>
                <w:bCs/>
                <w:color w:val="FFFFFF" w:themeColor="background1"/>
                <w:sz w:val="20"/>
                <w:szCs w:val="20"/>
                <w:lang w:bidi="ar-SA"/>
                <w14:ligatures w14:val="standardContextual"/>
              </w:rPr>
              <w:t xml:space="preserve">Little Haiti </w:t>
            </w:r>
          </w:p>
        </w:tc>
        <w:tc>
          <w:tcPr>
            <w:tcW w:w="1369" w:type="dxa"/>
            <w:shd w:val="clear" w:color="auto" w:fill="A02B93" w:themeFill="accent5"/>
          </w:tcPr>
          <w:p w14:paraId="7B1648FA" w14:textId="77777777" w:rsidR="00BB79BC" w:rsidRPr="007D21A4" w:rsidRDefault="00BB79BC" w:rsidP="007D21A4">
            <w:pPr>
              <w:widowControl/>
              <w:adjustRightInd w:val="0"/>
              <w:spacing w:before="120" w:after="120"/>
              <w:rPr>
                <w:rFonts w:eastAsiaTheme="minorHAnsi"/>
                <w:color w:val="FFFFFF" w:themeColor="background1"/>
                <w:sz w:val="20"/>
                <w:szCs w:val="20"/>
                <w:lang w:bidi="ar-SA"/>
                <w14:ligatures w14:val="standardContextual"/>
              </w:rPr>
            </w:pPr>
            <w:r w:rsidRPr="007D21A4">
              <w:rPr>
                <w:rFonts w:eastAsiaTheme="minorHAnsi"/>
                <w:b/>
                <w:bCs/>
                <w:color w:val="FFFFFF" w:themeColor="background1"/>
                <w:sz w:val="20"/>
                <w:szCs w:val="20"/>
                <w:lang w:bidi="ar-SA"/>
                <w14:ligatures w14:val="standardContextual"/>
              </w:rPr>
              <w:t xml:space="preserve">Little Havana </w:t>
            </w:r>
          </w:p>
        </w:tc>
        <w:tc>
          <w:tcPr>
            <w:tcW w:w="1369" w:type="dxa"/>
            <w:shd w:val="clear" w:color="auto" w:fill="A02B93" w:themeFill="accent5"/>
          </w:tcPr>
          <w:p w14:paraId="20FAA9D1" w14:textId="77777777" w:rsidR="00BB79BC" w:rsidRPr="007D21A4" w:rsidRDefault="00BB79BC" w:rsidP="007D21A4">
            <w:pPr>
              <w:widowControl/>
              <w:adjustRightInd w:val="0"/>
              <w:spacing w:before="120" w:after="120"/>
              <w:rPr>
                <w:rFonts w:eastAsiaTheme="minorHAnsi"/>
                <w:color w:val="FFFFFF" w:themeColor="background1"/>
                <w:sz w:val="20"/>
                <w:szCs w:val="20"/>
                <w:lang w:bidi="ar-SA"/>
                <w14:ligatures w14:val="standardContextual"/>
              </w:rPr>
            </w:pPr>
            <w:r w:rsidRPr="007D21A4">
              <w:rPr>
                <w:rFonts w:eastAsiaTheme="minorHAnsi"/>
                <w:b/>
                <w:bCs/>
                <w:color w:val="FFFFFF" w:themeColor="background1"/>
                <w:sz w:val="20"/>
                <w:szCs w:val="20"/>
                <w:lang w:bidi="ar-SA"/>
                <w14:ligatures w14:val="standardContextual"/>
              </w:rPr>
              <w:t xml:space="preserve">Overtown </w:t>
            </w:r>
          </w:p>
        </w:tc>
        <w:tc>
          <w:tcPr>
            <w:tcW w:w="1373" w:type="dxa"/>
            <w:shd w:val="clear" w:color="auto" w:fill="A02B93" w:themeFill="accent5"/>
          </w:tcPr>
          <w:p w14:paraId="4B51684E" w14:textId="77777777" w:rsidR="00BB79BC" w:rsidRPr="007D21A4" w:rsidRDefault="00BB79BC" w:rsidP="007D21A4">
            <w:pPr>
              <w:widowControl/>
              <w:adjustRightInd w:val="0"/>
              <w:spacing w:before="120" w:after="120"/>
              <w:rPr>
                <w:rFonts w:eastAsiaTheme="minorHAnsi"/>
                <w:color w:val="FFFFFF" w:themeColor="background1"/>
                <w:sz w:val="20"/>
                <w:szCs w:val="20"/>
                <w:lang w:bidi="ar-SA"/>
                <w14:ligatures w14:val="standardContextual"/>
              </w:rPr>
            </w:pPr>
            <w:r w:rsidRPr="007D21A4">
              <w:rPr>
                <w:rFonts w:eastAsiaTheme="minorHAnsi"/>
                <w:b/>
                <w:bCs/>
                <w:color w:val="FFFFFF" w:themeColor="background1"/>
                <w:sz w:val="20"/>
                <w:szCs w:val="20"/>
                <w:lang w:bidi="ar-SA"/>
                <w14:ligatures w14:val="standardContextual"/>
              </w:rPr>
              <w:t xml:space="preserve">West Grove </w:t>
            </w:r>
          </w:p>
        </w:tc>
      </w:tr>
      <w:tr w:rsidR="0098451C" w:rsidRPr="00BB79BC" w14:paraId="1CF57D8D" w14:textId="77777777" w:rsidTr="00B22E59">
        <w:trPr>
          <w:trHeight w:val="224"/>
        </w:trPr>
        <w:tc>
          <w:tcPr>
            <w:tcW w:w="2053" w:type="dxa"/>
            <w:shd w:val="clear" w:color="auto" w:fill="F2CEED" w:themeFill="accent5" w:themeFillTint="33"/>
          </w:tcPr>
          <w:p w14:paraId="6A748DCE"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Socioeconomic Indicators </w:t>
            </w:r>
          </w:p>
        </w:tc>
        <w:tc>
          <w:tcPr>
            <w:tcW w:w="1369" w:type="dxa"/>
            <w:shd w:val="clear" w:color="auto" w:fill="F2CEED" w:themeFill="accent5" w:themeFillTint="33"/>
          </w:tcPr>
          <w:p w14:paraId="147101F0"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%ile in USA </w:t>
            </w:r>
          </w:p>
        </w:tc>
        <w:tc>
          <w:tcPr>
            <w:tcW w:w="1369" w:type="dxa"/>
            <w:shd w:val="clear" w:color="auto" w:fill="F2CEED" w:themeFill="accent5" w:themeFillTint="33"/>
          </w:tcPr>
          <w:p w14:paraId="4E640F75"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%ile in USA </w:t>
            </w:r>
          </w:p>
        </w:tc>
        <w:tc>
          <w:tcPr>
            <w:tcW w:w="1369" w:type="dxa"/>
            <w:shd w:val="clear" w:color="auto" w:fill="F2CEED" w:themeFill="accent5" w:themeFillTint="33"/>
          </w:tcPr>
          <w:p w14:paraId="6FB1C8FA"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%ile in USA </w:t>
            </w:r>
          </w:p>
        </w:tc>
        <w:tc>
          <w:tcPr>
            <w:tcW w:w="1369" w:type="dxa"/>
            <w:shd w:val="clear" w:color="auto" w:fill="F2CEED" w:themeFill="accent5" w:themeFillTint="33"/>
          </w:tcPr>
          <w:p w14:paraId="127817FC"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%ile in USA </w:t>
            </w:r>
          </w:p>
        </w:tc>
        <w:tc>
          <w:tcPr>
            <w:tcW w:w="1369" w:type="dxa"/>
            <w:shd w:val="clear" w:color="auto" w:fill="F2CEED" w:themeFill="accent5" w:themeFillTint="33"/>
          </w:tcPr>
          <w:p w14:paraId="243CC716"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%ile in USA </w:t>
            </w:r>
          </w:p>
        </w:tc>
        <w:tc>
          <w:tcPr>
            <w:tcW w:w="1373" w:type="dxa"/>
            <w:shd w:val="clear" w:color="auto" w:fill="F2CEED" w:themeFill="accent5" w:themeFillTint="33"/>
          </w:tcPr>
          <w:p w14:paraId="4AAE54BC"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%ile in USA </w:t>
            </w:r>
          </w:p>
        </w:tc>
      </w:tr>
      <w:tr w:rsidR="0098451C" w:rsidRPr="00BB79BC" w14:paraId="17385E67" w14:textId="77777777" w:rsidTr="007531DD">
        <w:trPr>
          <w:trHeight w:val="99"/>
        </w:trPr>
        <w:tc>
          <w:tcPr>
            <w:tcW w:w="2053" w:type="dxa"/>
          </w:tcPr>
          <w:p w14:paraId="10DE481E"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People of Color </w:t>
            </w:r>
          </w:p>
        </w:tc>
        <w:tc>
          <w:tcPr>
            <w:tcW w:w="1369" w:type="dxa"/>
          </w:tcPr>
          <w:p w14:paraId="3A815BB9"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93 </w:t>
            </w:r>
          </w:p>
        </w:tc>
        <w:tc>
          <w:tcPr>
            <w:tcW w:w="1369" w:type="dxa"/>
          </w:tcPr>
          <w:p w14:paraId="0FA8A439"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95 </w:t>
            </w:r>
          </w:p>
        </w:tc>
        <w:tc>
          <w:tcPr>
            <w:tcW w:w="1369" w:type="dxa"/>
          </w:tcPr>
          <w:p w14:paraId="53B0D448"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91 </w:t>
            </w:r>
          </w:p>
        </w:tc>
        <w:tc>
          <w:tcPr>
            <w:tcW w:w="1369" w:type="dxa"/>
          </w:tcPr>
          <w:p w14:paraId="41CCA320"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93 </w:t>
            </w:r>
          </w:p>
        </w:tc>
        <w:tc>
          <w:tcPr>
            <w:tcW w:w="1369" w:type="dxa"/>
          </w:tcPr>
          <w:p w14:paraId="629ADBB7"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86 </w:t>
            </w:r>
          </w:p>
        </w:tc>
        <w:tc>
          <w:tcPr>
            <w:tcW w:w="1373" w:type="dxa"/>
          </w:tcPr>
          <w:p w14:paraId="69EBD431"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80 </w:t>
            </w:r>
          </w:p>
        </w:tc>
      </w:tr>
      <w:tr w:rsidR="0098451C" w:rsidRPr="00BB79BC" w14:paraId="3D133296" w14:textId="77777777" w:rsidTr="007531DD">
        <w:trPr>
          <w:trHeight w:val="99"/>
        </w:trPr>
        <w:tc>
          <w:tcPr>
            <w:tcW w:w="2053" w:type="dxa"/>
          </w:tcPr>
          <w:p w14:paraId="688A5FE5"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Low Income </w:t>
            </w:r>
          </w:p>
        </w:tc>
        <w:tc>
          <w:tcPr>
            <w:tcW w:w="1369" w:type="dxa"/>
          </w:tcPr>
          <w:p w14:paraId="1F8DC32A"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92 </w:t>
            </w:r>
          </w:p>
        </w:tc>
        <w:tc>
          <w:tcPr>
            <w:tcW w:w="1369" w:type="dxa"/>
          </w:tcPr>
          <w:p w14:paraId="1C84D61C"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92 </w:t>
            </w:r>
          </w:p>
        </w:tc>
        <w:tc>
          <w:tcPr>
            <w:tcW w:w="1369" w:type="dxa"/>
          </w:tcPr>
          <w:p w14:paraId="2F16BE53"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87 </w:t>
            </w:r>
          </w:p>
        </w:tc>
        <w:tc>
          <w:tcPr>
            <w:tcW w:w="1369" w:type="dxa"/>
          </w:tcPr>
          <w:p w14:paraId="16903AF0"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85 </w:t>
            </w:r>
          </w:p>
        </w:tc>
        <w:tc>
          <w:tcPr>
            <w:tcW w:w="1369" w:type="dxa"/>
          </w:tcPr>
          <w:p w14:paraId="3631D949"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79 </w:t>
            </w:r>
          </w:p>
        </w:tc>
        <w:tc>
          <w:tcPr>
            <w:tcW w:w="1373" w:type="dxa"/>
          </w:tcPr>
          <w:p w14:paraId="3169A607"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60 </w:t>
            </w:r>
          </w:p>
        </w:tc>
      </w:tr>
      <w:tr w:rsidR="0098451C" w:rsidRPr="00BB79BC" w14:paraId="59FA2B1D" w14:textId="77777777" w:rsidTr="007531DD">
        <w:trPr>
          <w:trHeight w:val="99"/>
        </w:trPr>
        <w:tc>
          <w:tcPr>
            <w:tcW w:w="2053" w:type="dxa"/>
          </w:tcPr>
          <w:p w14:paraId="24886861"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Low Life Expectancy </w:t>
            </w:r>
          </w:p>
        </w:tc>
        <w:tc>
          <w:tcPr>
            <w:tcW w:w="1369" w:type="dxa"/>
          </w:tcPr>
          <w:p w14:paraId="20191A72"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85 </w:t>
            </w:r>
          </w:p>
        </w:tc>
        <w:tc>
          <w:tcPr>
            <w:tcW w:w="1369" w:type="dxa"/>
          </w:tcPr>
          <w:p w14:paraId="7E184CA5"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96 </w:t>
            </w:r>
          </w:p>
        </w:tc>
        <w:tc>
          <w:tcPr>
            <w:tcW w:w="1369" w:type="dxa"/>
          </w:tcPr>
          <w:p w14:paraId="05414FDB"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83 </w:t>
            </w:r>
          </w:p>
        </w:tc>
        <w:tc>
          <w:tcPr>
            <w:tcW w:w="1369" w:type="dxa"/>
          </w:tcPr>
          <w:p w14:paraId="35A1260D"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18 </w:t>
            </w:r>
          </w:p>
        </w:tc>
        <w:tc>
          <w:tcPr>
            <w:tcW w:w="1369" w:type="dxa"/>
          </w:tcPr>
          <w:p w14:paraId="023DA1FC"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32 </w:t>
            </w:r>
          </w:p>
        </w:tc>
        <w:tc>
          <w:tcPr>
            <w:tcW w:w="1373" w:type="dxa"/>
          </w:tcPr>
          <w:p w14:paraId="117BEB2F"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16 </w:t>
            </w:r>
          </w:p>
        </w:tc>
      </w:tr>
      <w:tr w:rsidR="0098451C" w:rsidRPr="00BB79BC" w14:paraId="6B753016" w14:textId="77777777" w:rsidTr="00B22E59">
        <w:trPr>
          <w:trHeight w:val="99"/>
        </w:trPr>
        <w:tc>
          <w:tcPr>
            <w:tcW w:w="10271" w:type="dxa"/>
            <w:gridSpan w:val="7"/>
            <w:shd w:val="clear" w:color="auto" w:fill="F2CEED" w:themeFill="accent5" w:themeFillTint="33"/>
          </w:tcPr>
          <w:p w14:paraId="6D54DB7D"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Health Disparities </w:t>
            </w:r>
          </w:p>
        </w:tc>
      </w:tr>
      <w:tr w:rsidR="0098451C" w:rsidRPr="00BB79BC" w14:paraId="0309B1C2" w14:textId="77777777" w:rsidTr="007531DD">
        <w:trPr>
          <w:trHeight w:val="99"/>
        </w:trPr>
        <w:tc>
          <w:tcPr>
            <w:tcW w:w="2053" w:type="dxa"/>
          </w:tcPr>
          <w:p w14:paraId="09C2A891"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Current Asthma </w:t>
            </w:r>
          </w:p>
        </w:tc>
        <w:tc>
          <w:tcPr>
            <w:tcW w:w="1369" w:type="dxa"/>
          </w:tcPr>
          <w:p w14:paraId="0BC97DCC"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90th-95th </w:t>
            </w:r>
          </w:p>
        </w:tc>
        <w:tc>
          <w:tcPr>
            <w:tcW w:w="1369" w:type="dxa"/>
          </w:tcPr>
          <w:p w14:paraId="4BEBBAA6"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95th – 100th </w:t>
            </w:r>
          </w:p>
        </w:tc>
        <w:tc>
          <w:tcPr>
            <w:tcW w:w="1369" w:type="dxa"/>
          </w:tcPr>
          <w:p w14:paraId="2D644D58"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90th-95th </w:t>
            </w:r>
          </w:p>
        </w:tc>
        <w:tc>
          <w:tcPr>
            <w:tcW w:w="1369" w:type="dxa"/>
          </w:tcPr>
          <w:p w14:paraId="7BF7F70A"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 – 95th </w:t>
            </w:r>
          </w:p>
        </w:tc>
        <w:tc>
          <w:tcPr>
            <w:tcW w:w="1369" w:type="dxa"/>
          </w:tcPr>
          <w:p w14:paraId="72CD452C"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 – 95th </w:t>
            </w:r>
          </w:p>
        </w:tc>
        <w:tc>
          <w:tcPr>
            <w:tcW w:w="1373" w:type="dxa"/>
          </w:tcPr>
          <w:p w14:paraId="47E3A3A4"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&lt; than 50th </w:t>
            </w:r>
          </w:p>
        </w:tc>
      </w:tr>
      <w:tr w:rsidR="0098451C" w:rsidRPr="00BB79BC" w14:paraId="5B427802" w14:textId="77777777" w:rsidTr="007531DD">
        <w:trPr>
          <w:trHeight w:val="99"/>
        </w:trPr>
        <w:tc>
          <w:tcPr>
            <w:tcW w:w="2053" w:type="dxa"/>
          </w:tcPr>
          <w:p w14:paraId="25F51786"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Coronary Heart Disease </w:t>
            </w:r>
          </w:p>
        </w:tc>
        <w:tc>
          <w:tcPr>
            <w:tcW w:w="1369" w:type="dxa"/>
          </w:tcPr>
          <w:p w14:paraId="4694446D"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90th-95th </w:t>
            </w:r>
          </w:p>
        </w:tc>
        <w:tc>
          <w:tcPr>
            <w:tcW w:w="1369" w:type="dxa"/>
          </w:tcPr>
          <w:p w14:paraId="4111E4C9"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95th – 100th </w:t>
            </w:r>
          </w:p>
        </w:tc>
        <w:tc>
          <w:tcPr>
            <w:tcW w:w="1369" w:type="dxa"/>
          </w:tcPr>
          <w:p w14:paraId="6682CF08"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90th-95th </w:t>
            </w:r>
          </w:p>
        </w:tc>
        <w:tc>
          <w:tcPr>
            <w:tcW w:w="1369" w:type="dxa"/>
          </w:tcPr>
          <w:p w14:paraId="434D41D8"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90th-95th </w:t>
            </w:r>
          </w:p>
        </w:tc>
        <w:tc>
          <w:tcPr>
            <w:tcW w:w="1369" w:type="dxa"/>
          </w:tcPr>
          <w:p w14:paraId="05E3D071"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90th-95th </w:t>
            </w:r>
          </w:p>
        </w:tc>
        <w:tc>
          <w:tcPr>
            <w:tcW w:w="1373" w:type="dxa"/>
          </w:tcPr>
          <w:p w14:paraId="0FC031C8"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&lt; than 50th </w:t>
            </w:r>
          </w:p>
        </w:tc>
      </w:tr>
      <w:tr w:rsidR="0098451C" w:rsidRPr="00BB79BC" w14:paraId="24B18E36" w14:textId="77777777" w:rsidTr="00B22E59">
        <w:trPr>
          <w:trHeight w:val="99"/>
        </w:trPr>
        <w:tc>
          <w:tcPr>
            <w:tcW w:w="10271" w:type="dxa"/>
            <w:gridSpan w:val="7"/>
            <w:shd w:val="clear" w:color="auto" w:fill="F2CEED" w:themeFill="accent5" w:themeFillTint="33"/>
          </w:tcPr>
          <w:p w14:paraId="2002C0F7"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b/>
                <w:bCs/>
                <w:color w:val="000000"/>
                <w:sz w:val="20"/>
                <w:szCs w:val="20"/>
                <w:lang w:bidi="ar-SA"/>
                <w14:ligatures w14:val="standardContextual"/>
              </w:rPr>
              <w:t xml:space="preserve">Pollution and Sources </w:t>
            </w:r>
          </w:p>
        </w:tc>
      </w:tr>
      <w:tr w:rsidR="0098451C" w:rsidRPr="00BB79BC" w14:paraId="521008B0" w14:textId="77777777" w:rsidTr="007531DD">
        <w:trPr>
          <w:trHeight w:val="222"/>
        </w:trPr>
        <w:tc>
          <w:tcPr>
            <w:tcW w:w="2053" w:type="dxa"/>
          </w:tcPr>
          <w:p w14:paraId="4AA97639"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Particulate Matter 2.5 (μg/m3</w:t>
            </w:r>
            <w:r w:rsidRPr="00BB79BC">
              <w:rPr>
                <w:rFonts w:eastAsiaTheme="minorHAnsi"/>
                <w:b/>
                <w:bCs/>
                <w:color w:val="000000"/>
                <w:sz w:val="20"/>
                <w:szCs w:val="20"/>
                <w:lang w:bidi="ar-SA"/>
                <w14:ligatures w14:val="standardContextual"/>
              </w:rPr>
              <w:t xml:space="preserve">) </w:t>
            </w:r>
          </w:p>
        </w:tc>
        <w:tc>
          <w:tcPr>
            <w:tcW w:w="1369" w:type="dxa"/>
          </w:tcPr>
          <w:p w14:paraId="622942EB"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77 </w:t>
            </w:r>
          </w:p>
        </w:tc>
        <w:tc>
          <w:tcPr>
            <w:tcW w:w="1369" w:type="dxa"/>
          </w:tcPr>
          <w:p w14:paraId="63F925E2"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78 </w:t>
            </w:r>
          </w:p>
        </w:tc>
        <w:tc>
          <w:tcPr>
            <w:tcW w:w="1369" w:type="dxa"/>
          </w:tcPr>
          <w:p w14:paraId="682F3A3F"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74 </w:t>
            </w:r>
          </w:p>
        </w:tc>
        <w:tc>
          <w:tcPr>
            <w:tcW w:w="1369" w:type="dxa"/>
          </w:tcPr>
          <w:p w14:paraId="76DA7958"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74 </w:t>
            </w:r>
          </w:p>
        </w:tc>
        <w:tc>
          <w:tcPr>
            <w:tcW w:w="1369" w:type="dxa"/>
          </w:tcPr>
          <w:p w14:paraId="366E2BD7"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33 </w:t>
            </w:r>
          </w:p>
        </w:tc>
        <w:tc>
          <w:tcPr>
            <w:tcW w:w="1373" w:type="dxa"/>
          </w:tcPr>
          <w:p w14:paraId="3B94AF26"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63 </w:t>
            </w:r>
          </w:p>
        </w:tc>
      </w:tr>
      <w:tr w:rsidR="0098451C" w:rsidRPr="00BB79BC" w14:paraId="64133F6E" w14:textId="77777777" w:rsidTr="007531DD">
        <w:trPr>
          <w:trHeight w:val="99"/>
        </w:trPr>
        <w:tc>
          <w:tcPr>
            <w:tcW w:w="2053" w:type="dxa"/>
          </w:tcPr>
          <w:p w14:paraId="4C2A3781"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Air Toxics Respiratory HI </w:t>
            </w:r>
          </w:p>
        </w:tc>
        <w:tc>
          <w:tcPr>
            <w:tcW w:w="1369" w:type="dxa"/>
          </w:tcPr>
          <w:p w14:paraId="0AA03B77"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95 </w:t>
            </w:r>
          </w:p>
        </w:tc>
        <w:tc>
          <w:tcPr>
            <w:tcW w:w="1369" w:type="dxa"/>
          </w:tcPr>
          <w:p w14:paraId="4015F16A"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95 </w:t>
            </w:r>
          </w:p>
        </w:tc>
        <w:tc>
          <w:tcPr>
            <w:tcW w:w="1369" w:type="dxa"/>
          </w:tcPr>
          <w:p w14:paraId="24DB374B"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90 </w:t>
            </w:r>
          </w:p>
        </w:tc>
        <w:tc>
          <w:tcPr>
            <w:tcW w:w="1369" w:type="dxa"/>
          </w:tcPr>
          <w:p w14:paraId="08E4EC2D"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86 </w:t>
            </w:r>
          </w:p>
        </w:tc>
        <w:tc>
          <w:tcPr>
            <w:tcW w:w="1369" w:type="dxa"/>
          </w:tcPr>
          <w:p w14:paraId="5145291A"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60th - 70th </w:t>
            </w:r>
          </w:p>
        </w:tc>
        <w:tc>
          <w:tcPr>
            <w:tcW w:w="1373" w:type="dxa"/>
          </w:tcPr>
          <w:p w14:paraId="6546B178" w14:textId="77777777" w:rsidR="00BB79BC" w:rsidRPr="00BB79BC" w:rsidRDefault="00BB79BC" w:rsidP="00BB79BC">
            <w:pPr>
              <w:widowControl/>
              <w:adjustRightInd w:val="0"/>
              <w:rPr>
                <w:rFonts w:eastAsiaTheme="minorHAnsi"/>
                <w:color w:val="000000"/>
                <w:sz w:val="20"/>
                <w:szCs w:val="20"/>
                <w:lang w:bidi="ar-SA"/>
                <w14:ligatures w14:val="standardContextual"/>
              </w:rPr>
            </w:pPr>
            <w:r w:rsidRPr="00BB79BC">
              <w:rPr>
                <w:rFonts w:eastAsiaTheme="minorHAnsi"/>
                <w:color w:val="000000"/>
                <w:sz w:val="20"/>
                <w:szCs w:val="20"/>
                <w:lang w:bidi="ar-SA"/>
                <w14:ligatures w14:val="standardContextual"/>
              </w:rPr>
              <w:t xml:space="preserve">65 </w:t>
            </w:r>
          </w:p>
        </w:tc>
      </w:tr>
    </w:tbl>
    <w:p w14:paraId="6C9E9C17" w14:textId="1B493FC9" w:rsidR="00A10B9B" w:rsidRDefault="006F5F7E" w:rsidP="004A60BA">
      <w:pPr>
        <w:pStyle w:val="BodyText"/>
        <w:ind w:right="-43"/>
        <w:rPr>
          <w:sz w:val="22"/>
          <w:szCs w:val="22"/>
        </w:rPr>
      </w:pPr>
      <w:r>
        <w:rPr>
          <w:sz w:val="22"/>
          <w:szCs w:val="22"/>
        </w:rPr>
        <w:t xml:space="preserve">The </w:t>
      </w:r>
      <w:r w:rsidR="00932D91">
        <w:rPr>
          <w:sz w:val="22"/>
          <w:szCs w:val="22"/>
        </w:rPr>
        <w:t>City of</w:t>
      </w:r>
      <w:r>
        <w:rPr>
          <w:sz w:val="22"/>
          <w:szCs w:val="22"/>
        </w:rPr>
        <w:t xml:space="preserve"> Miami Climate Ready Housing Program Suite</w:t>
      </w:r>
      <w:r w:rsidR="00E45076" w:rsidRPr="00A96861">
        <w:rPr>
          <w:sz w:val="22"/>
          <w:szCs w:val="22"/>
        </w:rPr>
        <w:t xml:space="preserve"> seeks to not only mitigate the environmental impacts but also prioritize equity by focusing on </w:t>
      </w:r>
      <w:r w:rsidR="000D1D64">
        <w:rPr>
          <w:sz w:val="22"/>
          <w:szCs w:val="22"/>
        </w:rPr>
        <w:t xml:space="preserve">our </w:t>
      </w:r>
      <w:r w:rsidR="00F40DD9">
        <w:rPr>
          <w:sz w:val="22"/>
          <w:szCs w:val="22"/>
        </w:rPr>
        <w:t>C</w:t>
      </w:r>
      <w:r w:rsidR="000D1D64">
        <w:rPr>
          <w:sz w:val="22"/>
          <w:szCs w:val="22"/>
        </w:rPr>
        <w:t xml:space="preserve">limate </w:t>
      </w:r>
      <w:r w:rsidR="00F40DD9">
        <w:rPr>
          <w:sz w:val="22"/>
          <w:szCs w:val="22"/>
        </w:rPr>
        <w:t>J</w:t>
      </w:r>
      <w:r w:rsidR="000D1D64">
        <w:rPr>
          <w:sz w:val="22"/>
          <w:szCs w:val="22"/>
        </w:rPr>
        <w:t xml:space="preserve">ustice </w:t>
      </w:r>
      <w:r w:rsidR="00F40DD9">
        <w:rPr>
          <w:sz w:val="22"/>
          <w:szCs w:val="22"/>
        </w:rPr>
        <w:t>C</w:t>
      </w:r>
      <w:r w:rsidR="000D1D64">
        <w:rPr>
          <w:sz w:val="22"/>
          <w:szCs w:val="22"/>
        </w:rPr>
        <w:t xml:space="preserve">ommunities </w:t>
      </w:r>
      <w:r w:rsidR="00AA065A">
        <w:rPr>
          <w:sz w:val="22"/>
          <w:szCs w:val="22"/>
        </w:rPr>
        <w:t xml:space="preserve">that fall under </w:t>
      </w:r>
      <w:r w:rsidR="00E45076" w:rsidRPr="00A96861">
        <w:rPr>
          <w:sz w:val="22"/>
          <w:szCs w:val="22"/>
        </w:rPr>
        <w:t xml:space="preserve">low-income and disadvantaged communities (LIDACs) within </w:t>
      </w:r>
      <w:r w:rsidR="00187AE6" w:rsidRPr="00A96861">
        <w:rPr>
          <w:sz w:val="22"/>
          <w:szCs w:val="22"/>
        </w:rPr>
        <w:t>the City of Miami</w:t>
      </w:r>
      <w:r w:rsidR="005D2A4B">
        <w:rPr>
          <w:sz w:val="22"/>
          <w:szCs w:val="22"/>
        </w:rPr>
        <w:t>, aligning with the EPA’s definition of these communities</w:t>
      </w:r>
      <w:r w:rsidR="00E45076" w:rsidRPr="00A96861">
        <w:rPr>
          <w:sz w:val="22"/>
          <w:szCs w:val="22"/>
        </w:rPr>
        <w:t>.</w:t>
      </w:r>
      <w:r w:rsidR="00283824">
        <w:rPr>
          <w:sz w:val="22"/>
          <w:szCs w:val="22"/>
        </w:rPr>
        <w:t xml:space="preserve"> </w:t>
      </w:r>
      <w:r w:rsidR="001F7413">
        <w:rPr>
          <w:sz w:val="22"/>
          <w:szCs w:val="22"/>
        </w:rPr>
        <w:t>Our</w:t>
      </w:r>
      <w:r w:rsidR="00C5314C">
        <w:rPr>
          <w:sz w:val="22"/>
          <w:szCs w:val="22"/>
        </w:rPr>
        <w:t xml:space="preserve"> efforts are pivotal i</w:t>
      </w:r>
      <w:r w:rsidR="001F7413">
        <w:rPr>
          <w:sz w:val="22"/>
          <w:szCs w:val="22"/>
        </w:rPr>
        <w:t xml:space="preserve">n </w:t>
      </w:r>
      <w:r w:rsidR="00A4052B">
        <w:rPr>
          <w:sz w:val="22"/>
          <w:szCs w:val="22"/>
        </w:rPr>
        <w:t>mitigating</w:t>
      </w:r>
      <w:r w:rsidR="00C5314C">
        <w:rPr>
          <w:sz w:val="22"/>
          <w:szCs w:val="22"/>
        </w:rPr>
        <w:t xml:space="preserve"> climate change by reducing </w:t>
      </w:r>
      <w:r w:rsidR="00BD377E">
        <w:rPr>
          <w:sz w:val="22"/>
          <w:szCs w:val="22"/>
        </w:rPr>
        <w:t>GHG</w:t>
      </w:r>
      <w:r w:rsidR="00596469">
        <w:rPr>
          <w:sz w:val="22"/>
          <w:szCs w:val="22"/>
        </w:rPr>
        <w:t xml:space="preserve"> </w:t>
      </w:r>
      <w:r w:rsidR="00C5314C">
        <w:rPr>
          <w:sz w:val="22"/>
          <w:szCs w:val="22"/>
        </w:rPr>
        <w:t>emissions</w:t>
      </w:r>
      <w:r w:rsidR="00F270F6">
        <w:rPr>
          <w:sz w:val="22"/>
          <w:szCs w:val="22"/>
        </w:rPr>
        <w:t xml:space="preserve"> </w:t>
      </w:r>
      <w:r w:rsidR="001F7413">
        <w:rPr>
          <w:sz w:val="22"/>
          <w:szCs w:val="22"/>
        </w:rPr>
        <w:t>and tackling</w:t>
      </w:r>
      <w:r w:rsidR="00F270F6">
        <w:rPr>
          <w:sz w:val="22"/>
          <w:szCs w:val="22"/>
        </w:rPr>
        <w:t xml:space="preserve"> broader societal issues including energy burden</w:t>
      </w:r>
      <w:r w:rsidR="00EE24C3">
        <w:rPr>
          <w:sz w:val="22"/>
          <w:szCs w:val="22"/>
        </w:rPr>
        <w:t>,</w:t>
      </w:r>
      <w:r w:rsidR="00F270F6">
        <w:rPr>
          <w:sz w:val="22"/>
          <w:szCs w:val="22"/>
        </w:rPr>
        <w:t xml:space="preserve"> housing affordability</w:t>
      </w:r>
      <w:r w:rsidR="00A4052B">
        <w:rPr>
          <w:sz w:val="22"/>
          <w:szCs w:val="22"/>
        </w:rPr>
        <w:t xml:space="preserve">, </w:t>
      </w:r>
      <w:r w:rsidR="00A10B9B">
        <w:rPr>
          <w:sz w:val="22"/>
          <w:szCs w:val="22"/>
        </w:rPr>
        <w:t>access to services, job opportunity,</w:t>
      </w:r>
      <w:r w:rsidR="00F270F6">
        <w:rPr>
          <w:sz w:val="22"/>
          <w:szCs w:val="22"/>
        </w:rPr>
        <w:t xml:space="preserve"> and public health. </w:t>
      </w:r>
      <w:r w:rsidR="009757D3" w:rsidRPr="00A96861">
        <w:rPr>
          <w:sz w:val="22"/>
          <w:szCs w:val="22"/>
        </w:rPr>
        <w:t xml:space="preserve">Central to our approach is of the importance of quantifying both direct and indirect benefits to </w:t>
      </w:r>
      <w:r w:rsidR="00F515CC">
        <w:rPr>
          <w:sz w:val="22"/>
          <w:szCs w:val="22"/>
        </w:rPr>
        <w:t>low</w:t>
      </w:r>
      <w:r w:rsidR="0074781A">
        <w:rPr>
          <w:sz w:val="22"/>
          <w:szCs w:val="22"/>
        </w:rPr>
        <w:t>-income and disadvantage</w:t>
      </w:r>
      <w:r w:rsidR="002D1302">
        <w:rPr>
          <w:sz w:val="22"/>
          <w:szCs w:val="22"/>
        </w:rPr>
        <w:t>d</w:t>
      </w:r>
      <w:r w:rsidR="0074781A">
        <w:rPr>
          <w:sz w:val="22"/>
          <w:szCs w:val="22"/>
        </w:rPr>
        <w:t xml:space="preserve"> communities (LIDACs),</w:t>
      </w:r>
      <w:r w:rsidR="009757D3" w:rsidRPr="00A96861">
        <w:rPr>
          <w:sz w:val="22"/>
          <w:szCs w:val="22"/>
        </w:rPr>
        <w:t xml:space="preserve"> while also identifying potential disbenefits and outlining </w:t>
      </w:r>
      <w:r w:rsidR="00F11149" w:rsidRPr="00A96861">
        <w:rPr>
          <w:sz w:val="22"/>
          <w:szCs w:val="22"/>
        </w:rPr>
        <w:t xml:space="preserve">mitigation </w:t>
      </w:r>
      <w:r w:rsidR="009757D3" w:rsidRPr="00A96861">
        <w:rPr>
          <w:sz w:val="22"/>
          <w:szCs w:val="22"/>
        </w:rPr>
        <w:t xml:space="preserve">strategies. </w:t>
      </w:r>
    </w:p>
    <w:p w14:paraId="380EAC88" w14:textId="77777777" w:rsidR="00B4043C" w:rsidRDefault="00B4043C" w:rsidP="00B4043C">
      <w:pPr>
        <w:pStyle w:val="BodyText"/>
        <w:ind w:right="-40"/>
        <w:jc w:val="both"/>
        <w:rPr>
          <w:b/>
          <w:bCs/>
          <w:sz w:val="22"/>
          <w:szCs w:val="22"/>
        </w:rPr>
      </w:pPr>
    </w:p>
    <w:p w14:paraId="2748FF49" w14:textId="0F25CBF8" w:rsidR="00A10B9B" w:rsidRPr="00A10B9B" w:rsidRDefault="00A10B9B" w:rsidP="00740D50">
      <w:pPr>
        <w:pStyle w:val="BodyText"/>
        <w:ind w:right="-40"/>
        <w:rPr>
          <w:b/>
          <w:bCs/>
          <w:sz w:val="22"/>
          <w:szCs w:val="22"/>
        </w:rPr>
      </w:pPr>
      <w:r w:rsidRPr="00A10B9B">
        <w:rPr>
          <w:b/>
          <w:bCs/>
          <w:sz w:val="22"/>
          <w:szCs w:val="22"/>
        </w:rPr>
        <w:t xml:space="preserve">Direct and Indirect Benefits: </w:t>
      </w:r>
    </w:p>
    <w:p w14:paraId="3F4A9A4E" w14:textId="0D6922DE" w:rsidR="00701F2E" w:rsidRDefault="00F060F2" w:rsidP="00740D50">
      <w:pPr>
        <w:pStyle w:val="BodyText"/>
        <w:ind w:right="-40"/>
        <w:rPr>
          <w:color w:val="000000" w:themeColor="text1"/>
          <w:sz w:val="22"/>
          <w:szCs w:val="22"/>
        </w:rPr>
      </w:pPr>
      <w:r>
        <w:rPr>
          <w:sz w:val="22"/>
          <w:szCs w:val="22"/>
        </w:rPr>
        <w:t>I</w:t>
      </w:r>
      <w:r w:rsidR="006A43B6" w:rsidRPr="0080658B">
        <w:rPr>
          <w:sz w:val="22"/>
          <w:szCs w:val="22"/>
        </w:rPr>
        <w:t>mplement</w:t>
      </w:r>
      <w:r w:rsidR="00EF298F">
        <w:rPr>
          <w:sz w:val="22"/>
          <w:szCs w:val="22"/>
        </w:rPr>
        <w:t xml:space="preserve">ing </w:t>
      </w:r>
      <w:r w:rsidR="006A43B6" w:rsidRPr="0080658B">
        <w:rPr>
          <w:sz w:val="22"/>
          <w:szCs w:val="22"/>
        </w:rPr>
        <w:t xml:space="preserve">residential energy efficiency </w:t>
      </w:r>
      <w:r w:rsidR="000C0EF4">
        <w:rPr>
          <w:sz w:val="22"/>
          <w:szCs w:val="22"/>
        </w:rPr>
        <w:t xml:space="preserve">and </w:t>
      </w:r>
      <w:r w:rsidR="00AE3D25">
        <w:rPr>
          <w:sz w:val="22"/>
          <w:szCs w:val="22"/>
        </w:rPr>
        <w:t>renewable energy measures</w:t>
      </w:r>
      <w:r w:rsidR="00A04AEA">
        <w:rPr>
          <w:sz w:val="22"/>
          <w:szCs w:val="22"/>
        </w:rPr>
        <w:t xml:space="preserve"> in </w:t>
      </w:r>
      <w:r w:rsidR="00E16EA8">
        <w:rPr>
          <w:sz w:val="22"/>
          <w:szCs w:val="22"/>
        </w:rPr>
        <w:t xml:space="preserve">the City of </w:t>
      </w:r>
      <w:r w:rsidR="00A04AEA">
        <w:rPr>
          <w:sz w:val="22"/>
          <w:szCs w:val="22"/>
        </w:rPr>
        <w:t>Miami</w:t>
      </w:r>
      <w:r w:rsidR="006A43B6" w:rsidRPr="0080658B">
        <w:rPr>
          <w:sz w:val="22"/>
          <w:szCs w:val="22"/>
        </w:rPr>
        <w:t xml:space="preserve"> </w:t>
      </w:r>
      <w:r w:rsidR="00A04AEA">
        <w:rPr>
          <w:sz w:val="22"/>
          <w:szCs w:val="22"/>
        </w:rPr>
        <w:t>offers</w:t>
      </w:r>
      <w:r w:rsidR="006A43B6" w:rsidRPr="0080658B">
        <w:rPr>
          <w:sz w:val="22"/>
          <w:szCs w:val="22"/>
        </w:rPr>
        <w:t xml:space="preserve"> significant </w:t>
      </w:r>
      <w:r w:rsidR="006A43B6" w:rsidRPr="00B748AC">
        <w:rPr>
          <w:b/>
          <w:bCs/>
          <w:sz w:val="22"/>
          <w:szCs w:val="22"/>
        </w:rPr>
        <w:t>direct benefits</w:t>
      </w:r>
      <w:r w:rsidR="006A43B6" w:rsidRPr="0080658B">
        <w:rPr>
          <w:sz w:val="22"/>
          <w:szCs w:val="22"/>
        </w:rPr>
        <w:t xml:space="preserve">, including </w:t>
      </w:r>
      <w:r w:rsidR="00343E19">
        <w:rPr>
          <w:sz w:val="22"/>
          <w:szCs w:val="22"/>
        </w:rPr>
        <w:t xml:space="preserve">mitigating climate impacts, </w:t>
      </w:r>
      <w:r w:rsidR="00A749AD">
        <w:rPr>
          <w:sz w:val="22"/>
          <w:szCs w:val="22"/>
        </w:rPr>
        <w:t xml:space="preserve">increasing resilience, </w:t>
      </w:r>
      <w:r w:rsidR="006A43B6" w:rsidRPr="0080658B">
        <w:rPr>
          <w:sz w:val="22"/>
          <w:szCs w:val="22"/>
        </w:rPr>
        <w:t>reduc</w:t>
      </w:r>
      <w:r w:rsidR="008A2CA1">
        <w:rPr>
          <w:sz w:val="22"/>
          <w:szCs w:val="22"/>
        </w:rPr>
        <w:t>ing</w:t>
      </w:r>
      <w:r w:rsidR="006A43B6" w:rsidRPr="0080658B">
        <w:rPr>
          <w:sz w:val="22"/>
          <w:szCs w:val="22"/>
        </w:rPr>
        <w:t xml:space="preserve"> energy bills, improv</w:t>
      </w:r>
      <w:r w:rsidR="008A2CA1">
        <w:rPr>
          <w:sz w:val="22"/>
          <w:szCs w:val="22"/>
        </w:rPr>
        <w:t>ing</w:t>
      </w:r>
      <w:r w:rsidR="006A43B6" w:rsidRPr="0080658B">
        <w:rPr>
          <w:sz w:val="22"/>
          <w:szCs w:val="22"/>
        </w:rPr>
        <w:t xml:space="preserve"> indoor air </w:t>
      </w:r>
      <w:r w:rsidR="006A43B6" w:rsidRPr="00807900">
        <w:rPr>
          <w:sz w:val="22"/>
          <w:szCs w:val="22"/>
        </w:rPr>
        <w:t>quality, and enhanc</w:t>
      </w:r>
      <w:r w:rsidR="008A2CA1" w:rsidRPr="00807900">
        <w:rPr>
          <w:sz w:val="22"/>
          <w:szCs w:val="22"/>
        </w:rPr>
        <w:t>ing</w:t>
      </w:r>
      <w:r w:rsidR="006A43B6" w:rsidRPr="00807900">
        <w:rPr>
          <w:sz w:val="22"/>
          <w:szCs w:val="22"/>
        </w:rPr>
        <w:t xml:space="preserve"> overall comfort</w:t>
      </w:r>
      <w:r w:rsidR="00460E92" w:rsidRPr="00807900">
        <w:rPr>
          <w:sz w:val="22"/>
          <w:szCs w:val="22"/>
        </w:rPr>
        <w:t>, particularly crucial for</w:t>
      </w:r>
      <w:r w:rsidR="00EF310C" w:rsidRPr="00807900">
        <w:rPr>
          <w:sz w:val="22"/>
          <w:szCs w:val="22"/>
        </w:rPr>
        <w:t xml:space="preserve"> our </w:t>
      </w:r>
      <w:r w:rsidR="00293D8E">
        <w:rPr>
          <w:rFonts w:eastAsiaTheme="minorHAnsi"/>
          <w:color w:val="000000"/>
          <w:sz w:val="22"/>
          <w:szCs w:val="22"/>
          <w:lang w:bidi="ar-SA"/>
          <w14:ligatures w14:val="standardContextual"/>
        </w:rPr>
        <w:t>C</w:t>
      </w:r>
      <w:r w:rsidR="00EF310C" w:rsidRPr="00807900">
        <w:rPr>
          <w:rFonts w:eastAsiaTheme="minorHAnsi"/>
          <w:color w:val="000000"/>
          <w:sz w:val="22"/>
          <w:szCs w:val="22"/>
          <w:lang w:bidi="ar-SA"/>
          <w14:ligatures w14:val="standardContextual"/>
        </w:rPr>
        <w:t xml:space="preserve">limate </w:t>
      </w:r>
      <w:r w:rsidR="00293D8E">
        <w:rPr>
          <w:rFonts w:eastAsiaTheme="minorHAnsi"/>
          <w:color w:val="000000"/>
          <w:sz w:val="22"/>
          <w:szCs w:val="22"/>
          <w:lang w:bidi="ar-SA"/>
          <w14:ligatures w14:val="standardContextual"/>
        </w:rPr>
        <w:t>J</w:t>
      </w:r>
      <w:r w:rsidR="00EF310C" w:rsidRPr="00807900">
        <w:rPr>
          <w:rFonts w:eastAsiaTheme="minorHAnsi"/>
          <w:color w:val="000000"/>
          <w:sz w:val="22"/>
          <w:szCs w:val="22"/>
          <w:lang w:bidi="ar-SA"/>
          <w14:ligatures w14:val="standardContextual"/>
        </w:rPr>
        <w:t xml:space="preserve">ustice </w:t>
      </w:r>
      <w:r w:rsidR="00293D8E">
        <w:rPr>
          <w:rFonts w:eastAsiaTheme="minorHAnsi"/>
          <w:color w:val="000000"/>
          <w:sz w:val="22"/>
          <w:szCs w:val="22"/>
          <w:lang w:bidi="ar-SA"/>
          <w14:ligatures w14:val="standardContextual"/>
        </w:rPr>
        <w:t>C</w:t>
      </w:r>
      <w:r w:rsidR="00EF310C" w:rsidRPr="00807900">
        <w:rPr>
          <w:rFonts w:eastAsiaTheme="minorHAnsi"/>
          <w:color w:val="000000"/>
          <w:sz w:val="22"/>
          <w:szCs w:val="22"/>
          <w:lang w:bidi="ar-SA"/>
          <w14:ligatures w14:val="standardContextual"/>
        </w:rPr>
        <w:t>ommunities in the City</w:t>
      </w:r>
      <w:r w:rsidR="00CA2A66" w:rsidRPr="00807900">
        <w:rPr>
          <w:rFonts w:eastAsiaTheme="minorHAnsi"/>
          <w:color w:val="000000"/>
          <w:sz w:val="22"/>
          <w:szCs w:val="22"/>
          <w:lang w:bidi="ar-SA"/>
          <w14:ligatures w14:val="standardContextual"/>
        </w:rPr>
        <w:t xml:space="preserve"> of Miami</w:t>
      </w:r>
      <w:r w:rsidR="006A43B6" w:rsidRPr="0080658B">
        <w:rPr>
          <w:sz w:val="22"/>
          <w:szCs w:val="22"/>
        </w:rPr>
        <w:t xml:space="preserve">. </w:t>
      </w:r>
      <w:r w:rsidR="002960C2">
        <w:rPr>
          <w:color w:val="000000" w:themeColor="text1"/>
          <w:sz w:val="22"/>
          <w:szCs w:val="22"/>
        </w:rPr>
        <w:t xml:space="preserve">In mitigating climate impacts and increasing resilience to climate change, our proposed measures focus on reducing reliance on fossil fuels and lowering energy consumption. Installing solar panels and solar hot </w:t>
      </w:r>
      <w:r w:rsidR="00B4311B">
        <w:rPr>
          <w:color w:val="000000" w:themeColor="text1"/>
          <w:sz w:val="22"/>
          <w:szCs w:val="22"/>
        </w:rPr>
        <w:t xml:space="preserve">water systems decreases </w:t>
      </w:r>
      <w:r w:rsidR="00BD377E">
        <w:rPr>
          <w:color w:val="000000" w:themeColor="text1"/>
          <w:sz w:val="22"/>
          <w:szCs w:val="22"/>
        </w:rPr>
        <w:t>GHG</w:t>
      </w:r>
      <w:r w:rsidR="002A2592">
        <w:rPr>
          <w:color w:val="000000" w:themeColor="text1"/>
          <w:sz w:val="22"/>
          <w:szCs w:val="22"/>
        </w:rPr>
        <w:t xml:space="preserve"> </w:t>
      </w:r>
      <w:r w:rsidR="00B4311B">
        <w:rPr>
          <w:color w:val="000000" w:themeColor="text1"/>
          <w:sz w:val="22"/>
          <w:szCs w:val="22"/>
        </w:rPr>
        <w:t xml:space="preserve">emissions, combatting climate change and reducing the risk of extreme weather. </w:t>
      </w:r>
      <w:r w:rsidR="009C2A39">
        <w:rPr>
          <w:color w:val="000000" w:themeColor="text1"/>
          <w:sz w:val="22"/>
          <w:szCs w:val="22"/>
        </w:rPr>
        <w:t>Additionally,</w:t>
      </w:r>
      <w:r w:rsidR="00B5211C">
        <w:rPr>
          <w:color w:val="000000" w:themeColor="text1"/>
          <w:sz w:val="22"/>
          <w:szCs w:val="22"/>
        </w:rPr>
        <w:t xml:space="preserve"> </w:t>
      </w:r>
      <w:r w:rsidR="00F361BA">
        <w:rPr>
          <w:color w:val="000000" w:themeColor="text1"/>
          <w:sz w:val="22"/>
          <w:szCs w:val="22"/>
        </w:rPr>
        <w:t xml:space="preserve">energy-efficient measures such as insulation, sealing leaks, and upgrading </w:t>
      </w:r>
      <w:r w:rsidR="007016B3">
        <w:rPr>
          <w:color w:val="000000" w:themeColor="text1"/>
          <w:sz w:val="22"/>
          <w:szCs w:val="22"/>
        </w:rPr>
        <w:t>heating</w:t>
      </w:r>
      <w:r w:rsidR="00657130">
        <w:rPr>
          <w:color w:val="000000" w:themeColor="text1"/>
          <w:sz w:val="22"/>
          <w:szCs w:val="22"/>
        </w:rPr>
        <w:t xml:space="preserve"> and cooling systems not only </w:t>
      </w:r>
      <w:r w:rsidR="00B95961">
        <w:rPr>
          <w:color w:val="000000" w:themeColor="text1"/>
          <w:sz w:val="22"/>
          <w:szCs w:val="22"/>
        </w:rPr>
        <w:t>reduce</w:t>
      </w:r>
      <w:r w:rsidR="00657130">
        <w:rPr>
          <w:color w:val="000000" w:themeColor="text1"/>
          <w:sz w:val="22"/>
          <w:szCs w:val="22"/>
        </w:rPr>
        <w:t xml:space="preserve"> energy consumption but also </w:t>
      </w:r>
      <w:r w:rsidR="009F4D88">
        <w:rPr>
          <w:color w:val="000000" w:themeColor="text1"/>
          <w:sz w:val="22"/>
          <w:szCs w:val="22"/>
        </w:rPr>
        <w:t>mitigate</w:t>
      </w:r>
      <w:r w:rsidR="00657130">
        <w:rPr>
          <w:color w:val="000000" w:themeColor="text1"/>
          <w:sz w:val="22"/>
          <w:szCs w:val="22"/>
        </w:rPr>
        <w:t xml:space="preserve"> climate impacts like extreme weather events</w:t>
      </w:r>
      <w:r w:rsidR="00BB4365">
        <w:rPr>
          <w:color w:val="000000" w:themeColor="text1"/>
          <w:sz w:val="22"/>
          <w:szCs w:val="22"/>
        </w:rPr>
        <w:t xml:space="preserve">. Improving building </w:t>
      </w:r>
      <w:r w:rsidR="001029D3">
        <w:rPr>
          <w:color w:val="000000" w:themeColor="text1"/>
          <w:sz w:val="22"/>
          <w:szCs w:val="22"/>
        </w:rPr>
        <w:t>efficiency</w:t>
      </w:r>
      <w:r w:rsidR="00BB4365">
        <w:rPr>
          <w:color w:val="000000" w:themeColor="text1"/>
          <w:sz w:val="22"/>
          <w:szCs w:val="22"/>
        </w:rPr>
        <w:t xml:space="preserve"> further reduces energy demand, lo</w:t>
      </w:r>
      <w:r w:rsidR="004069D2">
        <w:rPr>
          <w:color w:val="000000" w:themeColor="text1"/>
          <w:sz w:val="22"/>
          <w:szCs w:val="22"/>
        </w:rPr>
        <w:t>wering heat island effect</w:t>
      </w:r>
      <w:r w:rsidR="00572509">
        <w:rPr>
          <w:color w:val="000000" w:themeColor="text1"/>
          <w:sz w:val="22"/>
          <w:szCs w:val="22"/>
        </w:rPr>
        <w:t xml:space="preserve"> in urban </w:t>
      </w:r>
      <w:r w:rsidR="001029D3">
        <w:rPr>
          <w:color w:val="000000" w:themeColor="text1"/>
          <w:sz w:val="22"/>
          <w:szCs w:val="22"/>
        </w:rPr>
        <w:t xml:space="preserve">areas and decreasing health risks associated with extreme heat. </w:t>
      </w:r>
      <w:r w:rsidR="001F741A" w:rsidRPr="001F741A">
        <w:rPr>
          <w:color w:val="000000" w:themeColor="text1"/>
          <w:sz w:val="22"/>
          <w:szCs w:val="22"/>
        </w:rPr>
        <w:t>The Miami metro area ranks third worst among the 44 largest U.S. cities in terms of the urban heat island effect</w:t>
      </w:r>
      <w:r w:rsidR="001F741A">
        <w:rPr>
          <w:color w:val="000000" w:themeColor="text1"/>
          <w:sz w:val="22"/>
          <w:szCs w:val="22"/>
        </w:rPr>
        <w:t>.</w:t>
      </w:r>
      <w:r w:rsidR="001029D3">
        <w:rPr>
          <w:color w:val="000000" w:themeColor="text1"/>
          <w:sz w:val="22"/>
          <w:szCs w:val="22"/>
        </w:rPr>
        <w:t xml:space="preserve"> </w:t>
      </w:r>
      <w:r w:rsidR="008A35B7">
        <w:rPr>
          <w:color w:val="000000" w:themeColor="text1"/>
          <w:sz w:val="22"/>
          <w:szCs w:val="22"/>
        </w:rPr>
        <w:t>E</w:t>
      </w:r>
      <w:r w:rsidR="00BC08BF" w:rsidRPr="00BC08BF">
        <w:rPr>
          <w:color w:val="000000" w:themeColor="text1"/>
          <w:sz w:val="22"/>
          <w:szCs w:val="22"/>
        </w:rPr>
        <w:t>mploying renewable energy sources like solar panels provides decentralized energy generation</w:t>
      </w:r>
      <w:r w:rsidR="00807900">
        <w:rPr>
          <w:color w:val="000000" w:themeColor="text1"/>
          <w:sz w:val="22"/>
          <w:szCs w:val="22"/>
        </w:rPr>
        <w:t xml:space="preserve"> will enhance </w:t>
      </w:r>
      <w:r w:rsidR="00BC08BF" w:rsidRPr="00BC08BF">
        <w:rPr>
          <w:color w:val="000000" w:themeColor="text1"/>
          <w:sz w:val="22"/>
          <w:szCs w:val="22"/>
        </w:rPr>
        <w:t xml:space="preserve">resilience to power outages during extreme weather events and </w:t>
      </w:r>
      <w:r w:rsidR="00974C14" w:rsidRPr="00BC08BF">
        <w:rPr>
          <w:color w:val="000000" w:themeColor="text1"/>
          <w:sz w:val="22"/>
          <w:szCs w:val="22"/>
        </w:rPr>
        <w:t>reduce</w:t>
      </w:r>
      <w:r w:rsidR="00BC08BF" w:rsidRPr="00BC08BF">
        <w:rPr>
          <w:color w:val="000000" w:themeColor="text1"/>
          <w:sz w:val="22"/>
          <w:szCs w:val="22"/>
        </w:rPr>
        <w:t xml:space="preserve"> reliance on centralized energy systems vulnerable to disruption.</w:t>
      </w:r>
      <w:r w:rsidR="006E1A05">
        <w:rPr>
          <w:color w:val="000000" w:themeColor="text1"/>
          <w:sz w:val="22"/>
          <w:szCs w:val="22"/>
        </w:rPr>
        <w:t xml:space="preserve"> </w:t>
      </w:r>
    </w:p>
    <w:p w14:paraId="1C94D368" w14:textId="77777777" w:rsidR="00B4043C" w:rsidRDefault="00B4043C" w:rsidP="00740D50">
      <w:pPr>
        <w:pStyle w:val="BodyText"/>
        <w:ind w:right="-40"/>
        <w:rPr>
          <w:color w:val="000000" w:themeColor="text1"/>
          <w:sz w:val="22"/>
          <w:szCs w:val="22"/>
        </w:rPr>
      </w:pPr>
    </w:p>
    <w:p w14:paraId="1C1A625A" w14:textId="1D4F06EE" w:rsidR="0022476A" w:rsidRDefault="00894223" w:rsidP="00C21195">
      <w:pPr>
        <w:pStyle w:val="BodyText"/>
        <w:ind w:right="-130"/>
        <w:rPr>
          <w:sz w:val="22"/>
          <w:szCs w:val="22"/>
        </w:rPr>
      </w:pPr>
      <w:r>
        <w:rPr>
          <w:color w:val="000000" w:themeColor="text1"/>
          <w:sz w:val="22"/>
          <w:szCs w:val="22"/>
        </w:rPr>
        <w:t xml:space="preserve">The disproportionate energy burden </w:t>
      </w:r>
      <w:r w:rsidR="0014021E" w:rsidRPr="0014021E">
        <w:rPr>
          <w:color w:val="000000" w:themeColor="text1"/>
          <w:sz w:val="22"/>
          <w:szCs w:val="22"/>
        </w:rPr>
        <w:t xml:space="preserve">faced by </w:t>
      </w:r>
      <w:r w:rsidR="001671B0" w:rsidRPr="0027067B">
        <w:rPr>
          <w:color w:val="000000" w:themeColor="text1"/>
          <w:sz w:val="22"/>
          <w:szCs w:val="22"/>
        </w:rPr>
        <w:t xml:space="preserve">low- and moderate-income households </w:t>
      </w:r>
      <w:r w:rsidR="0014021E" w:rsidRPr="0014021E">
        <w:rPr>
          <w:color w:val="000000" w:themeColor="text1"/>
          <w:sz w:val="22"/>
          <w:szCs w:val="22"/>
        </w:rPr>
        <w:t>in the Miami metropolitan area underscores the urgency of our energy efficiency and renewable energy measures.</w:t>
      </w:r>
      <w:r w:rsidR="0014021E">
        <w:rPr>
          <w:color w:val="000000" w:themeColor="text1"/>
          <w:sz w:val="22"/>
          <w:szCs w:val="22"/>
        </w:rPr>
        <w:t xml:space="preserve"> W</w:t>
      </w:r>
      <w:r w:rsidR="001671B0" w:rsidRPr="0027067B">
        <w:rPr>
          <w:color w:val="000000" w:themeColor="text1"/>
          <w:sz w:val="22"/>
          <w:szCs w:val="22"/>
        </w:rPr>
        <w:t xml:space="preserve">ith one in four low-income households facing an energy burden above 11%, </w:t>
      </w:r>
      <w:r w:rsidR="0014021E">
        <w:rPr>
          <w:color w:val="000000" w:themeColor="text1"/>
          <w:sz w:val="22"/>
          <w:szCs w:val="22"/>
        </w:rPr>
        <w:t>significantly</w:t>
      </w:r>
      <w:r w:rsidR="001671B0" w:rsidRPr="0027067B">
        <w:rPr>
          <w:color w:val="000000" w:themeColor="text1"/>
          <w:sz w:val="22"/>
          <w:szCs w:val="22"/>
        </w:rPr>
        <w:t xml:space="preserve"> higher than the national average</w:t>
      </w:r>
      <w:r w:rsidR="00697FA4" w:rsidRPr="0027067B">
        <w:rPr>
          <w:color w:val="000000" w:themeColor="text1"/>
          <w:sz w:val="22"/>
          <w:szCs w:val="22"/>
        </w:rPr>
        <w:t xml:space="preserve">, </w:t>
      </w:r>
      <w:r w:rsidR="00DF1599">
        <w:rPr>
          <w:color w:val="000000" w:themeColor="text1"/>
          <w:sz w:val="22"/>
          <w:szCs w:val="22"/>
        </w:rPr>
        <w:t>and</w:t>
      </w:r>
      <w:r w:rsidR="0059272C" w:rsidRPr="0027067B">
        <w:rPr>
          <w:color w:val="000000" w:themeColor="text1"/>
          <w:sz w:val="22"/>
          <w:szCs w:val="22"/>
        </w:rPr>
        <w:t xml:space="preserve"> 23% of all households experienc</w:t>
      </w:r>
      <w:r w:rsidR="00DF1599">
        <w:rPr>
          <w:color w:val="000000" w:themeColor="text1"/>
          <w:sz w:val="22"/>
          <w:szCs w:val="22"/>
        </w:rPr>
        <w:t>ing</w:t>
      </w:r>
      <w:r w:rsidR="0059272C" w:rsidRPr="0027067B">
        <w:rPr>
          <w:color w:val="000000" w:themeColor="text1"/>
          <w:sz w:val="22"/>
          <w:szCs w:val="22"/>
        </w:rPr>
        <w:t xml:space="preserve"> high energy burdens</w:t>
      </w:r>
      <w:r w:rsidR="001671B0" w:rsidRPr="0027067B">
        <w:rPr>
          <w:color w:val="000000" w:themeColor="text1"/>
          <w:sz w:val="22"/>
          <w:szCs w:val="22"/>
        </w:rPr>
        <w:t>.</w:t>
      </w:r>
      <w:r w:rsidR="00790971" w:rsidRPr="0027067B">
        <w:rPr>
          <w:rStyle w:val="EndnoteReference"/>
          <w:color w:val="000000" w:themeColor="text1"/>
          <w:sz w:val="22"/>
          <w:szCs w:val="22"/>
        </w:rPr>
        <w:endnoteReference w:id="2"/>
      </w:r>
      <w:r w:rsidR="00790971" w:rsidRPr="0027067B">
        <w:rPr>
          <w:color w:val="000000" w:themeColor="text1"/>
          <w:sz w:val="22"/>
          <w:szCs w:val="22"/>
        </w:rPr>
        <w:t xml:space="preserve"> </w:t>
      </w:r>
      <w:r w:rsidR="008977F4" w:rsidRPr="0027067B">
        <w:rPr>
          <w:color w:val="000000" w:themeColor="text1"/>
          <w:sz w:val="22"/>
          <w:szCs w:val="22"/>
        </w:rPr>
        <w:t>Black and Hispanic households are disproportionately affected, with 29% and 24% respectively facing high energy burdens, exacerbating broader socio-economic challenges in the community.</w:t>
      </w:r>
      <w:r w:rsidR="008977F4" w:rsidRPr="0027067B">
        <w:rPr>
          <w:rStyle w:val="EndnoteReference"/>
          <w:color w:val="000000" w:themeColor="text1"/>
          <w:sz w:val="22"/>
          <w:szCs w:val="22"/>
        </w:rPr>
        <w:endnoteReference w:id="3"/>
      </w:r>
      <w:r w:rsidR="008977F4" w:rsidRPr="0027067B">
        <w:rPr>
          <w:color w:val="000000" w:themeColor="text1"/>
          <w:sz w:val="22"/>
          <w:szCs w:val="22"/>
        </w:rPr>
        <w:t xml:space="preserve"> </w:t>
      </w:r>
      <w:r w:rsidR="001671B0" w:rsidRPr="0027067B">
        <w:rPr>
          <w:color w:val="000000" w:themeColor="text1"/>
          <w:sz w:val="22"/>
          <w:szCs w:val="22"/>
        </w:rPr>
        <w:t xml:space="preserve">Many of these households reside in older, less efficient buildings, leading to disproportionately higher energy bills and lower comfort levels. </w:t>
      </w:r>
      <w:r w:rsidR="00E3069F">
        <w:rPr>
          <w:color w:val="000000" w:themeColor="text1"/>
          <w:sz w:val="22"/>
          <w:szCs w:val="22"/>
        </w:rPr>
        <w:t>T</w:t>
      </w:r>
      <w:r w:rsidR="001671B0" w:rsidRPr="0027067B">
        <w:rPr>
          <w:color w:val="000000" w:themeColor="text1"/>
          <w:sz w:val="22"/>
          <w:szCs w:val="22"/>
        </w:rPr>
        <w:t>he U.S. Department of Energy has shown that energy efficiency measures can reduce energy bills by up to 29% for low-income families in Florida.</w:t>
      </w:r>
      <w:r w:rsidR="00697FA4" w:rsidRPr="0027067B">
        <w:rPr>
          <w:rStyle w:val="EndnoteReference"/>
          <w:color w:val="000000" w:themeColor="text1"/>
          <w:sz w:val="22"/>
          <w:szCs w:val="22"/>
        </w:rPr>
        <w:endnoteReference w:id="4"/>
      </w:r>
      <w:r w:rsidR="00C21195">
        <w:rPr>
          <w:color w:val="000000" w:themeColor="text1"/>
          <w:sz w:val="22"/>
          <w:szCs w:val="22"/>
        </w:rPr>
        <w:t xml:space="preserve"> </w:t>
      </w:r>
      <w:r w:rsidR="008977F4" w:rsidRPr="00AA1208">
        <w:rPr>
          <w:color w:val="000000" w:themeColor="text1"/>
          <w:sz w:val="22"/>
          <w:szCs w:val="22"/>
        </w:rPr>
        <w:t xml:space="preserve">Addressing </w:t>
      </w:r>
      <w:r w:rsidR="00AD764B">
        <w:rPr>
          <w:sz w:val="22"/>
          <w:szCs w:val="22"/>
        </w:rPr>
        <w:t>the</w:t>
      </w:r>
      <w:r w:rsidR="008977F4" w:rsidRPr="008C33BC">
        <w:rPr>
          <w:sz w:val="22"/>
          <w:szCs w:val="22"/>
        </w:rPr>
        <w:t xml:space="preserve"> 'energy burden' is </w:t>
      </w:r>
      <w:r w:rsidR="00AD764B">
        <w:rPr>
          <w:sz w:val="22"/>
          <w:szCs w:val="22"/>
        </w:rPr>
        <w:t>crucial</w:t>
      </w:r>
      <w:r w:rsidR="00EB42FA">
        <w:rPr>
          <w:sz w:val="22"/>
          <w:szCs w:val="22"/>
        </w:rPr>
        <w:t xml:space="preserve"> as it n</w:t>
      </w:r>
      <w:r w:rsidR="00CE5A4F">
        <w:rPr>
          <w:sz w:val="22"/>
          <w:szCs w:val="22"/>
        </w:rPr>
        <w:t xml:space="preserve">ot only </w:t>
      </w:r>
      <w:r w:rsidR="002529C1">
        <w:rPr>
          <w:sz w:val="22"/>
          <w:szCs w:val="22"/>
        </w:rPr>
        <w:t>affects</w:t>
      </w:r>
      <w:r w:rsidR="00CE5A4F">
        <w:rPr>
          <w:sz w:val="22"/>
          <w:szCs w:val="22"/>
        </w:rPr>
        <w:t xml:space="preserve"> household finances, but also exacerbates health disparities</w:t>
      </w:r>
      <w:r w:rsidR="00EB42FA">
        <w:rPr>
          <w:sz w:val="22"/>
          <w:szCs w:val="22"/>
        </w:rPr>
        <w:t>, forcing</w:t>
      </w:r>
      <w:r w:rsidR="00CE5A4F">
        <w:rPr>
          <w:sz w:val="22"/>
          <w:szCs w:val="22"/>
        </w:rPr>
        <w:t xml:space="preserve"> difficult tradeoffs between essential expenses like medications, childcare, and food. </w:t>
      </w:r>
      <w:r w:rsidR="00D555A1" w:rsidRPr="00D555A1">
        <w:rPr>
          <w:sz w:val="22"/>
          <w:szCs w:val="22"/>
        </w:rPr>
        <w:t>Higher energy burdens often correlate with higher incidences of asthma and other conditions, with 51% of households earning less than $25,000 reporting cutbacks on basic necessities to pay energy bills in the first quarter of 2022</w:t>
      </w:r>
      <w:r w:rsidR="002E1972">
        <w:rPr>
          <w:sz w:val="22"/>
          <w:szCs w:val="22"/>
        </w:rPr>
        <w:t>.</w:t>
      </w:r>
      <w:r w:rsidR="009A3B7E">
        <w:rPr>
          <w:rStyle w:val="EndnoteReference"/>
          <w:sz w:val="22"/>
          <w:szCs w:val="22"/>
        </w:rPr>
        <w:endnoteReference w:id="5"/>
      </w:r>
      <w:r w:rsidR="00D555A1">
        <w:rPr>
          <w:sz w:val="22"/>
          <w:szCs w:val="22"/>
        </w:rPr>
        <w:t xml:space="preserve"> </w:t>
      </w:r>
      <w:r w:rsidR="008977F4">
        <w:rPr>
          <w:rStyle w:val="EndnoteReference"/>
          <w:sz w:val="22"/>
          <w:szCs w:val="22"/>
        </w:rPr>
        <w:endnoteReference w:id="6"/>
      </w:r>
      <w:r w:rsidR="008977F4" w:rsidRPr="00D570F7">
        <w:rPr>
          <w:sz w:val="22"/>
          <w:szCs w:val="22"/>
        </w:rPr>
        <w:t xml:space="preserve"> </w:t>
      </w:r>
      <w:r w:rsidR="00D555A1">
        <w:rPr>
          <w:sz w:val="22"/>
          <w:szCs w:val="22"/>
        </w:rPr>
        <w:t xml:space="preserve">Implementing </w:t>
      </w:r>
      <w:r w:rsidR="00B633BF" w:rsidRPr="00A96861">
        <w:rPr>
          <w:sz w:val="22"/>
          <w:szCs w:val="22"/>
        </w:rPr>
        <w:t>energy-efficient measures</w:t>
      </w:r>
      <w:r w:rsidR="002E5DE6">
        <w:rPr>
          <w:sz w:val="22"/>
          <w:szCs w:val="22"/>
        </w:rPr>
        <w:t xml:space="preserve"> </w:t>
      </w:r>
      <w:r w:rsidR="00B633BF" w:rsidRPr="00A96861">
        <w:rPr>
          <w:sz w:val="22"/>
          <w:szCs w:val="22"/>
        </w:rPr>
        <w:t>aim</w:t>
      </w:r>
      <w:r w:rsidR="00FD66C4">
        <w:rPr>
          <w:sz w:val="22"/>
          <w:szCs w:val="22"/>
        </w:rPr>
        <w:t>s</w:t>
      </w:r>
      <w:r w:rsidR="00B633BF" w:rsidRPr="00A96861">
        <w:rPr>
          <w:sz w:val="22"/>
          <w:szCs w:val="22"/>
        </w:rPr>
        <w:t xml:space="preserve"> to </w:t>
      </w:r>
      <w:r w:rsidR="00413BA4">
        <w:rPr>
          <w:sz w:val="22"/>
          <w:szCs w:val="22"/>
        </w:rPr>
        <w:t>ease</w:t>
      </w:r>
      <w:r w:rsidR="00B633BF" w:rsidRPr="00A96861">
        <w:rPr>
          <w:sz w:val="22"/>
          <w:szCs w:val="22"/>
        </w:rPr>
        <w:t xml:space="preserve"> </w:t>
      </w:r>
      <w:r w:rsidR="00DC6A00">
        <w:rPr>
          <w:sz w:val="22"/>
          <w:szCs w:val="22"/>
        </w:rPr>
        <w:t>this</w:t>
      </w:r>
      <w:r w:rsidR="00B633BF" w:rsidRPr="00A96861">
        <w:rPr>
          <w:sz w:val="22"/>
          <w:szCs w:val="22"/>
        </w:rPr>
        <w:t xml:space="preserve"> burden </w:t>
      </w:r>
      <w:r w:rsidR="00DC6A00">
        <w:rPr>
          <w:sz w:val="22"/>
          <w:szCs w:val="22"/>
        </w:rPr>
        <w:t>by</w:t>
      </w:r>
      <w:r w:rsidR="002529C1">
        <w:rPr>
          <w:sz w:val="22"/>
          <w:szCs w:val="22"/>
        </w:rPr>
        <w:t xml:space="preserve"> providing</w:t>
      </w:r>
      <w:r w:rsidR="00B633BF" w:rsidRPr="00A96861">
        <w:rPr>
          <w:sz w:val="22"/>
          <w:szCs w:val="22"/>
        </w:rPr>
        <w:t xml:space="preserve"> substantial</w:t>
      </w:r>
      <w:r w:rsidR="00776D3D">
        <w:rPr>
          <w:sz w:val="22"/>
          <w:szCs w:val="22"/>
        </w:rPr>
        <w:t xml:space="preserve"> cost savings that can be allocated to </w:t>
      </w:r>
      <w:r w:rsidR="00A627D6">
        <w:rPr>
          <w:sz w:val="22"/>
          <w:szCs w:val="22"/>
        </w:rPr>
        <w:t>other</w:t>
      </w:r>
      <w:r w:rsidR="00776D3D">
        <w:rPr>
          <w:sz w:val="22"/>
          <w:szCs w:val="22"/>
        </w:rPr>
        <w:t xml:space="preserve"> essential, life-saving, </w:t>
      </w:r>
      <w:r w:rsidR="004851D8">
        <w:rPr>
          <w:sz w:val="22"/>
          <w:szCs w:val="22"/>
        </w:rPr>
        <w:t>needs such as</w:t>
      </w:r>
      <w:r w:rsidR="00B633BF" w:rsidRPr="00A96861">
        <w:rPr>
          <w:sz w:val="22"/>
          <w:szCs w:val="22"/>
        </w:rPr>
        <w:t xml:space="preserve"> healthcare, education, and food security. </w:t>
      </w:r>
      <w:r w:rsidR="00E5799B">
        <w:rPr>
          <w:sz w:val="22"/>
          <w:szCs w:val="22"/>
        </w:rPr>
        <w:t>E</w:t>
      </w:r>
      <w:r w:rsidR="00887DE1">
        <w:rPr>
          <w:sz w:val="22"/>
          <w:szCs w:val="22"/>
        </w:rPr>
        <w:t>nhancing</w:t>
      </w:r>
      <w:r w:rsidR="00B633BF" w:rsidRPr="00A96861">
        <w:rPr>
          <w:sz w:val="22"/>
          <w:szCs w:val="22"/>
        </w:rPr>
        <w:t xml:space="preserve"> indoor air quality through energy efficiency upgrades fosters healthier living environments, particularly crucial for vulnerable populations susceptible to respiratory ailments exacerbated by poor air quality</w:t>
      </w:r>
      <w:r w:rsidR="00ED7B8F">
        <w:rPr>
          <w:sz w:val="22"/>
          <w:szCs w:val="22"/>
        </w:rPr>
        <w:t>.</w:t>
      </w:r>
    </w:p>
    <w:p w14:paraId="4568E005" w14:textId="77777777" w:rsidR="00DA4C74" w:rsidRDefault="00DA4C74" w:rsidP="00740D50">
      <w:pPr>
        <w:pStyle w:val="BodyText"/>
        <w:ind w:right="-40"/>
        <w:rPr>
          <w:color w:val="000000" w:themeColor="text1"/>
          <w:sz w:val="22"/>
          <w:szCs w:val="22"/>
        </w:rPr>
      </w:pPr>
    </w:p>
    <w:p w14:paraId="3FEDC3BD" w14:textId="77C9621D" w:rsidR="00680FD6" w:rsidRDefault="00680FD6" w:rsidP="00740D50">
      <w:pPr>
        <w:pStyle w:val="BodyText"/>
        <w:ind w:right="-40"/>
        <w:rPr>
          <w:color w:val="000000" w:themeColor="text1"/>
          <w:sz w:val="22"/>
          <w:szCs w:val="22"/>
        </w:rPr>
      </w:pPr>
      <w:r w:rsidRPr="00284331">
        <w:rPr>
          <w:color w:val="000000" w:themeColor="text1"/>
          <w:sz w:val="22"/>
          <w:szCs w:val="22"/>
        </w:rPr>
        <w:t xml:space="preserve">Energy-efficient buildings </w:t>
      </w:r>
      <w:r w:rsidR="006A2113">
        <w:rPr>
          <w:color w:val="000000" w:themeColor="text1"/>
          <w:sz w:val="22"/>
          <w:szCs w:val="22"/>
        </w:rPr>
        <w:t xml:space="preserve">reduce emissions </w:t>
      </w:r>
      <w:r w:rsidRPr="00284331">
        <w:rPr>
          <w:color w:val="000000" w:themeColor="text1"/>
          <w:sz w:val="22"/>
          <w:szCs w:val="22"/>
        </w:rPr>
        <w:t>of co-pollutants such as</w:t>
      </w:r>
      <w:r w:rsidRPr="00AC5341">
        <w:rPr>
          <w:color w:val="000000" w:themeColor="text1"/>
          <w:sz w:val="22"/>
          <w:szCs w:val="22"/>
        </w:rPr>
        <w:t xml:space="preserve"> NOx, ozone, and PM2.5, resulting in improved air quality and reduced respiratory illnesses. Transitioning to renewable energy sources </w:t>
      </w:r>
      <w:r w:rsidR="006A2113">
        <w:rPr>
          <w:color w:val="000000" w:themeColor="text1"/>
          <w:sz w:val="22"/>
          <w:szCs w:val="22"/>
        </w:rPr>
        <w:t>further</w:t>
      </w:r>
      <w:r w:rsidR="00322F0E">
        <w:rPr>
          <w:color w:val="000000" w:themeColor="text1"/>
          <w:sz w:val="22"/>
          <w:szCs w:val="22"/>
        </w:rPr>
        <w:t xml:space="preserve"> lowers</w:t>
      </w:r>
      <w:r w:rsidRPr="00AC5341">
        <w:rPr>
          <w:color w:val="000000" w:themeColor="text1"/>
          <w:sz w:val="22"/>
          <w:szCs w:val="22"/>
        </w:rPr>
        <w:t xml:space="preserve"> harmful pollutants associated with fossil fuel combustion, </w:t>
      </w:r>
      <w:r w:rsidR="00322F0E">
        <w:rPr>
          <w:color w:val="000000" w:themeColor="text1"/>
          <w:sz w:val="22"/>
          <w:szCs w:val="22"/>
        </w:rPr>
        <w:t>decreasing</w:t>
      </w:r>
      <w:r w:rsidRPr="00AC5341">
        <w:rPr>
          <w:color w:val="000000" w:themeColor="text1"/>
          <w:sz w:val="22"/>
          <w:szCs w:val="22"/>
        </w:rPr>
        <w:t xml:space="preserve"> respiratory diseases and hospital admissions related to air pollution. These measures offer tangible benefits for low-income and disadvantaged communities (LIDACs), as demonstrated by their potential for co-pollutant reduction outlined in Table 5.6-2 of the PCAP.</w:t>
      </w:r>
      <w:r w:rsidR="00065C4D">
        <w:rPr>
          <w:color w:val="000000" w:themeColor="text1"/>
          <w:sz w:val="22"/>
          <w:szCs w:val="22"/>
        </w:rPr>
        <w:t xml:space="preserve"> </w:t>
      </w:r>
      <w:r w:rsidR="001E25C5">
        <w:rPr>
          <w:color w:val="000000" w:themeColor="text1"/>
          <w:sz w:val="22"/>
          <w:szCs w:val="22"/>
        </w:rPr>
        <w:t>The City will utilize its existing network of PurpleAir sensors to monitor changes in</w:t>
      </w:r>
      <w:r w:rsidR="00702AD6">
        <w:rPr>
          <w:color w:val="000000" w:themeColor="text1"/>
          <w:sz w:val="22"/>
          <w:szCs w:val="22"/>
        </w:rPr>
        <w:t xml:space="preserve"> air quality throughout the </w:t>
      </w:r>
      <w:r w:rsidR="00D05705">
        <w:rPr>
          <w:color w:val="000000" w:themeColor="text1"/>
          <w:sz w:val="22"/>
          <w:szCs w:val="22"/>
        </w:rPr>
        <w:t>project period.</w:t>
      </w:r>
      <w:r w:rsidR="001E25C5">
        <w:rPr>
          <w:color w:val="000000" w:themeColor="text1"/>
          <w:sz w:val="22"/>
          <w:szCs w:val="22"/>
        </w:rPr>
        <w:t xml:space="preserve"> </w:t>
      </w:r>
      <w:r w:rsidR="00065C4D">
        <w:rPr>
          <w:color w:val="000000" w:themeColor="text1"/>
          <w:sz w:val="22"/>
          <w:szCs w:val="22"/>
        </w:rPr>
        <w:t xml:space="preserve">In addition, </w:t>
      </w:r>
      <w:r w:rsidR="00E6452A">
        <w:rPr>
          <w:color w:val="000000" w:themeColor="text1"/>
          <w:sz w:val="22"/>
          <w:szCs w:val="22"/>
        </w:rPr>
        <w:t xml:space="preserve">the </w:t>
      </w:r>
      <w:r w:rsidR="002C35B1">
        <w:rPr>
          <w:color w:val="000000" w:themeColor="text1"/>
          <w:sz w:val="22"/>
          <w:szCs w:val="22"/>
        </w:rPr>
        <w:t xml:space="preserve">EPA FLIGHT tool shows that the FPL Turkey Point power plant </w:t>
      </w:r>
      <w:r w:rsidR="00E3415E">
        <w:rPr>
          <w:color w:val="000000" w:themeColor="text1"/>
          <w:sz w:val="22"/>
          <w:szCs w:val="22"/>
        </w:rPr>
        <w:t>does emit CO</w:t>
      </w:r>
      <w:r w:rsidR="00E3415E" w:rsidRPr="00404F8C">
        <w:rPr>
          <w:color w:val="000000" w:themeColor="text1"/>
          <w:sz w:val="22"/>
          <w:szCs w:val="22"/>
          <w:vertAlign w:val="subscript"/>
        </w:rPr>
        <w:t>2</w:t>
      </w:r>
      <w:r w:rsidR="00E3415E">
        <w:rPr>
          <w:color w:val="000000" w:themeColor="text1"/>
          <w:sz w:val="22"/>
          <w:szCs w:val="22"/>
        </w:rPr>
        <w:t>, CH</w:t>
      </w:r>
      <w:r w:rsidR="00E3415E" w:rsidRPr="00404F8C">
        <w:rPr>
          <w:color w:val="000000" w:themeColor="text1"/>
          <w:sz w:val="22"/>
          <w:szCs w:val="22"/>
          <w:vertAlign w:val="subscript"/>
        </w:rPr>
        <w:t>4</w:t>
      </w:r>
      <w:r w:rsidR="00E3415E">
        <w:rPr>
          <w:color w:val="000000" w:themeColor="text1"/>
          <w:sz w:val="22"/>
          <w:szCs w:val="22"/>
        </w:rPr>
        <w:t>, and N</w:t>
      </w:r>
      <w:r w:rsidR="00E3415E" w:rsidRPr="00404F8C">
        <w:rPr>
          <w:color w:val="000000" w:themeColor="text1"/>
          <w:sz w:val="22"/>
          <w:szCs w:val="22"/>
          <w:vertAlign w:val="subscript"/>
        </w:rPr>
        <w:t>2</w:t>
      </w:r>
      <w:r w:rsidR="00E3415E">
        <w:rPr>
          <w:color w:val="000000" w:themeColor="text1"/>
          <w:sz w:val="22"/>
          <w:szCs w:val="22"/>
        </w:rPr>
        <w:t xml:space="preserve">O. While </w:t>
      </w:r>
      <w:r w:rsidR="006709A9">
        <w:rPr>
          <w:color w:val="000000" w:themeColor="text1"/>
          <w:sz w:val="22"/>
          <w:szCs w:val="22"/>
        </w:rPr>
        <w:t xml:space="preserve">this power plant is not in the City of Miami, </w:t>
      </w:r>
      <w:r w:rsidR="002B7CA7">
        <w:rPr>
          <w:color w:val="000000" w:themeColor="text1"/>
          <w:sz w:val="22"/>
          <w:szCs w:val="22"/>
        </w:rPr>
        <w:t xml:space="preserve">reduced energy use and use of </w:t>
      </w:r>
      <w:r w:rsidR="00672BAF">
        <w:rPr>
          <w:color w:val="000000" w:themeColor="text1"/>
          <w:sz w:val="22"/>
          <w:szCs w:val="22"/>
        </w:rPr>
        <w:t>car</w:t>
      </w:r>
      <w:r w:rsidR="000B2394">
        <w:rPr>
          <w:color w:val="000000" w:themeColor="text1"/>
          <w:sz w:val="22"/>
          <w:szCs w:val="22"/>
        </w:rPr>
        <w:t xml:space="preserve">bon-free solar energy </w:t>
      </w:r>
      <w:r w:rsidR="005F0F43">
        <w:rPr>
          <w:color w:val="000000" w:themeColor="text1"/>
          <w:sz w:val="22"/>
          <w:szCs w:val="22"/>
        </w:rPr>
        <w:t>will contribute to reduced emissions</w:t>
      </w:r>
      <w:r w:rsidR="007610FB">
        <w:rPr>
          <w:color w:val="000000" w:themeColor="text1"/>
          <w:sz w:val="22"/>
          <w:szCs w:val="22"/>
        </w:rPr>
        <w:t>.</w:t>
      </w:r>
    </w:p>
    <w:p w14:paraId="65639F2E" w14:textId="77777777" w:rsidR="00B4043C" w:rsidRDefault="00B4043C" w:rsidP="00740D50">
      <w:pPr>
        <w:pStyle w:val="BodyText"/>
        <w:ind w:right="-40"/>
        <w:rPr>
          <w:sz w:val="22"/>
          <w:szCs w:val="22"/>
        </w:rPr>
      </w:pPr>
    </w:p>
    <w:p w14:paraId="2CCB5B41" w14:textId="147EF402" w:rsidR="005301FC" w:rsidRPr="00A96861" w:rsidRDefault="00766140" w:rsidP="00740D50">
      <w:pPr>
        <w:pStyle w:val="BodyText"/>
        <w:ind w:right="-40"/>
        <w:rPr>
          <w:sz w:val="22"/>
          <w:szCs w:val="22"/>
        </w:rPr>
      </w:pPr>
      <w:r w:rsidRPr="00A96861">
        <w:rPr>
          <w:sz w:val="22"/>
          <w:szCs w:val="22"/>
        </w:rPr>
        <w:t xml:space="preserve">The </w:t>
      </w:r>
      <w:r w:rsidRPr="002A2592">
        <w:rPr>
          <w:b/>
          <w:bCs/>
          <w:sz w:val="22"/>
          <w:szCs w:val="22"/>
        </w:rPr>
        <w:t>indirect benefits</w:t>
      </w:r>
      <w:r w:rsidRPr="00A96861">
        <w:rPr>
          <w:sz w:val="22"/>
          <w:szCs w:val="22"/>
        </w:rPr>
        <w:t xml:space="preserve"> extend beyond immediate financial savings that encompass broader improvements in quality of life and community well-being in the City of Miami. Energy-efficient homes not only offer economic relief but also provide increased comfort and safety. Residents of LIDACs will experience enhanced thermal conditions year-round, reducing exposure to extreme temperatures and improving overall living standards.</w:t>
      </w:r>
    </w:p>
    <w:p w14:paraId="1D4B59BD" w14:textId="77777777" w:rsidR="005B4657" w:rsidRDefault="005B4657" w:rsidP="00740D50">
      <w:pPr>
        <w:pStyle w:val="BodyText"/>
        <w:ind w:right="-40"/>
        <w:rPr>
          <w:sz w:val="22"/>
          <w:szCs w:val="22"/>
        </w:rPr>
      </w:pPr>
    </w:p>
    <w:p w14:paraId="73C9FC89" w14:textId="689F4290" w:rsidR="00A96861" w:rsidRPr="00A96861" w:rsidRDefault="009E1367" w:rsidP="00740D50">
      <w:pPr>
        <w:pStyle w:val="BodyText"/>
        <w:ind w:right="-40"/>
        <w:rPr>
          <w:sz w:val="22"/>
          <w:szCs w:val="22"/>
        </w:rPr>
      </w:pPr>
      <w:r w:rsidRPr="00A96861">
        <w:rPr>
          <w:sz w:val="22"/>
          <w:szCs w:val="22"/>
        </w:rPr>
        <w:t xml:space="preserve">However, in the pursuit of reducing </w:t>
      </w:r>
      <w:r w:rsidR="002A2592">
        <w:rPr>
          <w:sz w:val="22"/>
          <w:szCs w:val="22"/>
        </w:rPr>
        <w:t>GHG emissions</w:t>
      </w:r>
      <w:r w:rsidR="00447A74" w:rsidRPr="00A96861">
        <w:rPr>
          <w:sz w:val="22"/>
          <w:szCs w:val="22"/>
        </w:rPr>
        <w:t xml:space="preserve">, </w:t>
      </w:r>
      <w:r w:rsidR="00FA664C" w:rsidRPr="00A96861">
        <w:rPr>
          <w:sz w:val="22"/>
          <w:szCs w:val="22"/>
        </w:rPr>
        <w:t xml:space="preserve">the City of Miami is mindful of potential disbenefits that can impact </w:t>
      </w:r>
      <w:r w:rsidR="003B5EEA" w:rsidRPr="00A96861">
        <w:rPr>
          <w:sz w:val="22"/>
          <w:szCs w:val="22"/>
        </w:rPr>
        <w:t>LIDACs</w:t>
      </w:r>
      <w:r w:rsidR="00277084">
        <w:rPr>
          <w:sz w:val="22"/>
          <w:szCs w:val="22"/>
        </w:rPr>
        <w:t xml:space="preserve">. </w:t>
      </w:r>
      <w:r w:rsidR="00277084" w:rsidRPr="00A96861">
        <w:rPr>
          <w:sz w:val="22"/>
          <w:szCs w:val="22"/>
        </w:rPr>
        <w:t>While our initiatives provide significant benefits, there is recognition of unintended consequences, particularly for low-income and disadvantaged communities in our City.</w:t>
      </w:r>
      <w:r w:rsidR="005829CA" w:rsidRPr="00A96861">
        <w:rPr>
          <w:sz w:val="22"/>
          <w:szCs w:val="22"/>
        </w:rPr>
        <w:t xml:space="preserve"> </w:t>
      </w:r>
      <w:r w:rsidR="005A3608">
        <w:rPr>
          <w:sz w:val="22"/>
          <w:szCs w:val="22"/>
        </w:rPr>
        <w:t>N</w:t>
      </w:r>
      <w:r w:rsidR="005829CA" w:rsidRPr="00A96861">
        <w:rPr>
          <w:sz w:val="22"/>
          <w:szCs w:val="22"/>
        </w:rPr>
        <w:t xml:space="preserve">otably the </w:t>
      </w:r>
      <w:r w:rsidR="005D0DFB">
        <w:rPr>
          <w:sz w:val="22"/>
          <w:szCs w:val="22"/>
        </w:rPr>
        <w:t>lack of knowledge of maintaining newer technologies</w:t>
      </w:r>
      <w:r w:rsidR="005829CA" w:rsidRPr="00A96861">
        <w:rPr>
          <w:sz w:val="22"/>
          <w:szCs w:val="22"/>
        </w:rPr>
        <w:t xml:space="preserve"> faced by low-income households</w:t>
      </w:r>
      <w:r w:rsidR="005A3608">
        <w:rPr>
          <w:sz w:val="22"/>
          <w:szCs w:val="22"/>
        </w:rPr>
        <w:t xml:space="preserve"> </w:t>
      </w:r>
      <w:r w:rsidR="009733BA">
        <w:rPr>
          <w:sz w:val="22"/>
          <w:szCs w:val="22"/>
        </w:rPr>
        <w:t>may</w:t>
      </w:r>
      <w:r w:rsidR="005A3608">
        <w:rPr>
          <w:sz w:val="22"/>
          <w:szCs w:val="22"/>
        </w:rPr>
        <w:t xml:space="preserve"> be a disbenefit that residents will face</w:t>
      </w:r>
      <w:r w:rsidR="005829CA" w:rsidRPr="00A96861">
        <w:rPr>
          <w:sz w:val="22"/>
          <w:szCs w:val="22"/>
        </w:rPr>
        <w:t>.</w:t>
      </w:r>
      <w:r w:rsidR="00143E41" w:rsidRPr="00A96861">
        <w:rPr>
          <w:sz w:val="22"/>
          <w:szCs w:val="22"/>
        </w:rPr>
        <w:t xml:space="preserve"> To tackle this issue, we will </w:t>
      </w:r>
      <w:r w:rsidR="005D0DFB">
        <w:rPr>
          <w:sz w:val="22"/>
          <w:szCs w:val="22"/>
        </w:rPr>
        <w:t xml:space="preserve">provide </w:t>
      </w:r>
      <w:r w:rsidR="00251A52">
        <w:rPr>
          <w:sz w:val="22"/>
          <w:szCs w:val="22"/>
        </w:rPr>
        <w:t>advice on maintenance needs to energy efficient HVACs and heat pumps, how to operate</w:t>
      </w:r>
      <w:r w:rsidR="00EE2F2F">
        <w:rPr>
          <w:sz w:val="22"/>
          <w:szCs w:val="22"/>
        </w:rPr>
        <w:t xml:space="preserve"> solar hot water heaters, and what to expect from solar panel usage.</w:t>
      </w:r>
      <w:r w:rsidR="00143E41" w:rsidRPr="00A96861">
        <w:rPr>
          <w:sz w:val="22"/>
          <w:szCs w:val="22"/>
        </w:rPr>
        <w:t xml:space="preserve"> </w:t>
      </w:r>
    </w:p>
    <w:p w14:paraId="7E065069" w14:textId="30DA6E86" w:rsidR="00DA4C74" w:rsidRDefault="00A96861" w:rsidP="00740D50">
      <w:pPr>
        <w:pStyle w:val="BodyText"/>
        <w:ind w:right="-40"/>
        <w:rPr>
          <w:sz w:val="22"/>
          <w:szCs w:val="22"/>
        </w:rPr>
      </w:pPr>
      <w:r w:rsidRPr="00A96861">
        <w:rPr>
          <w:sz w:val="22"/>
          <w:szCs w:val="22"/>
        </w:rPr>
        <w:t xml:space="preserve">Quantifying the benefits of our initiatives is essential for demonstrating their effectiveness and ensuring accountability. </w:t>
      </w:r>
      <w:r w:rsidR="00C257F8">
        <w:rPr>
          <w:sz w:val="22"/>
          <w:szCs w:val="22"/>
        </w:rPr>
        <w:t xml:space="preserve">Another unintended consequence </w:t>
      </w:r>
      <w:r w:rsidR="005A0658">
        <w:rPr>
          <w:sz w:val="22"/>
          <w:szCs w:val="22"/>
        </w:rPr>
        <w:t xml:space="preserve">of investment </w:t>
      </w:r>
      <w:r w:rsidR="006706EB">
        <w:rPr>
          <w:sz w:val="22"/>
          <w:szCs w:val="22"/>
        </w:rPr>
        <w:t xml:space="preserve">and </w:t>
      </w:r>
      <w:r w:rsidR="00EC0345">
        <w:rPr>
          <w:sz w:val="22"/>
          <w:szCs w:val="22"/>
        </w:rPr>
        <w:t xml:space="preserve">retrofits is increased market attractiveness. The Keep Safe Miami program includes </w:t>
      </w:r>
      <w:r w:rsidR="004A5BE9">
        <w:rPr>
          <w:sz w:val="22"/>
          <w:szCs w:val="22"/>
        </w:rPr>
        <w:t>a property ow</w:t>
      </w:r>
      <w:r w:rsidR="00C15CCD">
        <w:rPr>
          <w:sz w:val="22"/>
          <w:szCs w:val="22"/>
        </w:rPr>
        <w:t xml:space="preserve">ner </w:t>
      </w:r>
      <w:r w:rsidR="00CF5444">
        <w:rPr>
          <w:sz w:val="22"/>
          <w:szCs w:val="22"/>
        </w:rPr>
        <w:t xml:space="preserve">requirement to maintain rents </w:t>
      </w:r>
      <w:r w:rsidR="000B090E">
        <w:rPr>
          <w:sz w:val="22"/>
          <w:szCs w:val="22"/>
        </w:rPr>
        <w:t xml:space="preserve">below market rate </w:t>
      </w:r>
      <w:r w:rsidR="00FB62AC">
        <w:rPr>
          <w:sz w:val="22"/>
          <w:szCs w:val="22"/>
        </w:rPr>
        <w:t xml:space="preserve">to ensure current residents are not displaced by </w:t>
      </w:r>
      <w:r w:rsidR="00727E7C">
        <w:rPr>
          <w:sz w:val="22"/>
          <w:szCs w:val="22"/>
        </w:rPr>
        <w:t>the increased value of the property.</w:t>
      </w:r>
    </w:p>
    <w:p w14:paraId="0385CEF2" w14:textId="77777777" w:rsidR="00DA4C74" w:rsidRDefault="00DA4C74" w:rsidP="00740D50">
      <w:pPr>
        <w:pStyle w:val="BodyText"/>
        <w:ind w:right="-40"/>
        <w:rPr>
          <w:sz w:val="22"/>
          <w:szCs w:val="22"/>
        </w:rPr>
      </w:pPr>
    </w:p>
    <w:p w14:paraId="66A19A85" w14:textId="566C587A" w:rsidR="00A96861" w:rsidRPr="00A96861" w:rsidRDefault="002369E8" w:rsidP="00740D50">
      <w:pPr>
        <w:pStyle w:val="BodyText"/>
        <w:ind w:right="-40"/>
        <w:rPr>
          <w:sz w:val="22"/>
          <w:szCs w:val="22"/>
        </w:rPr>
      </w:pPr>
      <w:r>
        <w:rPr>
          <w:sz w:val="22"/>
          <w:szCs w:val="22"/>
        </w:rPr>
        <w:t>The City</w:t>
      </w:r>
      <w:r w:rsidR="00A96861" w:rsidRPr="00A96861">
        <w:rPr>
          <w:sz w:val="22"/>
          <w:szCs w:val="22"/>
        </w:rPr>
        <w:t xml:space="preserve"> will employ robust methodologies to measure the direct and indirect impacts on LIDACs, including reductions in energy consumption, </w:t>
      </w:r>
      <w:r w:rsidR="00BD377E">
        <w:rPr>
          <w:sz w:val="22"/>
          <w:szCs w:val="22"/>
        </w:rPr>
        <w:t>GHG</w:t>
      </w:r>
      <w:r w:rsidR="00F81FED">
        <w:rPr>
          <w:sz w:val="22"/>
          <w:szCs w:val="22"/>
        </w:rPr>
        <w:t xml:space="preserve"> </w:t>
      </w:r>
      <w:r w:rsidR="00A96861" w:rsidRPr="00A96861">
        <w:rPr>
          <w:sz w:val="22"/>
          <w:szCs w:val="22"/>
        </w:rPr>
        <w:t>emissions, and co-pollutants. Through tools such as the AVoided Emissions and geneRation Tool (AVERT)</w:t>
      </w:r>
      <w:r w:rsidR="00BA125E">
        <w:rPr>
          <w:sz w:val="22"/>
          <w:szCs w:val="22"/>
        </w:rPr>
        <w:t xml:space="preserve"> and calculators from </w:t>
      </w:r>
      <w:r w:rsidR="00C24870">
        <w:rPr>
          <w:sz w:val="22"/>
          <w:szCs w:val="22"/>
        </w:rPr>
        <w:t>ICLEI</w:t>
      </w:r>
      <w:r w:rsidR="00C24870" w:rsidRPr="007C570B">
        <w:rPr>
          <w:sz w:val="22"/>
          <w:szCs w:val="22"/>
        </w:rPr>
        <w:t xml:space="preserve"> </w:t>
      </w:r>
      <w:r w:rsidR="00C24870">
        <w:rPr>
          <w:sz w:val="22"/>
          <w:szCs w:val="22"/>
        </w:rPr>
        <w:t xml:space="preserve">– </w:t>
      </w:r>
      <w:r w:rsidR="007C570B" w:rsidRPr="007C570B">
        <w:rPr>
          <w:sz w:val="22"/>
          <w:szCs w:val="22"/>
        </w:rPr>
        <w:t>Local Governments for Sustainabilit</w:t>
      </w:r>
      <w:r w:rsidR="007C570B">
        <w:rPr>
          <w:sz w:val="22"/>
          <w:szCs w:val="22"/>
        </w:rPr>
        <w:t>y</w:t>
      </w:r>
      <w:r w:rsidR="00A96861" w:rsidRPr="00A96861">
        <w:rPr>
          <w:sz w:val="22"/>
          <w:szCs w:val="22"/>
        </w:rPr>
        <w:t xml:space="preserve">, we will estimate the annual co-pollutant reduction in </w:t>
      </w:r>
      <w:r w:rsidR="00A301E0">
        <w:rPr>
          <w:sz w:val="22"/>
          <w:szCs w:val="22"/>
        </w:rPr>
        <w:t>the city of</w:t>
      </w:r>
      <w:r w:rsidR="00A96861" w:rsidRPr="00A96861">
        <w:rPr>
          <w:sz w:val="22"/>
          <w:szCs w:val="22"/>
        </w:rPr>
        <w:t xml:space="preserve"> Miami </w:t>
      </w:r>
      <w:r w:rsidR="00A301E0">
        <w:rPr>
          <w:sz w:val="22"/>
          <w:szCs w:val="22"/>
        </w:rPr>
        <w:t xml:space="preserve">for our </w:t>
      </w:r>
      <w:r w:rsidR="00A301E0" w:rsidRPr="00A301E0">
        <w:rPr>
          <w:sz w:val="22"/>
          <w:szCs w:val="22"/>
        </w:rPr>
        <w:t>climate justice communities</w:t>
      </w:r>
      <w:r w:rsidR="00A96861" w:rsidRPr="00A96861">
        <w:rPr>
          <w:sz w:val="22"/>
          <w:szCs w:val="22"/>
        </w:rPr>
        <w:t xml:space="preserve"> and assess the corresponding benefits for LIDACs. Additionally, ongoing data collection, analysis, and evaluation will be conducted throughout the grant period to track progress, identify areas for improvement, and adjust strategies as needed.</w:t>
      </w:r>
    </w:p>
    <w:p w14:paraId="3471A334" w14:textId="77777777" w:rsidR="00F55DDD" w:rsidRPr="00F55DDD" w:rsidRDefault="00F55DDD" w:rsidP="00356418">
      <w:pPr>
        <w:pStyle w:val="Heading3"/>
        <w:numPr>
          <w:ilvl w:val="0"/>
          <w:numId w:val="9"/>
        </w:numPr>
      </w:pPr>
      <w:r w:rsidRPr="00C87DFD">
        <w:t>Community Engagement</w:t>
      </w:r>
      <w:r w:rsidRPr="00F55DDD">
        <w:t xml:space="preserve"> (10 possible</w:t>
      </w:r>
      <w:r w:rsidRPr="00F55DDD">
        <w:rPr>
          <w:spacing w:val="-4"/>
        </w:rPr>
        <w:t xml:space="preserve"> </w:t>
      </w:r>
      <w:r w:rsidRPr="00F55DDD">
        <w:t>points)</w:t>
      </w:r>
    </w:p>
    <w:p w14:paraId="5C670CE6" w14:textId="730D075B" w:rsidR="00372FDF" w:rsidRDefault="00582FB9" w:rsidP="00740D50">
      <w:pPr>
        <w:pStyle w:val="BodyText"/>
        <w:ind w:right="-40"/>
        <w:rPr>
          <w:sz w:val="22"/>
          <w:szCs w:val="22"/>
        </w:rPr>
      </w:pPr>
      <w:r w:rsidRPr="00AE6313">
        <w:rPr>
          <w:sz w:val="22"/>
          <w:szCs w:val="22"/>
        </w:rPr>
        <w:t>C</w:t>
      </w:r>
      <w:r w:rsidR="0023045C" w:rsidRPr="00AE6313">
        <w:rPr>
          <w:sz w:val="22"/>
          <w:szCs w:val="22"/>
        </w:rPr>
        <w:t>ommunity engagement and participatory planning processes will be integral to decision-making, ensuring that the needs and voices of LIDAC</w:t>
      </w:r>
      <w:r w:rsidR="00510FE2">
        <w:rPr>
          <w:sz w:val="22"/>
          <w:szCs w:val="22"/>
        </w:rPr>
        <w:t xml:space="preserve"> resident</w:t>
      </w:r>
      <w:r w:rsidR="0023045C" w:rsidRPr="00AE6313">
        <w:rPr>
          <w:sz w:val="22"/>
          <w:szCs w:val="22"/>
        </w:rPr>
        <w:t xml:space="preserve">s are heard and prioritized throughout the implementation process. </w:t>
      </w:r>
      <w:r w:rsidR="001A6730" w:rsidRPr="00AE6313">
        <w:rPr>
          <w:sz w:val="22"/>
          <w:szCs w:val="22"/>
        </w:rPr>
        <w:t xml:space="preserve">A key measure of the success of the </w:t>
      </w:r>
      <w:r w:rsidR="001310E0">
        <w:rPr>
          <w:sz w:val="22"/>
          <w:szCs w:val="22"/>
        </w:rPr>
        <w:t>CPRG</w:t>
      </w:r>
      <w:r w:rsidR="001A6730" w:rsidRPr="00AE6313">
        <w:rPr>
          <w:sz w:val="22"/>
          <w:szCs w:val="22"/>
        </w:rPr>
        <w:t xml:space="preserve"> planning phase </w:t>
      </w:r>
      <w:r w:rsidR="0061387A">
        <w:rPr>
          <w:sz w:val="22"/>
          <w:szCs w:val="22"/>
        </w:rPr>
        <w:t xml:space="preserve">for the South Florida </w:t>
      </w:r>
      <w:r w:rsidR="00607CB0">
        <w:rPr>
          <w:sz w:val="22"/>
          <w:szCs w:val="22"/>
        </w:rPr>
        <w:t>PCAP</w:t>
      </w:r>
      <w:r w:rsidR="0061387A">
        <w:rPr>
          <w:sz w:val="22"/>
          <w:szCs w:val="22"/>
        </w:rPr>
        <w:t xml:space="preserve"> </w:t>
      </w:r>
      <w:r w:rsidR="001A6730" w:rsidRPr="00AE6313">
        <w:rPr>
          <w:sz w:val="22"/>
          <w:szCs w:val="22"/>
        </w:rPr>
        <w:t xml:space="preserve">was to incorporate input from affected stakeholders, particularly LIDACs and the </w:t>
      </w:r>
      <w:r w:rsidR="00AE6313" w:rsidRPr="00AE6313">
        <w:rPr>
          <w:sz w:val="22"/>
          <w:szCs w:val="22"/>
        </w:rPr>
        <w:t>public</w:t>
      </w:r>
      <w:r w:rsidR="001A6730" w:rsidRPr="00AE6313">
        <w:rPr>
          <w:sz w:val="22"/>
          <w:szCs w:val="22"/>
        </w:rPr>
        <w:t xml:space="preserve"> across four counties – Palm Beach</w:t>
      </w:r>
      <w:r w:rsidR="008F7492">
        <w:rPr>
          <w:sz w:val="22"/>
          <w:szCs w:val="22"/>
        </w:rPr>
        <w:t xml:space="preserve"> County</w:t>
      </w:r>
      <w:r w:rsidR="001A6730" w:rsidRPr="00AE6313">
        <w:rPr>
          <w:sz w:val="22"/>
          <w:szCs w:val="22"/>
        </w:rPr>
        <w:t>, Broward</w:t>
      </w:r>
      <w:r w:rsidR="008F7492">
        <w:rPr>
          <w:sz w:val="22"/>
          <w:szCs w:val="22"/>
        </w:rPr>
        <w:t xml:space="preserve"> County</w:t>
      </w:r>
      <w:r w:rsidR="001A6730" w:rsidRPr="00AE6313">
        <w:rPr>
          <w:sz w:val="22"/>
          <w:szCs w:val="22"/>
        </w:rPr>
        <w:t xml:space="preserve">, </w:t>
      </w:r>
      <w:r w:rsidR="001A6730" w:rsidRPr="00E506CF">
        <w:rPr>
          <w:b/>
          <w:sz w:val="22"/>
          <w:szCs w:val="22"/>
        </w:rPr>
        <w:t>Miami</w:t>
      </w:r>
      <w:r w:rsidR="008F7492" w:rsidRPr="00E506CF">
        <w:rPr>
          <w:b/>
          <w:sz w:val="22"/>
          <w:szCs w:val="22"/>
        </w:rPr>
        <w:t>-</w:t>
      </w:r>
      <w:r w:rsidR="001A6730" w:rsidRPr="00E506CF">
        <w:rPr>
          <w:b/>
          <w:sz w:val="22"/>
          <w:szCs w:val="22"/>
        </w:rPr>
        <w:t>Dade</w:t>
      </w:r>
      <w:r w:rsidR="008F7492" w:rsidRPr="00E506CF">
        <w:rPr>
          <w:b/>
          <w:sz w:val="22"/>
          <w:szCs w:val="22"/>
        </w:rPr>
        <w:t xml:space="preserve"> County</w:t>
      </w:r>
      <w:r w:rsidR="001A6730" w:rsidRPr="00AE6313">
        <w:rPr>
          <w:sz w:val="22"/>
          <w:szCs w:val="22"/>
        </w:rPr>
        <w:t>, Monroe</w:t>
      </w:r>
      <w:r w:rsidR="008F7492">
        <w:rPr>
          <w:sz w:val="22"/>
          <w:szCs w:val="22"/>
        </w:rPr>
        <w:t xml:space="preserve"> County</w:t>
      </w:r>
      <w:r w:rsidR="001A6730" w:rsidRPr="00AE6313">
        <w:rPr>
          <w:sz w:val="22"/>
          <w:szCs w:val="22"/>
        </w:rPr>
        <w:t xml:space="preserve"> – in the Southeast Florida region. The major goals of these engagements included collaborating, transparency, providing access to information, and fostering discussions. These goals were achieved by conducting a community “needs/wants” survey to solicit feedback on LIDAC’s challenges, community priorities, and considerations as they pertain to reduction measures prioritized, as well as workforce development to support mitigation objectives. Further, stakeholder engagement sessions with LIDACs were organized to ensure targeted and localized engagement. Other groups invited to complete the survey and participate in the stakeholder engagement sessions included nonprofit organizations (e.g., faith-based, community-based, social service), local government, academic institutions, and others. The CEJST and the Environmental Justice Screening and Mapping Tool (EJScreen) were used to identify LIDACs.</w:t>
      </w:r>
      <w:r w:rsidR="00F21E3C">
        <w:rPr>
          <w:sz w:val="22"/>
          <w:szCs w:val="22"/>
        </w:rPr>
        <w:t xml:space="preserve"> See the </w:t>
      </w:r>
      <w:r w:rsidR="00E54A2B">
        <w:rPr>
          <w:sz w:val="22"/>
          <w:szCs w:val="22"/>
        </w:rPr>
        <w:t xml:space="preserve">LIDAC Census Track </w:t>
      </w:r>
      <w:r w:rsidR="00F21E3C">
        <w:rPr>
          <w:sz w:val="22"/>
          <w:szCs w:val="22"/>
        </w:rPr>
        <w:t xml:space="preserve">Attachment of the </w:t>
      </w:r>
      <w:r w:rsidR="005F7EB0">
        <w:rPr>
          <w:sz w:val="22"/>
          <w:szCs w:val="22"/>
        </w:rPr>
        <w:t>census tracts of LIDACs in Miami.</w:t>
      </w:r>
    </w:p>
    <w:p w14:paraId="0FFDECDC" w14:textId="77777777" w:rsidR="00B4043C" w:rsidRDefault="00B4043C" w:rsidP="00740D50">
      <w:pPr>
        <w:pStyle w:val="BodyText"/>
        <w:ind w:right="-40"/>
        <w:rPr>
          <w:sz w:val="22"/>
          <w:szCs w:val="22"/>
        </w:rPr>
      </w:pPr>
    </w:p>
    <w:p w14:paraId="19A044A1" w14:textId="1F69F4B5" w:rsidR="00372FDF" w:rsidRDefault="0077709B" w:rsidP="00740D50">
      <w:pPr>
        <w:pStyle w:val="BodyText"/>
        <w:ind w:right="-40"/>
        <w:rPr>
          <w:sz w:val="22"/>
          <w:szCs w:val="22"/>
        </w:rPr>
      </w:pPr>
      <w:r>
        <w:rPr>
          <w:sz w:val="22"/>
          <w:szCs w:val="22"/>
        </w:rPr>
        <w:t xml:space="preserve">The City of Miami has also developed climate resilience strategies to take action on reducing the effects of climate change. </w:t>
      </w:r>
      <w:r w:rsidR="00A63ECB" w:rsidRPr="00A63ECB">
        <w:rPr>
          <w:sz w:val="22"/>
          <w:szCs w:val="22"/>
        </w:rPr>
        <w:t xml:space="preserve">Through a collaborative process, </w:t>
      </w:r>
      <w:r>
        <w:rPr>
          <w:sz w:val="22"/>
          <w:szCs w:val="22"/>
        </w:rPr>
        <w:t xml:space="preserve">the </w:t>
      </w:r>
      <w:hyperlink r:id="rId23" w:history="1">
        <w:r w:rsidR="00AD4174" w:rsidRPr="00AD4174">
          <w:rPr>
            <w:rStyle w:val="Hyperlink"/>
            <w:sz w:val="22"/>
            <w:szCs w:val="22"/>
          </w:rPr>
          <w:t>Miami Forever Climate Ready Strategy</w:t>
        </w:r>
      </w:hyperlink>
      <w:r w:rsidR="00AD4174" w:rsidRPr="00777FC4">
        <w:t xml:space="preserve"> </w:t>
      </w:r>
      <w:r w:rsidRPr="0077709B">
        <w:rPr>
          <w:sz w:val="22"/>
          <w:szCs w:val="22"/>
        </w:rPr>
        <w:t xml:space="preserve">was developed in 2020 to </w:t>
      </w:r>
      <w:r w:rsidR="00027239" w:rsidRPr="00027239">
        <w:rPr>
          <w:sz w:val="22"/>
          <w:szCs w:val="22"/>
        </w:rPr>
        <w:t>recognize the importance of engaging diverse perspectives and stakeholders to address climate challenges effectively</w:t>
      </w:r>
      <w:r w:rsidR="00027239">
        <w:rPr>
          <w:sz w:val="22"/>
          <w:szCs w:val="22"/>
        </w:rPr>
        <w:t>.</w:t>
      </w:r>
      <w:r w:rsidR="00C43B76">
        <w:rPr>
          <w:sz w:val="22"/>
          <w:szCs w:val="22"/>
        </w:rPr>
        <w:t xml:space="preserve"> </w:t>
      </w:r>
      <w:r w:rsidR="00C43B76" w:rsidRPr="00C43B76">
        <w:rPr>
          <w:sz w:val="22"/>
          <w:szCs w:val="22"/>
        </w:rPr>
        <w:t xml:space="preserve">Residents, business owners, non-profits, universities, Committees, and staff, actively participated in identifying climate change challenges and proposing actionable solutions. Input was gathered through expert workshops, community </w:t>
      </w:r>
      <w:r w:rsidR="008B47F4">
        <w:rPr>
          <w:sz w:val="22"/>
          <w:szCs w:val="22"/>
        </w:rPr>
        <w:t>meetings</w:t>
      </w:r>
      <w:r w:rsidR="00C43B76" w:rsidRPr="00C43B76">
        <w:rPr>
          <w:sz w:val="22"/>
          <w:szCs w:val="22"/>
        </w:rPr>
        <w:t xml:space="preserve">, online surveys, collaboration with academic institutions, and advisory panels. </w:t>
      </w:r>
      <w:r w:rsidR="00FA59F3">
        <w:rPr>
          <w:sz w:val="22"/>
          <w:szCs w:val="22"/>
        </w:rPr>
        <w:t xml:space="preserve">These actions are actively being implemented and tracked by the City’s Office of Resilience and Sustainability. </w:t>
      </w:r>
      <w:r w:rsidR="00C43B76" w:rsidRPr="00C43B76">
        <w:rPr>
          <w:sz w:val="22"/>
          <w:szCs w:val="22"/>
        </w:rPr>
        <w:t>Additionally, the establishment of an interdepartmental Resilience Action Group within the City of Miami government ensures ongoing collaboration and communication on resilience efforts.</w:t>
      </w:r>
      <w:r w:rsidR="00FA59F3">
        <w:rPr>
          <w:sz w:val="22"/>
          <w:szCs w:val="22"/>
        </w:rPr>
        <w:t xml:space="preserve"> </w:t>
      </w:r>
      <w:r w:rsidR="003C738A">
        <w:rPr>
          <w:sz w:val="22"/>
          <w:szCs w:val="22"/>
        </w:rPr>
        <w:t>The results of these efforts are communicated to the public through a monthly Resilience newsletter</w:t>
      </w:r>
      <w:r w:rsidR="00736ED5">
        <w:rPr>
          <w:sz w:val="22"/>
          <w:szCs w:val="22"/>
        </w:rPr>
        <w:t>.</w:t>
      </w:r>
    </w:p>
    <w:p w14:paraId="5D2AF4A7" w14:textId="77777777" w:rsidR="00B4043C" w:rsidRDefault="00B4043C" w:rsidP="00740D50">
      <w:pPr>
        <w:pStyle w:val="BodyText"/>
        <w:ind w:right="-40"/>
        <w:rPr>
          <w:sz w:val="22"/>
          <w:szCs w:val="22"/>
        </w:rPr>
      </w:pPr>
    </w:p>
    <w:p w14:paraId="2A8C9A20" w14:textId="24F835D0" w:rsidR="00547CE9" w:rsidRDefault="00F72E35" w:rsidP="002300D4">
      <w:pPr>
        <w:pStyle w:val="BodyText"/>
        <w:ind w:right="-40"/>
      </w:pPr>
      <w:r w:rsidRPr="00F72E35">
        <w:rPr>
          <w:sz w:val="22"/>
          <w:szCs w:val="22"/>
        </w:rPr>
        <w:t>Looking ahead, we are committed to maintaining meaningful engagement with low-income and disadvantaged communities throughout the life of the grant</w:t>
      </w:r>
      <w:r>
        <w:rPr>
          <w:sz w:val="22"/>
          <w:szCs w:val="22"/>
        </w:rPr>
        <w:t xml:space="preserve">, similar to what has been done in our previous programs. </w:t>
      </w:r>
      <w:r w:rsidR="00324CE7" w:rsidRPr="00324CE7">
        <w:rPr>
          <w:sz w:val="22"/>
          <w:szCs w:val="22"/>
        </w:rPr>
        <w:t xml:space="preserve">By fostering ongoing participation and collaboration, we aim to ensure that the voices and needs of all community members are central to the successful implementation of our </w:t>
      </w:r>
      <w:r w:rsidR="00BD377E">
        <w:rPr>
          <w:sz w:val="22"/>
          <w:szCs w:val="22"/>
        </w:rPr>
        <w:t>GHG</w:t>
      </w:r>
      <w:r w:rsidR="003809A2">
        <w:rPr>
          <w:sz w:val="22"/>
          <w:szCs w:val="22"/>
        </w:rPr>
        <w:t xml:space="preserve"> </w:t>
      </w:r>
      <w:r w:rsidR="00FE5AF7" w:rsidRPr="00324CE7">
        <w:rPr>
          <w:sz w:val="22"/>
          <w:szCs w:val="22"/>
        </w:rPr>
        <w:t>Reduction Measures</w:t>
      </w:r>
      <w:r w:rsidR="00324CE7" w:rsidRPr="00324CE7">
        <w:rPr>
          <w:sz w:val="22"/>
          <w:szCs w:val="22"/>
        </w:rPr>
        <w:t>, fostering a more equitable and resilient future for Miami.</w:t>
      </w:r>
      <w:r w:rsidR="002B68D1" w:rsidRPr="002B68D1">
        <w:rPr>
          <w:sz w:val="22"/>
          <w:szCs w:val="22"/>
        </w:rPr>
        <w:t xml:space="preserve"> </w:t>
      </w:r>
      <w:r w:rsidR="00C71784" w:rsidRPr="002B68D1">
        <w:rPr>
          <w:sz w:val="22"/>
          <w:szCs w:val="22"/>
        </w:rPr>
        <w:t xml:space="preserve">The City of Miami is dedicated to fostering meaningful engagement with low-income and disadvantaged communities throughout the development and implementation of </w:t>
      </w:r>
      <w:r w:rsidR="00BD377E" w:rsidRPr="002B68D1">
        <w:rPr>
          <w:sz w:val="22"/>
          <w:szCs w:val="22"/>
        </w:rPr>
        <w:t>GHG</w:t>
      </w:r>
      <w:r w:rsidR="003809A2" w:rsidRPr="002B68D1">
        <w:rPr>
          <w:sz w:val="22"/>
          <w:szCs w:val="22"/>
        </w:rPr>
        <w:t xml:space="preserve"> </w:t>
      </w:r>
      <w:r w:rsidR="00936A55" w:rsidRPr="002B68D1">
        <w:rPr>
          <w:sz w:val="22"/>
          <w:szCs w:val="22"/>
        </w:rPr>
        <w:t xml:space="preserve">Reduction Measures </w:t>
      </w:r>
      <w:r w:rsidR="00C71784" w:rsidRPr="002B68D1">
        <w:rPr>
          <w:sz w:val="22"/>
          <w:szCs w:val="22"/>
        </w:rPr>
        <w:t xml:space="preserve">funded by this grant. Recognizing the importance of incorporating residents' perspectives and experiences into decision-making processes, </w:t>
      </w:r>
      <w:r w:rsidR="00C71784" w:rsidRPr="002300D4">
        <w:rPr>
          <w:sz w:val="22"/>
          <w:szCs w:val="22"/>
        </w:rPr>
        <w:t>the City will employ a variety of outreach methods to ensure early and consistent inclusion of diverse perspectives.</w:t>
      </w:r>
      <w:r w:rsidR="002300D4" w:rsidRPr="002300D4">
        <w:rPr>
          <w:sz w:val="22"/>
          <w:szCs w:val="22"/>
        </w:rPr>
        <w:t xml:space="preserve"> </w:t>
      </w:r>
      <w:r w:rsidR="00547CE9" w:rsidRPr="002300D4">
        <w:rPr>
          <w:sz w:val="22"/>
          <w:szCs w:val="22"/>
        </w:rPr>
        <w:t>To facilitate ongoing dialogue and feedback, the City will host regular town hall meetings, focus groups, and community forums specifically tailored to engage residents from low-income communities. These platforms will provide opportunities for residents to voice their concerns, provide suggestions, and offer feedback on the implemented initiatives. Additionally, community surveys will be conducted to assess residents' satisfaction levels and perceived benefits of the implemented initiatives.</w:t>
      </w:r>
    </w:p>
    <w:p w14:paraId="6F018122" w14:textId="77777777" w:rsidR="00547CE9" w:rsidRDefault="00547CE9" w:rsidP="00740D50"/>
    <w:p w14:paraId="741C19C1" w14:textId="6228C0AE" w:rsidR="00547CE9" w:rsidRDefault="00547CE9" w:rsidP="00740D50">
      <w:r>
        <w:t xml:space="preserve">In order to ensure that all Miami residents are well-informed about available programs and benefits, the City will implement targeted outreach strategies. Materials and communication efforts will be conducted in multiple languages, primarily English, Spanish and Creole, to cater to the diverse linguistic and cultural backgrounds of Miami's population. </w:t>
      </w:r>
      <w:r w:rsidRPr="002B12E0">
        <w:t>An updated section dedicated to energy programs will be maintained on the official City of Miami website, providing comprehensive information on available grants, rebates, and energy-saving tips.</w:t>
      </w:r>
      <w:r>
        <w:t xml:space="preserve"> </w:t>
      </w:r>
      <w:r w:rsidR="007B24C1">
        <w:t xml:space="preserve">Press releases </w:t>
      </w:r>
      <w:r w:rsidR="00AD5325">
        <w:t xml:space="preserve">during the program lotteries will be </w:t>
      </w:r>
      <w:r w:rsidR="006975C4">
        <w:t>scheduled</w:t>
      </w:r>
      <w:r w:rsidR="00AD5325">
        <w:t xml:space="preserve"> as well as flyers and social media</w:t>
      </w:r>
      <w:r w:rsidR="006975C4">
        <w:t xml:space="preserve"> content will be posted online. Additionally, many of the City’s LIDAC communities </w:t>
      </w:r>
      <w:r w:rsidR="00AB1DED">
        <w:t xml:space="preserve">feel more comfortable receiving information face-to-face and word of mouth. </w:t>
      </w:r>
      <w:r w:rsidR="005D5431">
        <w:t xml:space="preserve">The City will provide in-person outreach at our City Parks facilities that serve as community centers for many neighborhoods throughout the City. City Commissioners will also provide information </w:t>
      </w:r>
      <w:r w:rsidR="0031509C">
        <w:t xml:space="preserve">through their community liaisons and canvassing activities. </w:t>
      </w:r>
    </w:p>
    <w:p w14:paraId="7B9D2623" w14:textId="77777777" w:rsidR="00F55DDD" w:rsidRPr="00F55DDD" w:rsidRDefault="00F55DDD" w:rsidP="007D44EE">
      <w:pPr>
        <w:pStyle w:val="Heading2"/>
      </w:pPr>
      <w:r w:rsidRPr="00F55DDD">
        <w:t>Section 5: Job Quality (5 possible points)</w:t>
      </w:r>
    </w:p>
    <w:p w14:paraId="6099ADB9" w14:textId="0BE9E196" w:rsidR="008B57F1" w:rsidRDefault="005D4917" w:rsidP="00261E11">
      <w:r>
        <w:t xml:space="preserve">The City of Miami </w:t>
      </w:r>
      <w:r w:rsidR="002A7AA4">
        <w:t>is committed to expanding the green economy</w:t>
      </w:r>
      <w:r w:rsidR="00B33963">
        <w:t xml:space="preserve"> and creating high</w:t>
      </w:r>
      <w:r w:rsidR="00DA2675">
        <w:t>-quality, family-sustaining jobs</w:t>
      </w:r>
      <w:r w:rsidR="0002653F">
        <w:t xml:space="preserve"> with a workforce that is diverse, </w:t>
      </w:r>
      <w:r w:rsidR="001A535E">
        <w:t xml:space="preserve">highly skilled that supports “high road” labor </w:t>
      </w:r>
      <w:r w:rsidR="0080327A">
        <w:t xml:space="preserve">practices including </w:t>
      </w:r>
      <w:r w:rsidR="009C6F8D">
        <w:t>the free and fair choice to join a union.</w:t>
      </w:r>
      <w:r w:rsidR="00261E11">
        <w:t xml:space="preserve"> Critical to Miami is ensuring that local businesses and residents economically benefit from sustainability and resilience efforts. Prioritizing green investments –</w:t>
      </w:r>
      <w:r w:rsidR="005F24E1">
        <w:t xml:space="preserve"> </w:t>
      </w:r>
      <w:r w:rsidR="00261E11">
        <w:t>those that support GHG mitigation and climate adaptation – will simultaneously facilitate economic development and diversification, achieve GHG mitigation goals, and support climate justice priorities.</w:t>
      </w:r>
      <w:r w:rsidR="00E44570">
        <w:t xml:space="preserve"> Miami</w:t>
      </w:r>
      <w:r w:rsidR="00D468B1">
        <w:t>’s green economy aims to realize our climate justice goals by providing middle-skill, living wage jobs, creating demand for workforce training opportunities, and promoting economic resilience for Miami’s socially vulnerable residents.</w:t>
      </w:r>
    </w:p>
    <w:p w14:paraId="4FE1AD7D" w14:textId="77777777" w:rsidR="006E7260" w:rsidRDefault="006E7260" w:rsidP="00261E11"/>
    <w:p w14:paraId="4E2A8D9D" w14:textId="4F033C7B" w:rsidR="00087F22" w:rsidRDefault="00FC3B94" w:rsidP="00AD3B39">
      <w:r>
        <w:t xml:space="preserve">The green buildings sector, which includes energy efficiency contractors, electricians, and other specialty contractors, accounts for 35% of Miami’s green jobs. Today’s green building sector is the result of traditional industries investing in green buildings and retrofits. In 2019, traditional industries spent over $2 billion in Miami’s green buildings industry. The buildings sector also offers the opportunity for the growth in green jobs: green building jobs are currently just 13% of all buildings jobs, leaving 87% of jobs in this industry with the opportunity to become green. </w:t>
      </w:r>
      <w:r w:rsidR="00AD3B39">
        <w:t xml:space="preserve">The renewable energy industry in Miami provides over 400 jobs, which is less than 30% of the total jobs in Miami’s energy sector. However, renewable energy jobs have grown by 16% in the past decade, showing that there is consistent local growth in this industry. This growth is driven by purchases from Miami’s traditional industry sectors (e.g., government, healthcare, tourism). In 2019, traditional industries spent nearly $600 million on renewable energy in Miami. </w:t>
      </w:r>
    </w:p>
    <w:p w14:paraId="59A59DDE" w14:textId="77777777" w:rsidR="00087F22" w:rsidRDefault="00087F22" w:rsidP="00AD3B39"/>
    <w:p w14:paraId="2522B49E" w14:textId="67B1F653" w:rsidR="00BA42DF" w:rsidRDefault="009D7A3A" w:rsidP="009D7A3A">
      <w:r>
        <w:t>Construction field can elevate job opportunities, showing that a large in scope project can help train, place, and retain the underrepresented community in good-paying jobs. Acknowledging its socioeconomics, the City manages programs to develop the local workforce targeting businesses and job seekers in low-income areas such as: 1) Training &amp; Certificates 2) Vouchers for training/job access 3) Small Business Navigators 4) On-The-Job Training and paid apprenticeship; and 5) Underemployed Navigators Readiness Program. Miami’s Opportunity Center connects job seekers with job opportunities and employment resources to gain income at or above a living wage. The City of Miami's Opportunity Center connects ready, willing</w:t>
      </w:r>
      <w:r w:rsidR="00B7031A">
        <w:t>,</w:t>
      </w:r>
      <w:r>
        <w:t xml:space="preserve"> and able job seekers with local job opportunities and employment resources through our newest hiring platform. The City’s Opportunity Center and other training entities can partner with local green businesses to surface job orders, locate trainings in the City, and prioritize recruiting displaced, underemployed, or unemployed workers from climate justice communities. </w:t>
      </w:r>
      <w:r w:rsidR="00DF7566">
        <w:t>The</w:t>
      </w:r>
      <w:r>
        <w:t xml:space="preserve"> City will gain a</w:t>
      </w:r>
      <w:r w:rsidR="00DF7566">
        <w:t>n</w:t>
      </w:r>
      <w:r>
        <w:t xml:space="preserve"> understanding of barriers to employment in the green economy and build relationships with workforce and education partners to develop programming to bridge the identified gaps. </w:t>
      </w:r>
    </w:p>
    <w:p w14:paraId="4A69AE57" w14:textId="3F77D62F" w:rsidR="00AD3B39" w:rsidRDefault="00AD3B39" w:rsidP="00FF4B8D">
      <w:r>
        <w:t xml:space="preserve">CPRG funding will </w:t>
      </w:r>
      <w:r w:rsidR="00E03536">
        <w:t xml:space="preserve">increase demand of </w:t>
      </w:r>
      <w:r w:rsidR="00E26C86">
        <w:t xml:space="preserve">green jobs by </w:t>
      </w:r>
      <w:r w:rsidR="00E03536">
        <w:t xml:space="preserve">catalyzing the </w:t>
      </w:r>
      <w:r>
        <w:t>creat</w:t>
      </w:r>
      <w:r w:rsidR="00E26C86">
        <w:t>i</w:t>
      </w:r>
      <w:r w:rsidR="00E03536">
        <w:t>on of</w:t>
      </w:r>
      <w:r w:rsidR="00E26C86">
        <w:t xml:space="preserve"> more green building and</w:t>
      </w:r>
      <w:r>
        <w:t xml:space="preserve"> renewable energy jobs </w:t>
      </w:r>
      <w:r w:rsidR="00E03536">
        <w:t>to</w:t>
      </w:r>
      <w:r w:rsidR="00CC2407">
        <w:t xml:space="preserve"> install the GHG Reduction Measures.</w:t>
      </w:r>
      <w:r>
        <w:t xml:space="preserve"> </w:t>
      </w:r>
      <w:r w:rsidR="00FF4B8D">
        <w:t>As implementation takes off and demand for green buildings and retrofits grows, there will be corresponding demand for specialty contractors. Miami’s workforce will need to be prepared to fill these green buildings jobs or otherwise risk losing them to people outside the region. It will be critical for the City and economic development actors to market green jobs in the buildings industry, particularly to young people, and to develop and expand training pathways tailored to these jobs. New or expanded green workforce development opportunities will need to offer training to people entering the workforce and to re-skilling those already within the buildings and construction industry. Since these jobs tend to pay at or above the living wage, special attention should be given to recruiting and training potential employees from historically underinvested and climate justice communities.</w:t>
      </w:r>
    </w:p>
    <w:p w14:paraId="4933F9DB" w14:textId="77777777" w:rsidR="00744463" w:rsidRDefault="00744463" w:rsidP="00FF4B8D"/>
    <w:p w14:paraId="644AFD1C" w14:textId="3F7CAC72" w:rsidR="00744463" w:rsidRDefault="00744463" w:rsidP="00FF4B8D">
      <w:r w:rsidRPr="00CF18EF">
        <w:t>The City of Miami will support the following policies to create jobs and increase the job quality of green jobs:</w:t>
      </w:r>
    </w:p>
    <w:p w14:paraId="45826B99" w14:textId="29F1FA9A" w:rsidR="003A7FFB" w:rsidRDefault="00CF18EF" w:rsidP="00356418">
      <w:pPr>
        <w:pStyle w:val="ListParagraph"/>
        <w:numPr>
          <w:ilvl w:val="0"/>
          <w:numId w:val="23"/>
        </w:numPr>
        <w:spacing w:before="60"/>
        <w:contextualSpacing w:val="0"/>
      </w:pPr>
      <w:r>
        <w:t xml:space="preserve">Work with regional partners </w:t>
      </w:r>
      <w:r w:rsidR="005005E8">
        <w:t xml:space="preserve">including Miami-Dade County, Beacon Council, the Chamber of Commerce, CareerSource, </w:t>
      </w:r>
      <w:r w:rsidR="0007416A">
        <w:t xml:space="preserve">Florida Solar Energy Industries Association (FLaSEIA) </w:t>
      </w:r>
      <w:r w:rsidR="005005E8">
        <w:t>and non</w:t>
      </w:r>
      <w:r w:rsidR="003A7FFB">
        <w:t>-</w:t>
      </w:r>
      <w:r w:rsidR="005005E8">
        <w:t xml:space="preserve">governmental organizations (NGOs), to identify a green economy champion to intentionally foster creation of a functioning, inclusive </w:t>
      </w:r>
      <w:r w:rsidR="00F23143">
        <w:t>e</w:t>
      </w:r>
      <w:r w:rsidR="005005E8">
        <w:t xml:space="preserve">cosystem which advances equity and opportunity through innovation. </w:t>
      </w:r>
      <w:r w:rsidR="00347D4C">
        <w:t xml:space="preserve">This will </w:t>
      </w:r>
      <w:r w:rsidR="00682E7D">
        <w:t>complement</w:t>
      </w:r>
      <w:r w:rsidR="00347D4C">
        <w:t xml:space="preserve"> the regional efforts </w:t>
      </w:r>
      <w:r w:rsidR="00564A14">
        <w:t xml:space="preserve">to build a South Florida </w:t>
      </w:r>
      <w:r w:rsidR="00516F7B">
        <w:t xml:space="preserve">Climate Tech Hub, an effort spurred by investment </w:t>
      </w:r>
      <w:r w:rsidR="00A34359">
        <w:t>from the US Economic Development Administration.</w:t>
      </w:r>
    </w:p>
    <w:p w14:paraId="3532417E" w14:textId="45ED8E8C" w:rsidR="00000D58" w:rsidRDefault="00000D58" w:rsidP="00356418">
      <w:pPr>
        <w:pStyle w:val="ListParagraph"/>
        <w:numPr>
          <w:ilvl w:val="0"/>
          <w:numId w:val="23"/>
        </w:numPr>
        <w:spacing w:before="60"/>
        <w:contextualSpacing w:val="0"/>
      </w:pPr>
      <w:r>
        <w:t xml:space="preserve">Dedicate </w:t>
      </w:r>
      <w:r w:rsidR="00162E01">
        <w:t>time from the ORS Project Manager</w:t>
      </w:r>
      <w:r>
        <w:t xml:space="preserve"> to support the green economy champion and to lead the City’s role in growing the green economy ecosystem</w:t>
      </w:r>
      <w:r w:rsidR="001F0F44">
        <w:t>.</w:t>
      </w:r>
    </w:p>
    <w:p w14:paraId="259A783B" w14:textId="0C941B66" w:rsidR="00F55DDD" w:rsidRPr="00C413A4" w:rsidRDefault="009E23B4" w:rsidP="00356418">
      <w:pPr>
        <w:pStyle w:val="ListParagraph"/>
        <w:numPr>
          <w:ilvl w:val="0"/>
          <w:numId w:val="23"/>
        </w:numPr>
        <w:spacing w:before="60"/>
        <w:contextualSpacing w:val="0"/>
        <w:rPr>
          <w:color w:val="A02B93" w:themeColor="accent5"/>
        </w:rPr>
      </w:pPr>
      <w:r>
        <w:t>Offer relevant job trainings through the Opportunity Center and connect job seekers to local employers</w:t>
      </w:r>
      <w:r w:rsidR="00C14FD4">
        <w:t xml:space="preserve"> </w:t>
      </w:r>
      <w:r w:rsidR="00C413A4">
        <w:t xml:space="preserve">with a </w:t>
      </w:r>
      <w:r w:rsidR="00C14FD4">
        <w:t>priorit</w:t>
      </w:r>
      <w:r w:rsidR="00C413A4">
        <w:t>y of</w:t>
      </w:r>
      <w:r w:rsidR="00C14FD4">
        <w:t xml:space="preserve"> recruiting displaced, underemployed, or unemployed workers from climate justice communities</w:t>
      </w:r>
      <w:r w:rsidR="00C413A4">
        <w:t>.</w:t>
      </w:r>
    </w:p>
    <w:p w14:paraId="3203339F" w14:textId="77777777" w:rsidR="00F55DDD" w:rsidRPr="00F55DDD" w:rsidRDefault="00F55DDD" w:rsidP="007D44EE">
      <w:pPr>
        <w:pStyle w:val="Heading2"/>
      </w:pPr>
      <w:r w:rsidRPr="007D44EE">
        <w:t>Section 6: Programmatic Capability and Past Performance (30 possible points)</w:t>
      </w:r>
    </w:p>
    <w:p w14:paraId="0F83670B" w14:textId="69E1B259" w:rsidR="008B57F1" w:rsidRPr="00467BBE" w:rsidRDefault="00EC2315" w:rsidP="008B57F1">
      <w:r>
        <w:t xml:space="preserve">The City </w:t>
      </w:r>
      <w:r w:rsidR="003B4E79">
        <w:t>has programmatic capability</w:t>
      </w:r>
      <w:r w:rsidR="00B9337F">
        <w:t xml:space="preserve"> and</w:t>
      </w:r>
      <w:r w:rsidR="005D7C6F">
        <w:t xml:space="preserve"> past performance experience </w:t>
      </w:r>
      <w:r w:rsidR="003B4E79">
        <w:t xml:space="preserve">to </w:t>
      </w:r>
      <w:r w:rsidR="009C193D">
        <w:t>successfully implement this grant</w:t>
      </w:r>
      <w:r w:rsidR="005D7C6F">
        <w:t>.</w:t>
      </w:r>
    </w:p>
    <w:p w14:paraId="133E3870" w14:textId="1DC12395" w:rsidR="00F55DDD" w:rsidRPr="00F55DDD" w:rsidRDefault="00F55DDD" w:rsidP="00356418">
      <w:pPr>
        <w:pStyle w:val="Heading3"/>
        <w:numPr>
          <w:ilvl w:val="0"/>
          <w:numId w:val="10"/>
        </w:numPr>
      </w:pPr>
      <w:r w:rsidRPr="00CA6681">
        <w:t>Past Performance</w:t>
      </w:r>
      <w:r w:rsidRPr="00F55DDD">
        <w:t xml:space="preserve"> (10 possible</w:t>
      </w:r>
      <w:r w:rsidRPr="00F55DDD">
        <w:rPr>
          <w:spacing w:val="-4"/>
        </w:rPr>
        <w:t xml:space="preserve"> </w:t>
      </w:r>
      <w:r w:rsidRPr="00F55DDD">
        <w:t>points)</w:t>
      </w:r>
    </w:p>
    <w:p w14:paraId="53CC4DF0" w14:textId="6B4D13AC" w:rsidR="00765E51" w:rsidRPr="00765E51" w:rsidRDefault="0093702E" w:rsidP="00FE1E0D">
      <w:r w:rsidRPr="0093702E">
        <w:t>The City receives over $75,000,000 in federal grants yearly. They are awarded by various federal agencies for a host of programs and services including public safety, education, housing development, home buying and rental assistance, fire prevention, meals, transportation, public works and infrastructure, after-school care, economic development initiatives, emergency preparedness, job creation, training, green initiatives, art</w:t>
      </w:r>
      <w:r w:rsidR="00894E42">
        <w:t>,</w:t>
      </w:r>
      <w:r w:rsidRPr="0093702E">
        <w:t xml:space="preserve"> and cultural programs.  The City consistently successfully manages these agreements and </w:t>
      </w:r>
      <w:r w:rsidR="008D360D" w:rsidRPr="0093702E">
        <w:t>complies</w:t>
      </w:r>
      <w:r w:rsidRPr="0093702E">
        <w:t xml:space="preserve"> with all programmatic and contractual requirements, including reporting.</w:t>
      </w:r>
      <w:r w:rsidR="00FE1E0D">
        <w:t xml:space="preserve"> </w:t>
      </w:r>
      <w:r w:rsidR="00765E51" w:rsidRPr="00765E51">
        <w:rPr>
          <w:rStyle w:val="normaltextrun"/>
          <w:rFonts w:eastAsiaTheme="majorEastAsia"/>
          <w:color w:val="221E1F"/>
        </w:rPr>
        <w:t>The following awards have been made directly to the City:</w:t>
      </w:r>
      <w:r w:rsidR="00765E51" w:rsidRPr="00765E51">
        <w:rPr>
          <w:rStyle w:val="eop"/>
          <w:rFonts w:eastAsiaTheme="majorEastAsia"/>
          <w:color w:val="221E1F"/>
        </w:rPr>
        <w:t> </w:t>
      </w:r>
    </w:p>
    <w:p w14:paraId="5FD6DF61" w14:textId="5F7C1870" w:rsidR="00765E51" w:rsidRPr="00765E51" w:rsidRDefault="00765E51" w:rsidP="00356418">
      <w:pPr>
        <w:pStyle w:val="paragraph"/>
        <w:numPr>
          <w:ilvl w:val="0"/>
          <w:numId w:val="24"/>
        </w:numPr>
        <w:spacing w:before="0" w:beforeAutospacing="0" w:after="0" w:afterAutospacing="0"/>
        <w:ind w:left="360" w:firstLine="0"/>
        <w:textAlignment w:val="baseline"/>
        <w:rPr>
          <w:rFonts w:ascii="Calibri" w:hAnsi="Calibri" w:cs="Calibri"/>
          <w:sz w:val="22"/>
          <w:szCs w:val="22"/>
        </w:rPr>
      </w:pPr>
      <w:r w:rsidRPr="00765E51">
        <w:rPr>
          <w:rStyle w:val="normaltextrun"/>
          <w:rFonts w:ascii="Calibri" w:eastAsiaTheme="majorEastAsia" w:hAnsi="Calibri" w:cs="Calibri"/>
          <w:sz w:val="22"/>
          <w:szCs w:val="22"/>
        </w:rPr>
        <w:t>The Miami Region Securing The Cities Program</w:t>
      </w:r>
      <w:r w:rsidRPr="00765E51">
        <w:rPr>
          <w:rStyle w:val="eop"/>
          <w:rFonts w:ascii="Calibri" w:eastAsiaTheme="majorEastAsia" w:hAnsi="Calibri" w:cs="Calibri"/>
          <w:sz w:val="22"/>
          <w:szCs w:val="22"/>
        </w:rPr>
        <w:t> </w:t>
      </w:r>
    </w:p>
    <w:p w14:paraId="51447B5B" w14:textId="44EC5229" w:rsidR="00765E51" w:rsidRPr="00765E51" w:rsidRDefault="00765E51" w:rsidP="00356418">
      <w:pPr>
        <w:pStyle w:val="paragraph"/>
        <w:numPr>
          <w:ilvl w:val="0"/>
          <w:numId w:val="25"/>
        </w:numPr>
        <w:tabs>
          <w:tab w:val="clear" w:pos="720"/>
        </w:tabs>
        <w:spacing w:before="0" w:beforeAutospacing="0" w:after="0" w:afterAutospacing="0"/>
        <w:ind w:left="1080"/>
        <w:textAlignment w:val="baseline"/>
        <w:rPr>
          <w:rFonts w:ascii="Calibri" w:hAnsi="Calibri" w:cs="Calibri"/>
          <w:color w:val="000000"/>
          <w:sz w:val="22"/>
          <w:szCs w:val="22"/>
        </w:rPr>
      </w:pPr>
      <w:r w:rsidRPr="00765E51">
        <w:rPr>
          <w:rStyle w:val="normaltextrun"/>
          <w:rFonts w:ascii="Calibri" w:eastAsiaTheme="majorEastAsia" w:hAnsi="Calibri" w:cs="Calibri"/>
          <w:sz w:val="22"/>
          <w:szCs w:val="22"/>
        </w:rPr>
        <w:t>Assistance agreement number</w:t>
      </w:r>
      <w:r w:rsidR="000C2F4B" w:rsidRPr="00765E51">
        <w:rPr>
          <w:rStyle w:val="normaltextrun"/>
          <w:rFonts w:ascii="Calibri" w:eastAsiaTheme="majorEastAsia" w:hAnsi="Calibri" w:cs="Calibri"/>
          <w:sz w:val="22"/>
          <w:szCs w:val="22"/>
        </w:rPr>
        <w:t xml:space="preserve"> – </w:t>
      </w:r>
      <w:r w:rsidRPr="00765E51">
        <w:rPr>
          <w:rStyle w:val="normaltextrun"/>
          <w:rFonts w:ascii="Calibri" w:eastAsiaTheme="majorEastAsia" w:hAnsi="Calibri" w:cs="Calibri"/>
          <w:color w:val="000000"/>
          <w:sz w:val="22"/>
          <w:szCs w:val="22"/>
        </w:rPr>
        <w:t>20CWDSTC00007</w:t>
      </w:r>
      <w:r w:rsidRPr="00765E51">
        <w:rPr>
          <w:rStyle w:val="eop"/>
          <w:rFonts w:ascii="Calibri" w:eastAsiaTheme="majorEastAsia" w:hAnsi="Calibri" w:cs="Calibri"/>
          <w:color w:val="000000"/>
          <w:sz w:val="22"/>
          <w:szCs w:val="22"/>
        </w:rPr>
        <w:t> </w:t>
      </w:r>
    </w:p>
    <w:p w14:paraId="4B3D3A35" w14:textId="77777777" w:rsidR="00765E51" w:rsidRPr="00765E51" w:rsidRDefault="00765E51" w:rsidP="00356418">
      <w:pPr>
        <w:pStyle w:val="paragraph"/>
        <w:numPr>
          <w:ilvl w:val="0"/>
          <w:numId w:val="26"/>
        </w:numPr>
        <w:tabs>
          <w:tab w:val="clear" w:pos="720"/>
        </w:tabs>
        <w:spacing w:before="0" w:beforeAutospacing="0" w:after="0" w:afterAutospacing="0"/>
        <w:ind w:left="1080"/>
        <w:textAlignment w:val="baseline"/>
        <w:rPr>
          <w:rFonts w:ascii="Calibri" w:hAnsi="Calibri" w:cs="Calibri"/>
          <w:sz w:val="22"/>
          <w:szCs w:val="22"/>
        </w:rPr>
      </w:pPr>
      <w:r w:rsidRPr="00765E51">
        <w:rPr>
          <w:rStyle w:val="normaltextrun"/>
          <w:rFonts w:ascii="Calibri" w:eastAsiaTheme="majorEastAsia" w:hAnsi="Calibri" w:cs="Calibri"/>
          <w:sz w:val="22"/>
          <w:szCs w:val="22"/>
        </w:rPr>
        <w:t>Federal funding agency – Department of Homeland Security</w:t>
      </w:r>
      <w:r w:rsidRPr="00765E51">
        <w:rPr>
          <w:rStyle w:val="eop"/>
          <w:rFonts w:ascii="Calibri" w:eastAsiaTheme="majorEastAsia" w:hAnsi="Calibri" w:cs="Calibri"/>
          <w:sz w:val="22"/>
          <w:szCs w:val="22"/>
        </w:rPr>
        <w:t> </w:t>
      </w:r>
    </w:p>
    <w:p w14:paraId="06EEEF87" w14:textId="77777777" w:rsidR="00765E51" w:rsidRPr="00765E51" w:rsidRDefault="00765E51" w:rsidP="00356418">
      <w:pPr>
        <w:pStyle w:val="paragraph"/>
        <w:numPr>
          <w:ilvl w:val="0"/>
          <w:numId w:val="26"/>
        </w:numPr>
        <w:tabs>
          <w:tab w:val="clear" w:pos="720"/>
        </w:tabs>
        <w:spacing w:before="0" w:beforeAutospacing="0" w:after="0" w:afterAutospacing="0"/>
        <w:ind w:left="1080"/>
        <w:textAlignment w:val="baseline"/>
        <w:rPr>
          <w:rFonts w:ascii="Calibri" w:hAnsi="Calibri" w:cs="Calibri"/>
          <w:sz w:val="22"/>
          <w:szCs w:val="22"/>
        </w:rPr>
      </w:pPr>
      <w:r w:rsidRPr="00765E51">
        <w:rPr>
          <w:rStyle w:val="normaltextrun"/>
          <w:rFonts w:ascii="Calibri" w:eastAsiaTheme="majorEastAsia" w:hAnsi="Calibri" w:cs="Calibri"/>
          <w:sz w:val="22"/>
          <w:szCs w:val="22"/>
        </w:rPr>
        <w:t>Assistance listing number – 97.106</w:t>
      </w:r>
      <w:r w:rsidRPr="00765E51">
        <w:rPr>
          <w:rStyle w:val="eop"/>
          <w:rFonts w:ascii="Calibri" w:eastAsiaTheme="majorEastAsia" w:hAnsi="Calibri" w:cs="Calibri"/>
          <w:sz w:val="22"/>
          <w:szCs w:val="22"/>
        </w:rPr>
        <w:t> </w:t>
      </w:r>
    </w:p>
    <w:p w14:paraId="1767D394" w14:textId="1157D904" w:rsidR="00765E51" w:rsidRPr="00765E51" w:rsidRDefault="008813BF" w:rsidP="00356418">
      <w:pPr>
        <w:pStyle w:val="paragraph"/>
        <w:numPr>
          <w:ilvl w:val="0"/>
          <w:numId w:val="26"/>
        </w:numPr>
        <w:tabs>
          <w:tab w:val="clear" w:pos="720"/>
        </w:tabs>
        <w:spacing w:before="0" w:beforeAutospacing="0" w:after="0" w:afterAutospacing="0"/>
        <w:ind w:left="1080"/>
        <w:textAlignment w:val="baseline"/>
        <w:rPr>
          <w:rFonts w:ascii="Calibri" w:hAnsi="Calibri" w:cs="Calibri"/>
          <w:sz w:val="22"/>
          <w:szCs w:val="22"/>
        </w:rPr>
      </w:pPr>
      <w:r>
        <w:rPr>
          <w:rStyle w:val="normaltextrun"/>
          <w:rFonts w:ascii="Calibri" w:eastAsiaTheme="majorEastAsia" w:hAnsi="Calibri" w:cs="Calibri"/>
          <w:sz w:val="22"/>
          <w:szCs w:val="22"/>
        </w:rPr>
        <w:t>Brief description of the agreement</w:t>
      </w:r>
      <w:r w:rsidR="7124FC59" w:rsidRPr="38527ECE">
        <w:rPr>
          <w:rStyle w:val="normaltextrun"/>
          <w:rFonts w:ascii="Calibri" w:eastAsiaTheme="majorEastAsia" w:hAnsi="Calibri" w:cs="Calibri"/>
          <w:sz w:val="22"/>
          <w:szCs w:val="22"/>
        </w:rPr>
        <w:t xml:space="preserve"> </w:t>
      </w:r>
      <w:r w:rsidR="00B64D8D" w:rsidRPr="38527ECE">
        <w:rPr>
          <w:rStyle w:val="normaltextrun"/>
          <w:rFonts w:ascii="Calibri" w:eastAsiaTheme="majorEastAsia" w:hAnsi="Calibri" w:cs="Calibri"/>
          <w:sz w:val="22"/>
          <w:szCs w:val="22"/>
        </w:rPr>
        <w:t>–</w:t>
      </w:r>
      <w:r w:rsidR="7124FC59" w:rsidRPr="38527ECE">
        <w:rPr>
          <w:rStyle w:val="normaltextrun"/>
          <w:rFonts w:ascii="Calibri" w:eastAsiaTheme="majorEastAsia" w:hAnsi="Calibri" w:cs="Calibri"/>
          <w:sz w:val="22"/>
          <w:szCs w:val="22"/>
        </w:rPr>
        <w:t xml:space="preserve"> </w:t>
      </w:r>
      <w:r w:rsidR="00765E51" w:rsidRPr="38527ECE">
        <w:rPr>
          <w:rStyle w:val="normaltextrun"/>
          <w:rFonts w:ascii="Calibri" w:eastAsiaTheme="majorEastAsia" w:hAnsi="Calibri" w:cs="Calibri"/>
          <w:sz w:val="22"/>
          <w:szCs w:val="22"/>
        </w:rPr>
        <w:t>Establishment and operation of the City of Miami’s goal of the Miami Region office in accordance to the Securing Cities Program. Grant funding utilized to develop local and regional capabilities to identify threads involving radioactive/nuclear materials.</w:t>
      </w:r>
      <w:r w:rsidR="00765E51" w:rsidRPr="38527ECE">
        <w:rPr>
          <w:rStyle w:val="eop"/>
          <w:rFonts w:ascii="Calibri" w:eastAsiaTheme="majorEastAsia" w:hAnsi="Calibri" w:cs="Calibri"/>
          <w:sz w:val="22"/>
          <w:szCs w:val="22"/>
        </w:rPr>
        <w:t> </w:t>
      </w:r>
    </w:p>
    <w:p w14:paraId="1BAF5EF4" w14:textId="0D2550ED" w:rsidR="00765E51" w:rsidRPr="0068511D" w:rsidRDefault="00765E51" w:rsidP="00356418">
      <w:pPr>
        <w:pStyle w:val="paragraph"/>
        <w:numPr>
          <w:ilvl w:val="0"/>
          <w:numId w:val="26"/>
        </w:numPr>
        <w:tabs>
          <w:tab w:val="clear" w:pos="720"/>
        </w:tabs>
        <w:spacing w:before="0" w:beforeAutospacing="0" w:after="0" w:afterAutospacing="0"/>
        <w:ind w:left="1080"/>
        <w:textAlignment w:val="baseline"/>
        <w:rPr>
          <w:rFonts w:ascii="Calibri" w:hAnsi="Calibri" w:cs="Calibri"/>
          <w:sz w:val="22"/>
          <w:szCs w:val="22"/>
        </w:rPr>
      </w:pPr>
      <w:r w:rsidRPr="00765E51">
        <w:rPr>
          <w:rStyle w:val="normaltextrun"/>
          <w:rFonts w:ascii="Calibri" w:eastAsiaTheme="majorEastAsia" w:hAnsi="Calibri" w:cs="Calibri"/>
          <w:sz w:val="22"/>
          <w:szCs w:val="22"/>
        </w:rPr>
        <w:t xml:space="preserve">Contact – Ki L. Harvey, Deputy Director, </w:t>
      </w:r>
      <w:hyperlink r:id="rId24" w:tgtFrame="_blank" w:history="1">
        <w:r w:rsidRPr="00765E51">
          <w:rPr>
            <w:rStyle w:val="normaltextrun"/>
            <w:rFonts w:ascii="Calibri" w:eastAsiaTheme="majorEastAsia" w:hAnsi="Calibri" w:cs="Calibri"/>
            <w:color w:val="0563C1"/>
            <w:sz w:val="22"/>
            <w:szCs w:val="22"/>
            <w:u w:val="single"/>
          </w:rPr>
          <w:t>ki.harvey@hq.dhs.gov</w:t>
        </w:r>
      </w:hyperlink>
      <w:r w:rsidRPr="00765E51">
        <w:rPr>
          <w:rStyle w:val="eop"/>
          <w:rFonts w:ascii="Calibri" w:eastAsiaTheme="majorEastAsia" w:hAnsi="Calibri" w:cs="Calibri"/>
          <w:sz w:val="22"/>
          <w:szCs w:val="22"/>
        </w:rPr>
        <w:t> </w:t>
      </w:r>
      <w:r w:rsidRPr="0068511D">
        <w:rPr>
          <w:rStyle w:val="eop"/>
          <w:rFonts w:ascii="Calibri" w:eastAsiaTheme="majorEastAsia" w:hAnsi="Calibri" w:cs="Calibri"/>
          <w:sz w:val="22"/>
          <w:szCs w:val="22"/>
        </w:rPr>
        <w:t> </w:t>
      </w:r>
    </w:p>
    <w:p w14:paraId="31DA6C11" w14:textId="77777777" w:rsidR="00765E51" w:rsidRPr="00765E51" w:rsidRDefault="00765E51" w:rsidP="00356418">
      <w:pPr>
        <w:pStyle w:val="paragraph"/>
        <w:numPr>
          <w:ilvl w:val="0"/>
          <w:numId w:val="27"/>
        </w:numPr>
        <w:spacing w:before="0" w:beforeAutospacing="0" w:after="0" w:afterAutospacing="0"/>
        <w:ind w:left="360" w:firstLine="0"/>
        <w:textAlignment w:val="baseline"/>
        <w:rPr>
          <w:rFonts w:ascii="Calibri" w:hAnsi="Calibri" w:cs="Calibri"/>
          <w:sz w:val="22"/>
          <w:szCs w:val="22"/>
        </w:rPr>
      </w:pPr>
      <w:r w:rsidRPr="00765E51">
        <w:rPr>
          <w:rStyle w:val="normaltextrun"/>
          <w:rFonts w:ascii="Calibri" w:eastAsiaTheme="majorEastAsia" w:hAnsi="Calibri" w:cs="Calibri"/>
          <w:sz w:val="22"/>
          <w:szCs w:val="22"/>
        </w:rPr>
        <w:t>City of Miami Charles Hadley Park Resilience Hub</w:t>
      </w:r>
      <w:r w:rsidRPr="00765E51">
        <w:rPr>
          <w:rStyle w:val="eop"/>
          <w:rFonts w:ascii="Calibri" w:eastAsiaTheme="majorEastAsia" w:hAnsi="Calibri" w:cs="Calibri"/>
          <w:sz w:val="22"/>
          <w:szCs w:val="22"/>
        </w:rPr>
        <w:t> </w:t>
      </w:r>
    </w:p>
    <w:p w14:paraId="23708F36" w14:textId="7B583118" w:rsidR="00765E51" w:rsidRPr="00765E51" w:rsidRDefault="00765E51" w:rsidP="00356418">
      <w:pPr>
        <w:pStyle w:val="paragraph"/>
        <w:numPr>
          <w:ilvl w:val="0"/>
          <w:numId w:val="28"/>
        </w:numPr>
        <w:tabs>
          <w:tab w:val="clear" w:pos="720"/>
        </w:tabs>
        <w:spacing w:before="0" w:beforeAutospacing="0" w:after="0" w:afterAutospacing="0"/>
        <w:ind w:left="990" w:hanging="270"/>
        <w:textAlignment w:val="baseline"/>
        <w:rPr>
          <w:rFonts w:ascii="Calibri" w:hAnsi="Calibri" w:cs="Calibri"/>
          <w:sz w:val="22"/>
          <w:szCs w:val="22"/>
        </w:rPr>
      </w:pPr>
      <w:r w:rsidRPr="00765E51">
        <w:rPr>
          <w:rStyle w:val="normaltextrun"/>
          <w:rFonts w:ascii="Calibri" w:eastAsiaTheme="majorEastAsia" w:hAnsi="Calibri" w:cs="Calibri"/>
          <w:sz w:val="22"/>
          <w:szCs w:val="22"/>
        </w:rPr>
        <w:t>Assistance agreement number (if applicable) –</w:t>
      </w:r>
      <w:r w:rsidRPr="00765E51">
        <w:rPr>
          <w:rStyle w:val="eop"/>
          <w:rFonts w:ascii="Calibri" w:eastAsiaTheme="majorEastAsia" w:hAnsi="Calibri" w:cs="Calibri"/>
          <w:sz w:val="22"/>
          <w:szCs w:val="22"/>
        </w:rPr>
        <w:t> </w:t>
      </w:r>
      <w:r w:rsidR="007946A1" w:rsidRPr="007946A1">
        <w:rPr>
          <w:rStyle w:val="eop"/>
          <w:rFonts w:ascii="Calibri" w:eastAsiaTheme="majorEastAsia" w:hAnsi="Calibri" w:cs="Calibri"/>
          <w:sz w:val="22"/>
          <w:szCs w:val="22"/>
        </w:rPr>
        <w:t>Commerce Agreement Number:</w:t>
      </w:r>
      <w:r w:rsidR="007946A1">
        <w:rPr>
          <w:rStyle w:val="eop"/>
          <w:rFonts w:ascii="Calibri" w:eastAsiaTheme="majorEastAsia" w:hAnsi="Calibri" w:cs="Calibri"/>
          <w:sz w:val="22"/>
          <w:szCs w:val="22"/>
        </w:rPr>
        <w:t xml:space="preserve"> </w:t>
      </w:r>
      <w:r w:rsidR="009E2A97" w:rsidRPr="009E2A97">
        <w:rPr>
          <w:rStyle w:val="eop"/>
          <w:rFonts w:ascii="Calibri" w:eastAsiaTheme="majorEastAsia" w:hAnsi="Calibri" w:cs="Calibri"/>
          <w:sz w:val="22"/>
          <w:szCs w:val="22"/>
        </w:rPr>
        <w:t>I0130</w:t>
      </w:r>
    </w:p>
    <w:p w14:paraId="1E282B63" w14:textId="25AD9059" w:rsidR="00765E51" w:rsidRPr="00765E51" w:rsidRDefault="5EF30577" w:rsidP="00356418">
      <w:pPr>
        <w:pStyle w:val="paragraph"/>
        <w:numPr>
          <w:ilvl w:val="0"/>
          <w:numId w:val="28"/>
        </w:numPr>
        <w:tabs>
          <w:tab w:val="clear" w:pos="720"/>
        </w:tabs>
        <w:spacing w:before="0" w:beforeAutospacing="0" w:after="0" w:afterAutospacing="0"/>
        <w:ind w:left="990" w:hanging="270"/>
        <w:textAlignment w:val="baseline"/>
        <w:rPr>
          <w:rFonts w:ascii="Calibri" w:hAnsi="Calibri" w:cs="Calibri"/>
          <w:sz w:val="22"/>
          <w:szCs w:val="22"/>
        </w:rPr>
      </w:pPr>
      <w:r w:rsidRPr="38527ECE">
        <w:rPr>
          <w:rStyle w:val="normaltextrun"/>
          <w:rFonts w:ascii="Calibri" w:eastAsiaTheme="majorEastAsia" w:hAnsi="Calibri" w:cs="Calibri"/>
          <w:sz w:val="22"/>
          <w:szCs w:val="22"/>
        </w:rPr>
        <w:t>F</w:t>
      </w:r>
      <w:r w:rsidR="00765E51" w:rsidRPr="38527ECE">
        <w:rPr>
          <w:rStyle w:val="normaltextrun"/>
          <w:rFonts w:ascii="Calibri" w:eastAsiaTheme="majorEastAsia" w:hAnsi="Calibri" w:cs="Calibri"/>
          <w:sz w:val="22"/>
          <w:szCs w:val="22"/>
        </w:rPr>
        <w:t>unding agency – Florida Department of Economic Opportunity, Assistance Listing Number</w:t>
      </w:r>
      <w:r w:rsidR="206A00C6" w:rsidRPr="38527ECE">
        <w:rPr>
          <w:rStyle w:val="normaltextrun"/>
          <w:rFonts w:ascii="Calibri" w:eastAsiaTheme="majorEastAsia" w:hAnsi="Calibri" w:cs="Calibri"/>
          <w:sz w:val="22"/>
          <w:szCs w:val="22"/>
        </w:rPr>
        <w:t xml:space="preserve">, pass-thru CDBG </w:t>
      </w:r>
    </w:p>
    <w:p w14:paraId="3032C596" w14:textId="53AA6E8F" w:rsidR="00765E51" w:rsidRPr="00765E51" w:rsidRDefault="317B798F" w:rsidP="00356418">
      <w:pPr>
        <w:pStyle w:val="paragraph"/>
        <w:numPr>
          <w:ilvl w:val="0"/>
          <w:numId w:val="28"/>
        </w:numPr>
        <w:tabs>
          <w:tab w:val="clear" w:pos="720"/>
        </w:tabs>
        <w:spacing w:before="0" w:beforeAutospacing="0" w:after="0" w:afterAutospacing="0"/>
        <w:ind w:left="990" w:hanging="270"/>
        <w:textAlignment w:val="baseline"/>
        <w:rPr>
          <w:rStyle w:val="eop"/>
          <w:rFonts w:ascii="Calibri" w:eastAsiaTheme="majorEastAsia" w:hAnsi="Calibri" w:cs="Calibri"/>
          <w:sz w:val="22"/>
          <w:szCs w:val="22"/>
        </w:rPr>
      </w:pPr>
      <w:r w:rsidRPr="38527ECE">
        <w:rPr>
          <w:rStyle w:val="normaltextrun"/>
          <w:rFonts w:ascii="Calibri" w:eastAsiaTheme="majorEastAsia" w:hAnsi="Calibri" w:cs="Calibri"/>
          <w:sz w:val="22"/>
          <w:szCs w:val="22"/>
        </w:rPr>
        <w:t xml:space="preserve">Assistance listing number </w:t>
      </w:r>
      <w:r w:rsidR="00F01BE7" w:rsidRPr="00765E51">
        <w:rPr>
          <w:rStyle w:val="normaltextrun"/>
          <w:rFonts w:ascii="Calibri" w:eastAsiaTheme="majorEastAsia" w:hAnsi="Calibri" w:cs="Calibri"/>
          <w:sz w:val="22"/>
          <w:szCs w:val="22"/>
        </w:rPr>
        <w:t>– </w:t>
      </w:r>
      <w:r w:rsidR="00E06B10" w:rsidRPr="00E06B10">
        <w:rPr>
          <w:rStyle w:val="normaltextrun"/>
          <w:rFonts w:ascii="Calibri" w:eastAsiaTheme="majorEastAsia" w:hAnsi="Calibri" w:cs="Calibri"/>
          <w:sz w:val="22"/>
          <w:szCs w:val="22"/>
        </w:rPr>
        <w:t>072220791</w:t>
      </w:r>
    </w:p>
    <w:p w14:paraId="26D2E376" w14:textId="74D598FC" w:rsidR="00765E51" w:rsidRPr="00765E51" w:rsidRDefault="00765E51" w:rsidP="00356418">
      <w:pPr>
        <w:pStyle w:val="paragraph"/>
        <w:numPr>
          <w:ilvl w:val="0"/>
          <w:numId w:val="28"/>
        </w:numPr>
        <w:tabs>
          <w:tab w:val="clear" w:pos="720"/>
        </w:tabs>
        <w:spacing w:before="0" w:beforeAutospacing="0" w:after="0" w:afterAutospacing="0"/>
        <w:ind w:left="990" w:hanging="270"/>
        <w:textAlignment w:val="baseline"/>
        <w:rPr>
          <w:rFonts w:ascii="Calibri" w:hAnsi="Calibri" w:cs="Calibri"/>
          <w:sz w:val="22"/>
          <w:szCs w:val="22"/>
        </w:rPr>
      </w:pPr>
      <w:r w:rsidRPr="38527ECE">
        <w:rPr>
          <w:rStyle w:val="normaltextrun"/>
          <w:rFonts w:ascii="Calibri" w:eastAsiaTheme="majorEastAsia" w:hAnsi="Calibri" w:cs="Calibri"/>
          <w:sz w:val="22"/>
          <w:szCs w:val="22"/>
        </w:rPr>
        <w:t>Brief description of the agreement – Build a Resilience Hub to educate, distribute resources, transmit information and provide services to our residents before, during and after an incident such as a hurricane.  Funding utilized to increase resilience of critical facility by retrofitting the building envelop, installing a new generator and install charging stations. </w:t>
      </w:r>
      <w:r w:rsidRPr="38527ECE">
        <w:rPr>
          <w:rStyle w:val="eop"/>
          <w:rFonts w:ascii="Calibri" w:eastAsiaTheme="majorEastAsia" w:hAnsi="Calibri" w:cs="Calibri"/>
          <w:sz w:val="22"/>
          <w:szCs w:val="22"/>
        </w:rPr>
        <w:t> </w:t>
      </w:r>
    </w:p>
    <w:p w14:paraId="036CE2CA" w14:textId="374A3EF0" w:rsidR="00765E51" w:rsidRPr="00765E51" w:rsidRDefault="00765E51" w:rsidP="00356418">
      <w:pPr>
        <w:pStyle w:val="paragraph"/>
        <w:numPr>
          <w:ilvl w:val="0"/>
          <w:numId w:val="28"/>
        </w:numPr>
        <w:tabs>
          <w:tab w:val="clear" w:pos="720"/>
        </w:tabs>
        <w:spacing w:before="0" w:beforeAutospacing="0" w:after="0" w:afterAutospacing="0"/>
        <w:ind w:left="990" w:right="-40" w:hanging="270"/>
        <w:textAlignment w:val="baseline"/>
        <w:rPr>
          <w:rFonts w:ascii="Calibri" w:hAnsi="Calibri" w:cs="Calibri"/>
          <w:sz w:val="22"/>
          <w:szCs w:val="22"/>
        </w:rPr>
      </w:pPr>
      <w:r w:rsidRPr="38527ECE">
        <w:rPr>
          <w:rStyle w:val="normaltextrun"/>
          <w:rFonts w:ascii="Calibri" w:eastAsiaTheme="majorEastAsia" w:hAnsi="Calibri" w:cs="Calibri"/>
          <w:sz w:val="22"/>
          <w:szCs w:val="22"/>
        </w:rPr>
        <w:t>Contact–</w:t>
      </w:r>
      <w:r w:rsidRPr="38527ECE">
        <w:rPr>
          <w:rStyle w:val="eop"/>
          <w:rFonts w:ascii="Calibri" w:eastAsiaTheme="majorEastAsia" w:hAnsi="Calibri" w:cs="Calibri"/>
          <w:sz w:val="22"/>
          <w:szCs w:val="22"/>
        </w:rPr>
        <w:t> </w:t>
      </w:r>
      <w:r w:rsidR="00465F3A" w:rsidRPr="00465F3A">
        <w:rPr>
          <w:rStyle w:val="eop"/>
          <w:rFonts w:ascii="Calibri" w:eastAsiaTheme="majorEastAsia" w:hAnsi="Calibri" w:cs="Calibri"/>
          <w:sz w:val="22"/>
          <w:szCs w:val="22"/>
        </w:rPr>
        <w:t xml:space="preserve">Anthony B. Spivey, Office of Long-Term Resiliency, 850-921-3187, </w:t>
      </w:r>
      <w:hyperlink r:id="rId25" w:history="1">
        <w:r w:rsidR="00465F3A" w:rsidRPr="001250D0">
          <w:rPr>
            <w:rStyle w:val="Hyperlink"/>
            <w:rFonts w:ascii="Calibri" w:eastAsiaTheme="majorEastAsia" w:hAnsi="Calibri" w:cs="Calibri"/>
            <w:sz w:val="22"/>
            <w:szCs w:val="22"/>
          </w:rPr>
          <w:t>Anthony.Spivey@deo.myflorida.com</w:t>
        </w:r>
      </w:hyperlink>
      <w:r w:rsidR="00465F3A">
        <w:rPr>
          <w:rStyle w:val="eop"/>
          <w:rFonts w:ascii="Calibri" w:eastAsiaTheme="majorEastAsia" w:hAnsi="Calibri" w:cs="Calibri"/>
          <w:sz w:val="22"/>
          <w:szCs w:val="22"/>
        </w:rPr>
        <w:t xml:space="preserve"> </w:t>
      </w:r>
    </w:p>
    <w:p w14:paraId="03450659" w14:textId="77777777" w:rsidR="00765E51" w:rsidRPr="00765E51" w:rsidRDefault="00765E51" w:rsidP="00356418">
      <w:pPr>
        <w:pStyle w:val="paragraph"/>
        <w:numPr>
          <w:ilvl w:val="0"/>
          <w:numId w:val="29"/>
        </w:numPr>
        <w:spacing w:before="0" w:beforeAutospacing="0" w:after="0" w:afterAutospacing="0"/>
        <w:ind w:left="360" w:firstLine="0"/>
        <w:textAlignment w:val="baseline"/>
        <w:rPr>
          <w:rFonts w:ascii="Calibri" w:hAnsi="Calibri" w:cs="Calibri"/>
          <w:sz w:val="22"/>
          <w:szCs w:val="22"/>
        </w:rPr>
      </w:pPr>
      <w:r w:rsidRPr="000805BC">
        <w:rPr>
          <w:rStyle w:val="normaltextrun"/>
          <w:rFonts w:ascii="Calibri" w:eastAsiaTheme="majorEastAsia" w:hAnsi="Calibri" w:cs="Calibri"/>
          <w:color w:val="221E1F"/>
          <w:sz w:val="22"/>
          <w:szCs w:val="22"/>
        </w:rPr>
        <w:t>FY 2022 Assistance to Firefighters (AFG) Grant</w:t>
      </w:r>
      <w:r w:rsidRPr="000805BC">
        <w:rPr>
          <w:rStyle w:val="eop"/>
          <w:rFonts w:ascii="Calibri" w:eastAsiaTheme="majorEastAsia" w:hAnsi="Calibri" w:cs="Calibri"/>
          <w:color w:val="221E1F"/>
          <w:sz w:val="22"/>
          <w:szCs w:val="22"/>
        </w:rPr>
        <w:t> </w:t>
      </w:r>
    </w:p>
    <w:p w14:paraId="0A114932" w14:textId="77777777" w:rsidR="00765E51" w:rsidRPr="00765E51" w:rsidRDefault="00765E51" w:rsidP="00356418">
      <w:pPr>
        <w:pStyle w:val="paragraph"/>
        <w:numPr>
          <w:ilvl w:val="0"/>
          <w:numId w:val="30"/>
        </w:numPr>
        <w:tabs>
          <w:tab w:val="clear" w:pos="720"/>
        </w:tabs>
        <w:spacing w:before="0" w:beforeAutospacing="0" w:after="0" w:afterAutospacing="0"/>
        <w:ind w:left="1080"/>
        <w:textAlignment w:val="baseline"/>
        <w:rPr>
          <w:rFonts w:ascii="Calibri" w:hAnsi="Calibri" w:cs="Calibri"/>
          <w:sz w:val="22"/>
          <w:szCs w:val="22"/>
        </w:rPr>
      </w:pPr>
      <w:r w:rsidRPr="00765E51">
        <w:rPr>
          <w:rStyle w:val="normaltextrun"/>
          <w:rFonts w:ascii="Calibri" w:eastAsiaTheme="majorEastAsia" w:hAnsi="Calibri" w:cs="Calibri"/>
          <w:sz w:val="22"/>
          <w:szCs w:val="22"/>
        </w:rPr>
        <w:t>Assistance agreement number (if applicable) – EMW-2022-FG-01526</w:t>
      </w:r>
      <w:r w:rsidRPr="00765E51">
        <w:rPr>
          <w:rStyle w:val="eop"/>
          <w:rFonts w:ascii="Calibri" w:eastAsiaTheme="majorEastAsia" w:hAnsi="Calibri" w:cs="Calibri"/>
          <w:sz w:val="22"/>
          <w:szCs w:val="22"/>
        </w:rPr>
        <w:t> </w:t>
      </w:r>
    </w:p>
    <w:p w14:paraId="5431B3DE" w14:textId="26039C9E" w:rsidR="00765E51" w:rsidRPr="007D580C" w:rsidRDefault="00765E51" w:rsidP="00356418">
      <w:pPr>
        <w:pStyle w:val="paragraph"/>
        <w:numPr>
          <w:ilvl w:val="0"/>
          <w:numId w:val="30"/>
        </w:numPr>
        <w:tabs>
          <w:tab w:val="clear" w:pos="720"/>
        </w:tabs>
        <w:spacing w:before="0" w:beforeAutospacing="0" w:after="0" w:afterAutospacing="0"/>
        <w:ind w:left="1080"/>
        <w:textAlignment w:val="baseline"/>
        <w:rPr>
          <w:rStyle w:val="eop"/>
          <w:rFonts w:ascii="Calibri" w:hAnsi="Calibri" w:cs="Calibri"/>
          <w:sz w:val="22"/>
          <w:szCs w:val="22"/>
        </w:rPr>
      </w:pPr>
      <w:r w:rsidRPr="00765E51">
        <w:rPr>
          <w:rStyle w:val="normaltextrun"/>
          <w:rFonts w:ascii="Calibri" w:eastAsiaTheme="majorEastAsia" w:hAnsi="Calibri" w:cs="Calibri"/>
          <w:sz w:val="22"/>
          <w:szCs w:val="22"/>
        </w:rPr>
        <w:t>Federal funding agency – Department of Homeland Security</w:t>
      </w:r>
      <w:r w:rsidR="00711187">
        <w:rPr>
          <w:rStyle w:val="normaltextrun"/>
          <w:rFonts w:ascii="Calibri" w:eastAsiaTheme="majorEastAsia" w:hAnsi="Calibri" w:cs="Calibri"/>
          <w:sz w:val="22"/>
          <w:szCs w:val="22"/>
        </w:rPr>
        <w:t>,</w:t>
      </w:r>
      <w:r w:rsidRPr="00765E51">
        <w:rPr>
          <w:rStyle w:val="normaltextrun"/>
          <w:rFonts w:ascii="Calibri" w:eastAsiaTheme="majorEastAsia" w:hAnsi="Calibri" w:cs="Calibri"/>
          <w:sz w:val="22"/>
          <w:szCs w:val="22"/>
        </w:rPr>
        <w:t xml:space="preserve"> Federal Emergency Management Agency (FEMA)</w:t>
      </w:r>
      <w:r w:rsidRPr="00765E51">
        <w:rPr>
          <w:rStyle w:val="eop"/>
          <w:rFonts w:ascii="Calibri" w:eastAsiaTheme="majorEastAsia" w:hAnsi="Calibri" w:cs="Calibri"/>
          <w:sz w:val="22"/>
          <w:szCs w:val="22"/>
        </w:rPr>
        <w:t> </w:t>
      </w:r>
    </w:p>
    <w:p w14:paraId="7C35E836" w14:textId="2BD66CD1" w:rsidR="007D580C" w:rsidRPr="00765E51" w:rsidRDefault="007D580C" w:rsidP="00356418">
      <w:pPr>
        <w:pStyle w:val="paragraph"/>
        <w:numPr>
          <w:ilvl w:val="0"/>
          <w:numId w:val="30"/>
        </w:numPr>
        <w:tabs>
          <w:tab w:val="clear" w:pos="720"/>
        </w:tabs>
        <w:spacing w:before="0" w:beforeAutospacing="0" w:after="0" w:afterAutospacing="0"/>
        <w:ind w:left="1080"/>
        <w:textAlignment w:val="baseline"/>
        <w:rPr>
          <w:rFonts w:ascii="Calibri" w:hAnsi="Calibri" w:cs="Calibri"/>
          <w:sz w:val="22"/>
          <w:szCs w:val="22"/>
        </w:rPr>
      </w:pPr>
      <w:r>
        <w:rPr>
          <w:rStyle w:val="normaltextrun"/>
          <w:rFonts w:ascii="Calibri" w:eastAsiaTheme="majorEastAsia" w:hAnsi="Calibri" w:cs="Calibri"/>
          <w:sz w:val="22"/>
          <w:szCs w:val="22"/>
        </w:rPr>
        <w:t>A</w:t>
      </w:r>
      <w:r w:rsidRPr="00765E51">
        <w:rPr>
          <w:rStyle w:val="normaltextrun"/>
          <w:rFonts w:ascii="Calibri" w:eastAsiaTheme="majorEastAsia" w:hAnsi="Calibri" w:cs="Calibri"/>
          <w:sz w:val="22"/>
          <w:szCs w:val="22"/>
        </w:rPr>
        <w:t>ssistance listing number</w:t>
      </w:r>
      <w:r>
        <w:rPr>
          <w:rStyle w:val="normaltextrun"/>
          <w:rFonts w:ascii="Calibri" w:eastAsiaTheme="majorEastAsia" w:hAnsi="Calibri" w:cs="Calibri"/>
          <w:sz w:val="22"/>
          <w:szCs w:val="22"/>
        </w:rPr>
        <w:t xml:space="preserve"> </w:t>
      </w:r>
      <w:r w:rsidR="005B022A">
        <w:rPr>
          <w:rStyle w:val="normaltextrun"/>
          <w:rFonts w:ascii="Calibri" w:eastAsiaTheme="majorEastAsia" w:hAnsi="Calibri" w:cs="Calibri"/>
          <w:sz w:val="22"/>
          <w:szCs w:val="22"/>
        </w:rPr>
        <w:t>–</w:t>
      </w:r>
      <w:r>
        <w:rPr>
          <w:rStyle w:val="normaltextrun"/>
          <w:rFonts w:ascii="Calibri" w:eastAsiaTheme="majorEastAsia" w:hAnsi="Calibri" w:cs="Calibri"/>
          <w:sz w:val="22"/>
          <w:szCs w:val="22"/>
        </w:rPr>
        <w:t xml:space="preserve"> </w:t>
      </w:r>
      <w:r w:rsidR="005B022A">
        <w:rPr>
          <w:rStyle w:val="normaltextrun"/>
          <w:rFonts w:ascii="Calibri" w:eastAsiaTheme="majorEastAsia" w:hAnsi="Calibri" w:cs="Calibri"/>
          <w:sz w:val="22"/>
          <w:szCs w:val="22"/>
        </w:rPr>
        <w:t>97.044</w:t>
      </w:r>
    </w:p>
    <w:p w14:paraId="11CE3F08" w14:textId="0480C604" w:rsidR="00765E51" w:rsidRPr="00765E51" w:rsidRDefault="00765E51" w:rsidP="00356418">
      <w:pPr>
        <w:pStyle w:val="paragraph"/>
        <w:numPr>
          <w:ilvl w:val="0"/>
          <w:numId w:val="30"/>
        </w:numPr>
        <w:tabs>
          <w:tab w:val="clear" w:pos="720"/>
        </w:tabs>
        <w:spacing w:before="0" w:beforeAutospacing="0" w:after="0" w:afterAutospacing="0"/>
        <w:ind w:left="1080"/>
        <w:textAlignment w:val="baseline"/>
        <w:rPr>
          <w:rFonts w:ascii="Calibri" w:hAnsi="Calibri" w:cs="Calibri"/>
          <w:sz w:val="22"/>
          <w:szCs w:val="22"/>
        </w:rPr>
      </w:pPr>
      <w:r w:rsidRPr="00765E51">
        <w:rPr>
          <w:rStyle w:val="normaltextrun"/>
          <w:rFonts w:ascii="Calibri" w:eastAsiaTheme="majorEastAsia" w:hAnsi="Calibri" w:cs="Calibri"/>
          <w:sz w:val="22"/>
          <w:szCs w:val="22"/>
        </w:rPr>
        <w:t>Brief description of the agreement – Grant to provide Fire Officer Development training.  The state-certified training will ensure firefighters have the skills, command capabilities, and knowledge to serve as scene commanders of a fire crew. </w:t>
      </w:r>
      <w:r w:rsidRPr="00765E51">
        <w:rPr>
          <w:rStyle w:val="eop"/>
          <w:rFonts w:ascii="Calibri" w:eastAsiaTheme="majorEastAsia" w:hAnsi="Calibri" w:cs="Calibri"/>
          <w:sz w:val="22"/>
          <w:szCs w:val="22"/>
        </w:rPr>
        <w:t> </w:t>
      </w:r>
    </w:p>
    <w:p w14:paraId="3EB35AD6" w14:textId="0FA6AF4C" w:rsidR="00765E51" w:rsidRPr="00765E51" w:rsidRDefault="00765E51" w:rsidP="00356418">
      <w:pPr>
        <w:pStyle w:val="paragraph"/>
        <w:numPr>
          <w:ilvl w:val="0"/>
          <w:numId w:val="30"/>
        </w:numPr>
        <w:tabs>
          <w:tab w:val="clear" w:pos="720"/>
        </w:tabs>
        <w:spacing w:before="0" w:beforeAutospacing="0" w:after="0" w:afterAutospacing="0"/>
        <w:ind w:left="1080"/>
        <w:textAlignment w:val="baseline"/>
        <w:rPr>
          <w:rStyle w:val="Hyperlink"/>
          <w:rFonts w:ascii="Calibri" w:eastAsia="Calibri" w:hAnsi="Calibri" w:cs="Calibri"/>
          <w:color w:val="0563C1"/>
          <w:sz w:val="22"/>
          <w:szCs w:val="22"/>
        </w:rPr>
      </w:pPr>
      <w:r w:rsidRPr="38527ECE">
        <w:rPr>
          <w:rStyle w:val="normaltextrun"/>
          <w:rFonts w:ascii="Calibri" w:eastAsiaTheme="majorEastAsia" w:hAnsi="Calibri" w:cs="Calibri"/>
          <w:sz w:val="22"/>
          <w:szCs w:val="22"/>
        </w:rPr>
        <w:t>Contact – </w:t>
      </w:r>
      <w:r w:rsidR="5EFA87F8" w:rsidRPr="38527ECE">
        <w:rPr>
          <w:rFonts w:ascii="Calibri" w:eastAsia="Calibri" w:hAnsi="Calibri" w:cs="Calibri"/>
          <w:sz w:val="22"/>
          <w:szCs w:val="22"/>
        </w:rPr>
        <w:t xml:space="preserve">Conor Jackman, Preparedness Officer, Assistance to Firefighters Grant Program | Grant Programs Directorate| Resilience, </w:t>
      </w:r>
      <w:hyperlink r:id="rId26" w:history="1">
        <w:r w:rsidR="00AB58DA" w:rsidRPr="001250D0">
          <w:rPr>
            <w:rStyle w:val="Hyperlink"/>
            <w:rFonts w:ascii="Calibri" w:eastAsia="Calibri" w:hAnsi="Calibri" w:cs="Calibri"/>
            <w:sz w:val="22"/>
            <w:szCs w:val="22"/>
          </w:rPr>
          <w:t>Conor.Jackman@fema.dhs.gov</w:t>
        </w:r>
      </w:hyperlink>
    </w:p>
    <w:p w14:paraId="104585AE" w14:textId="77777777" w:rsidR="00ED408F" w:rsidRPr="000805BC" w:rsidRDefault="0017275F" w:rsidP="00356418">
      <w:pPr>
        <w:pStyle w:val="ListParagraph"/>
        <w:numPr>
          <w:ilvl w:val="0"/>
          <w:numId w:val="29"/>
        </w:numPr>
        <w:rPr>
          <w:rFonts w:eastAsiaTheme="minorHAnsi"/>
          <w:lang w:bidi="ar-SA"/>
        </w:rPr>
      </w:pPr>
      <w:r>
        <w:t>Project Title: East Little Havana Flood Improvements and Pump Station</w:t>
      </w:r>
    </w:p>
    <w:p w14:paraId="512B8AAD" w14:textId="77777777" w:rsidR="004B1494" w:rsidRPr="004B1494" w:rsidRDefault="0017275F" w:rsidP="00356418">
      <w:pPr>
        <w:pStyle w:val="ListParagraph"/>
        <w:numPr>
          <w:ilvl w:val="1"/>
          <w:numId w:val="31"/>
        </w:numPr>
        <w:ind w:left="1080"/>
        <w:rPr>
          <w:rFonts w:eastAsiaTheme="minorHAnsi"/>
          <w:lang w:bidi="ar-SA"/>
        </w:rPr>
      </w:pPr>
      <w:r>
        <w:t>Assistance agreement number</w:t>
      </w:r>
      <w:r w:rsidR="00133954">
        <w:rPr>
          <w:rStyle w:val="normaltextrun"/>
          <w:rFonts w:eastAsiaTheme="majorEastAsia"/>
        </w:rPr>
        <w:t xml:space="preserve"> –</w:t>
      </w:r>
      <w:r>
        <w:rPr>
          <w:rStyle w:val="normaltextrun"/>
          <w:rFonts w:eastAsiaTheme="majorEastAsia"/>
        </w:rPr>
        <w:t xml:space="preserve"> </w:t>
      </w:r>
      <w:r>
        <w:t>Community Development Block Grant Mitigation Program (CDBG-MIT) (Federal</w:t>
      </w:r>
      <w:r w:rsidRPr="000805BC">
        <w:t>)</w:t>
      </w:r>
    </w:p>
    <w:p w14:paraId="3BA9A4BB" w14:textId="10CBE913" w:rsidR="0017275F" w:rsidRPr="00ED408F" w:rsidRDefault="0017275F" w:rsidP="00356418">
      <w:pPr>
        <w:pStyle w:val="ListParagraph"/>
        <w:numPr>
          <w:ilvl w:val="1"/>
          <w:numId w:val="31"/>
        </w:numPr>
        <w:ind w:left="1080"/>
        <w:rPr>
          <w:rFonts w:eastAsiaTheme="minorHAnsi"/>
          <w:lang w:bidi="ar-SA"/>
        </w:rPr>
      </w:pPr>
      <w:r>
        <w:t xml:space="preserve">Agreement </w:t>
      </w:r>
      <w:r w:rsidR="00C56D7E">
        <w:t>listing number</w:t>
      </w:r>
      <w:r>
        <w:t xml:space="preserve"> </w:t>
      </w:r>
      <w:r w:rsidR="004B1494" w:rsidRPr="000805BC">
        <w:rPr>
          <w:rStyle w:val="normaltextrun"/>
          <w:rFonts w:eastAsiaTheme="majorEastAsia"/>
        </w:rPr>
        <w:t xml:space="preserve">– </w:t>
      </w:r>
      <w:r>
        <w:t>MT122</w:t>
      </w:r>
    </w:p>
    <w:p w14:paraId="76216C94" w14:textId="2BFFC130" w:rsidR="0017275F" w:rsidRDefault="0017275F" w:rsidP="00356418">
      <w:pPr>
        <w:pStyle w:val="ListParagraph"/>
        <w:numPr>
          <w:ilvl w:val="1"/>
          <w:numId w:val="31"/>
        </w:numPr>
        <w:ind w:left="1080"/>
      </w:pPr>
      <w:r>
        <w:t>Non-federal funding agency</w:t>
      </w:r>
      <w:r w:rsidR="00541B82">
        <w:rPr>
          <w:rStyle w:val="normaltextrun"/>
          <w:rFonts w:eastAsiaTheme="majorEastAsia"/>
        </w:rPr>
        <w:t xml:space="preserve"> – </w:t>
      </w:r>
      <w:r>
        <w:t xml:space="preserve">Florida Department of Commerce </w:t>
      </w:r>
    </w:p>
    <w:p w14:paraId="7B4F5103" w14:textId="4735FE80" w:rsidR="0017275F" w:rsidRDefault="0017275F" w:rsidP="00356418">
      <w:pPr>
        <w:pStyle w:val="ListParagraph"/>
        <w:numPr>
          <w:ilvl w:val="1"/>
          <w:numId w:val="31"/>
        </w:numPr>
        <w:ind w:left="1080"/>
      </w:pPr>
      <w:r>
        <w:t>Brief description of agreement</w:t>
      </w:r>
      <w:r w:rsidR="00EF79F3">
        <w:rPr>
          <w:rStyle w:val="normaltextrun"/>
          <w:rFonts w:eastAsiaTheme="majorEastAsia"/>
        </w:rPr>
        <w:t xml:space="preserve"> –</w:t>
      </w:r>
      <w:r>
        <w:rPr>
          <w:rStyle w:val="normaltextrun"/>
          <w:rFonts w:eastAsiaTheme="majorEastAsia"/>
        </w:rPr>
        <w:t xml:space="preserve"> </w:t>
      </w:r>
      <w:r>
        <w:t xml:space="preserve">Design and construction of a new and upsized stormwater inlets and pipes, exfiltration trenches, gravity drainage wells, injection wells, and a new stormwater pump station with an outfall to the Miami River. </w:t>
      </w:r>
    </w:p>
    <w:p w14:paraId="39CC26B2" w14:textId="63E41216" w:rsidR="0017275F" w:rsidRDefault="0017275F" w:rsidP="00356418">
      <w:pPr>
        <w:pStyle w:val="ListParagraph"/>
        <w:numPr>
          <w:ilvl w:val="1"/>
          <w:numId w:val="31"/>
        </w:numPr>
        <w:ind w:left="1080"/>
      </w:pPr>
      <w:r>
        <w:t>Contact</w:t>
      </w:r>
      <w:r>
        <w:rPr>
          <w:rStyle w:val="normaltextrun"/>
          <w:rFonts w:eastAsiaTheme="majorEastAsia"/>
        </w:rPr>
        <w:t xml:space="preserve"> </w:t>
      </w:r>
      <w:r w:rsidR="00541B82">
        <w:rPr>
          <w:rStyle w:val="normaltextrun"/>
          <w:rFonts w:eastAsiaTheme="majorEastAsia"/>
        </w:rPr>
        <w:t>–</w:t>
      </w:r>
      <w:r>
        <w:rPr>
          <w:rStyle w:val="normaltextrun"/>
          <w:rFonts w:eastAsiaTheme="majorEastAsia"/>
        </w:rPr>
        <w:t xml:space="preserve"> </w:t>
      </w:r>
      <w:r>
        <w:t xml:space="preserve">Anthony B. Spivey, Office of Long-Term Resiliency, </w:t>
      </w:r>
      <w:r w:rsidRPr="0017275F">
        <w:t>850-921-3187</w:t>
      </w:r>
      <w:r w:rsidRPr="000805BC">
        <w:t xml:space="preserve">, </w:t>
      </w:r>
      <w:hyperlink r:id="rId27" w:history="1">
        <w:r>
          <w:rPr>
            <w:rStyle w:val="Hyperlink"/>
          </w:rPr>
          <w:t>Anthony.Spivey@deo.myflorida.com</w:t>
        </w:r>
      </w:hyperlink>
    </w:p>
    <w:p w14:paraId="49224FC6" w14:textId="21C6F257" w:rsidR="00F55DDD" w:rsidRPr="00F55DDD" w:rsidRDefault="00F55DDD" w:rsidP="00356418">
      <w:pPr>
        <w:pStyle w:val="Heading3"/>
        <w:numPr>
          <w:ilvl w:val="0"/>
          <w:numId w:val="10"/>
        </w:numPr>
      </w:pPr>
      <w:r w:rsidRPr="00F55DDD">
        <w:t>Reporting Requirements (10 possible</w:t>
      </w:r>
      <w:r w:rsidRPr="00F55DDD">
        <w:rPr>
          <w:spacing w:val="-8"/>
        </w:rPr>
        <w:t xml:space="preserve"> </w:t>
      </w:r>
      <w:r w:rsidRPr="00F55DDD">
        <w:t>points)</w:t>
      </w:r>
    </w:p>
    <w:p w14:paraId="7518BBBD" w14:textId="684B944B" w:rsidR="002A1FDE" w:rsidRDefault="0068511D" w:rsidP="008B57F1">
      <w:r>
        <w:t>The federal grants described in Section 6.b</w:t>
      </w:r>
      <w:r w:rsidR="001F1CE5">
        <w:t>.</w:t>
      </w:r>
      <w:r>
        <w:t xml:space="preserve"> all require</w:t>
      </w:r>
      <w:r w:rsidR="005E3132">
        <w:t xml:space="preserve"> regularly scheduled reporting through official progress reports. The City successfully meets the deadlines </w:t>
      </w:r>
      <w:r w:rsidR="00415442">
        <w:t xml:space="preserve">for the progress report submittals and includes all necessary </w:t>
      </w:r>
      <w:r w:rsidR="00812C4E">
        <w:t xml:space="preserve">progress of tasks in these reports. </w:t>
      </w:r>
      <w:r w:rsidR="00CF2516">
        <w:t>Progress reports are typically monthly or quarterly.</w:t>
      </w:r>
    </w:p>
    <w:p w14:paraId="4E951DF9" w14:textId="77777777" w:rsidR="002A1FDE" w:rsidRDefault="002A1FDE" w:rsidP="008B57F1"/>
    <w:p w14:paraId="1B056A1D" w14:textId="72E30BA7" w:rsidR="008B57F1" w:rsidRPr="00467BBE" w:rsidRDefault="00133954" w:rsidP="008B57F1">
      <w:r>
        <w:t xml:space="preserve">Examples of information </w:t>
      </w:r>
      <w:r w:rsidR="005163AC">
        <w:t>required</w:t>
      </w:r>
      <w:r>
        <w:t xml:space="preserve"> in these progress reports include </w:t>
      </w:r>
      <w:r w:rsidR="0049402F">
        <w:t>progress</w:t>
      </w:r>
      <w:r w:rsidR="00135DE6">
        <w:t xml:space="preserve"> of procur</w:t>
      </w:r>
      <w:r w:rsidR="007E11C1">
        <w:t>ing contractors</w:t>
      </w:r>
      <w:r w:rsidR="006860CE">
        <w:t>,</w:t>
      </w:r>
      <w:r w:rsidR="008844D4">
        <w:t xml:space="preserve"> </w:t>
      </w:r>
      <w:r w:rsidR="0049402F">
        <w:t xml:space="preserve">installing </w:t>
      </w:r>
      <w:r w:rsidR="008844D4">
        <w:t xml:space="preserve">impact windows and doors </w:t>
      </w:r>
      <w:r w:rsidR="005163AC">
        <w:t>in buildings</w:t>
      </w:r>
      <w:r w:rsidR="006860CE">
        <w:t xml:space="preserve">, </w:t>
      </w:r>
      <w:r w:rsidR="00A53B7D">
        <w:t>constructing large stormwater infrastructure</w:t>
      </w:r>
      <w:r w:rsidR="0049402F">
        <w:t xml:space="preserve">, and implementing training programs. </w:t>
      </w:r>
      <w:r w:rsidR="00625A18">
        <w:t xml:space="preserve">In addition, budget expenditures are included in progress reports. </w:t>
      </w:r>
    </w:p>
    <w:p w14:paraId="42C6E13A" w14:textId="4AEF5427" w:rsidR="00F55DDD" w:rsidRPr="00F55DDD" w:rsidRDefault="00F55DDD" w:rsidP="00356418">
      <w:pPr>
        <w:pStyle w:val="Heading3"/>
        <w:numPr>
          <w:ilvl w:val="0"/>
          <w:numId w:val="10"/>
        </w:numPr>
      </w:pPr>
      <w:r w:rsidRPr="00CA6681">
        <w:t>Staff Expertise</w:t>
      </w:r>
      <w:r w:rsidRPr="00F55DDD">
        <w:t xml:space="preserve"> (10 possible</w:t>
      </w:r>
      <w:r w:rsidRPr="00F55DDD">
        <w:rPr>
          <w:spacing w:val="-8"/>
        </w:rPr>
        <w:t xml:space="preserve"> </w:t>
      </w:r>
      <w:r w:rsidRPr="00F55DDD">
        <w:t>points)</w:t>
      </w:r>
    </w:p>
    <w:p w14:paraId="41D013E4" w14:textId="6CD172A1" w:rsidR="000F23ED" w:rsidRDefault="00943AB5" w:rsidP="003D51B3">
      <w:r>
        <w:rPr>
          <w:b/>
          <w:bCs/>
        </w:rPr>
        <w:t>City of Miami: Sonia Brubaker</w:t>
      </w:r>
      <w:r>
        <w:t xml:space="preserve"> is the Chief Resilience Officer for City of Miami</w:t>
      </w:r>
      <w:r w:rsidR="00F7121B">
        <w:t xml:space="preserve"> and the Director </w:t>
      </w:r>
      <w:r w:rsidR="008D0A45">
        <w:t xml:space="preserve">for </w:t>
      </w:r>
      <w:r w:rsidR="00F7121B">
        <w:t xml:space="preserve">the Office of Resilience and Sustainability. </w:t>
      </w:r>
      <w:r w:rsidR="00F70F28">
        <w:t xml:space="preserve">She works to </w:t>
      </w:r>
      <w:r w:rsidR="009A2643">
        <w:t>reduce greenhouse gas emissions to</w:t>
      </w:r>
      <w:r w:rsidR="0013532D" w:rsidRPr="0013532D">
        <w:t xml:space="preserve"> mitigate the effects of climate change related to sea level rise, intense storms, and extreme heat </w:t>
      </w:r>
      <w:r w:rsidR="00BC3DC2">
        <w:t xml:space="preserve">and provides technical and management guidance on approaches to do so </w:t>
      </w:r>
      <w:r w:rsidR="0013532D" w:rsidRPr="0013532D">
        <w:t xml:space="preserve">to City Departments, City Manager’s Office, City Commissioners, and City Mayor. </w:t>
      </w:r>
      <w:r w:rsidR="003D51B3">
        <w:t>Her work includes</w:t>
      </w:r>
      <w:r w:rsidR="000F23ED">
        <w:t xml:space="preserve"> </w:t>
      </w:r>
      <w:r w:rsidR="00F67D4B" w:rsidRPr="00ED0B57">
        <w:t>Climate M</w:t>
      </w:r>
      <w:r w:rsidR="000F23ED" w:rsidRPr="00ED0B57">
        <w:t xml:space="preserve">itigation initiatives to reduce greenhouse gases by increasing energy efficiency, advancing renewable energy, increasing electric vehicle chargers throughout the community, and advocating for electrifying the City’s fleet; and </w:t>
      </w:r>
      <w:r w:rsidR="00F67D4B" w:rsidRPr="00ED0B57">
        <w:t>Climate J</w:t>
      </w:r>
      <w:r w:rsidR="000F23ED" w:rsidRPr="00ED0B57">
        <w:t xml:space="preserve">ustice initiatives to engage with </w:t>
      </w:r>
      <w:r w:rsidR="00F67D4B" w:rsidRPr="00ED0B57">
        <w:t>disadvantaged</w:t>
      </w:r>
      <w:r w:rsidR="000F23ED" w:rsidRPr="00ED0B57">
        <w:t xml:space="preserve"> communities to increase participation and prevent climate gentrification.</w:t>
      </w:r>
      <w:r w:rsidR="000F23ED">
        <w:t xml:space="preserve"> </w:t>
      </w:r>
    </w:p>
    <w:p w14:paraId="428E1523" w14:textId="77777777" w:rsidR="00957854" w:rsidRPr="00466555" w:rsidRDefault="00957854" w:rsidP="00943AB5">
      <w:pPr>
        <w:pStyle w:val="BodyText"/>
        <w:ind w:right="590"/>
        <w:rPr>
          <w:b/>
          <w:sz w:val="16"/>
          <w:szCs w:val="16"/>
        </w:rPr>
      </w:pPr>
    </w:p>
    <w:p w14:paraId="766B0C3F" w14:textId="74A3F2AA" w:rsidR="005B4CA4" w:rsidRDefault="005B4CA4" w:rsidP="00CC3BA1">
      <w:pPr>
        <w:pStyle w:val="BodyText"/>
        <w:ind w:right="50"/>
        <w:rPr>
          <w:b/>
          <w:bCs/>
          <w:sz w:val="22"/>
          <w:szCs w:val="22"/>
        </w:rPr>
      </w:pPr>
      <w:r w:rsidRPr="005B4CA4">
        <w:rPr>
          <w:b/>
          <w:bCs/>
          <w:sz w:val="22"/>
          <w:szCs w:val="22"/>
        </w:rPr>
        <w:t xml:space="preserve">City of Miami: Alissa Farina </w:t>
      </w:r>
      <w:r w:rsidRPr="005B4CA4">
        <w:rPr>
          <w:sz w:val="22"/>
          <w:szCs w:val="22"/>
        </w:rPr>
        <w:t xml:space="preserve">is the Assistant Chief Resilience Officer for City of Miami and </w:t>
      </w:r>
      <w:r w:rsidR="004727F0">
        <w:rPr>
          <w:sz w:val="22"/>
          <w:szCs w:val="22"/>
        </w:rPr>
        <w:t>the Director for the Office of Resilience and Sustainability. She helped</w:t>
      </w:r>
      <w:r w:rsidRPr="005B4CA4">
        <w:rPr>
          <w:sz w:val="22"/>
          <w:szCs w:val="22"/>
        </w:rPr>
        <w:t xml:space="preserve"> develop the regional urban resilience strategy, Resilient305, and the </w:t>
      </w:r>
      <w:r w:rsidR="009A2643">
        <w:rPr>
          <w:sz w:val="22"/>
          <w:szCs w:val="22"/>
        </w:rPr>
        <w:t xml:space="preserve">City’s </w:t>
      </w:r>
      <w:r w:rsidRPr="005B4CA4">
        <w:rPr>
          <w:sz w:val="22"/>
          <w:szCs w:val="22"/>
        </w:rPr>
        <w:t>Miami Forever Climate Ready adaptation plan. Her extensive experience in climate and environmental projects include leading: development of the City's greenhouse gas reduction plan, development of the community engagement strategies for Climate Ready and Carbon Neutral strategies, collaboration with Catalyst Miami to define climate justice in the Carbon Neutral plan and evaluate all actions for climate justice impact, and spearheading the implementation of the City’s Resilience Hub network program.</w:t>
      </w:r>
    </w:p>
    <w:p w14:paraId="3DB4B3CB" w14:textId="77777777" w:rsidR="005B4CA4" w:rsidRPr="00466555" w:rsidRDefault="005B4CA4" w:rsidP="00CC3BA1">
      <w:pPr>
        <w:pStyle w:val="BodyText"/>
        <w:ind w:right="50"/>
        <w:rPr>
          <w:b/>
          <w:sz w:val="16"/>
          <w:szCs w:val="16"/>
        </w:rPr>
      </w:pPr>
    </w:p>
    <w:p w14:paraId="383EE36F" w14:textId="5F274A40" w:rsidR="00423373" w:rsidRPr="00F7121B" w:rsidRDefault="00423373" w:rsidP="00CC3BA1">
      <w:pPr>
        <w:pStyle w:val="BodyText"/>
        <w:ind w:right="50"/>
        <w:rPr>
          <w:sz w:val="22"/>
          <w:szCs w:val="22"/>
        </w:rPr>
      </w:pPr>
      <w:r>
        <w:rPr>
          <w:b/>
          <w:bCs/>
          <w:sz w:val="22"/>
          <w:szCs w:val="22"/>
        </w:rPr>
        <w:t>City of Miami: Hector Badia</w:t>
      </w:r>
      <w:r w:rsidR="00F7121B">
        <w:rPr>
          <w:sz w:val="22"/>
          <w:szCs w:val="22"/>
        </w:rPr>
        <w:t xml:space="preserve"> is the Director of the Office of Capital Improvements.</w:t>
      </w:r>
      <w:r w:rsidR="00B6129E">
        <w:rPr>
          <w:sz w:val="22"/>
          <w:szCs w:val="22"/>
        </w:rPr>
        <w:t xml:space="preserve"> </w:t>
      </w:r>
      <w:r w:rsidR="00B6129E" w:rsidRPr="00B6129E">
        <w:rPr>
          <w:sz w:val="22"/>
          <w:szCs w:val="22"/>
        </w:rPr>
        <w:t xml:space="preserve">He has over 30 years of experience in various facets of municipal planning, budgeting, and community development experience. </w:t>
      </w:r>
      <w:r w:rsidR="00B6129E">
        <w:rPr>
          <w:sz w:val="22"/>
          <w:szCs w:val="22"/>
        </w:rPr>
        <w:t xml:space="preserve">He </w:t>
      </w:r>
      <w:r w:rsidR="001B3F6A" w:rsidRPr="001B3F6A">
        <w:rPr>
          <w:sz w:val="22"/>
          <w:szCs w:val="22"/>
        </w:rPr>
        <w:t>has delivered over 350 projects effectively, managing a budget of over $650 million and a day-to-day workforce of 50.  He ardently designs, builds</w:t>
      </w:r>
      <w:r w:rsidR="001B3F6A">
        <w:rPr>
          <w:sz w:val="22"/>
          <w:szCs w:val="22"/>
        </w:rPr>
        <w:t>,</w:t>
      </w:r>
      <w:r w:rsidR="001B3F6A" w:rsidRPr="001B3F6A">
        <w:rPr>
          <w:sz w:val="22"/>
          <w:szCs w:val="22"/>
        </w:rPr>
        <w:t xml:space="preserve"> and promotes the amenities and infrastructure that elevate life in the City, from Historic Preservation initiatives to construction and improvements of Parks, Marinas, Roadways and Public Facilities</w:t>
      </w:r>
      <w:r w:rsidR="001B3F6A">
        <w:rPr>
          <w:sz w:val="22"/>
          <w:szCs w:val="22"/>
        </w:rPr>
        <w:t xml:space="preserve">. </w:t>
      </w:r>
      <w:r w:rsidR="00B6129E" w:rsidRPr="00B6129E">
        <w:rPr>
          <w:sz w:val="22"/>
          <w:szCs w:val="22"/>
        </w:rPr>
        <w:t xml:space="preserve">He also previously worked as a project manager at </w:t>
      </w:r>
      <w:r w:rsidR="005939F7">
        <w:rPr>
          <w:sz w:val="22"/>
          <w:szCs w:val="22"/>
        </w:rPr>
        <w:t>an</w:t>
      </w:r>
      <w:r w:rsidR="00B6129E" w:rsidRPr="00B6129E">
        <w:rPr>
          <w:sz w:val="22"/>
          <w:szCs w:val="22"/>
        </w:rPr>
        <w:t xml:space="preserve"> engineering and architectural firm.</w:t>
      </w:r>
    </w:p>
    <w:p w14:paraId="071C1100" w14:textId="77777777" w:rsidR="00423373" w:rsidRPr="00466555" w:rsidRDefault="00423373" w:rsidP="00CC3BA1">
      <w:pPr>
        <w:pStyle w:val="BodyText"/>
        <w:ind w:right="50"/>
        <w:rPr>
          <w:b/>
          <w:sz w:val="16"/>
          <w:szCs w:val="16"/>
        </w:rPr>
      </w:pPr>
    </w:p>
    <w:p w14:paraId="4E3AB61D" w14:textId="1B98E1B6" w:rsidR="00423373" w:rsidRPr="006636FB" w:rsidRDefault="00423373" w:rsidP="00CC3BA1">
      <w:pPr>
        <w:pStyle w:val="BodyText"/>
        <w:ind w:right="50"/>
        <w:rPr>
          <w:sz w:val="22"/>
          <w:szCs w:val="22"/>
        </w:rPr>
      </w:pPr>
      <w:r w:rsidRPr="00C03414">
        <w:rPr>
          <w:b/>
          <w:sz w:val="22"/>
          <w:szCs w:val="22"/>
        </w:rPr>
        <w:t>City of Miami: Alfredo Duran</w:t>
      </w:r>
      <w:r w:rsidR="006636FB" w:rsidRPr="00C03414">
        <w:rPr>
          <w:b/>
          <w:sz w:val="22"/>
          <w:szCs w:val="22"/>
        </w:rPr>
        <w:t xml:space="preserve"> </w:t>
      </w:r>
      <w:r w:rsidR="006636FB" w:rsidRPr="00C03414">
        <w:rPr>
          <w:sz w:val="22"/>
          <w:szCs w:val="22"/>
        </w:rPr>
        <w:t>is the Assistant Director for the Department of Housing and Community Development.</w:t>
      </w:r>
      <w:r w:rsidR="006636FB">
        <w:rPr>
          <w:sz w:val="22"/>
          <w:szCs w:val="22"/>
        </w:rPr>
        <w:t xml:space="preserve"> </w:t>
      </w:r>
      <w:r w:rsidR="00D3148C">
        <w:rPr>
          <w:sz w:val="22"/>
          <w:szCs w:val="22"/>
        </w:rPr>
        <w:t xml:space="preserve">He has over 30 years of experience </w:t>
      </w:r>
      <w:r w:rsidR="00F248C3">
        <w:rPr>
          <w:sz w:val="22"/>
          <w:szCs w:val="22"/>
        </w:rPr>
        <w:t xml:space="preserve">managing housing programs. </w:t>
      </w:r>
    </w:p>
    <w:p w14:paraId="4AB0C497" w14:textId="77777777" w:rsidR="00423373" w:rsidRPr="00466555" w:rsidRDefault="00423373" w:rsidP="00CC3BA1">
      <w:pPr>
        <w:pStyle w:val="BodyText"/>
        <w:ind w:right="50"/>
        <w:rPr>
          <w:b/>
          <w:sz w:val="16"/>
          <w:szCs w:val="16"/>
        </w:rPr>
      </w:pPr>
    </w:p>
    <w:p w14:paraId="1A828CE9" w14:textId="1A8D01D5" w:rsidR="00423373" w:rsidRPr="008D0A45" w:rsidRDefault="00423373" w:rsidP="00CC3BA1">
      <w:pPr>
        <w:pStyle w:val="BodyText"/>
        <w:ind w:right="50"/>
        <w:rPr>
          <w:sz w:val="22"/>
          <w:szCs w:val="22"/>
        </w:rPr>
      </w:pPr>
      <w:r>
        <w:rPr>
          <w:b/>
          <w:bCs/>
          <w:sz w:val="22"/>
          <w:szCs w:val="22"/>
        </w:rPr>
        <w:t xml:space="preserve">City of Miami: </w:t>
      </w:r>
      <w:r w:rsidR="00F7121B">
        <w:rPr>
          <w:b/>
          <w:bCs/>
          <w:sz w:val="22"/>
          <w:szCs w:val="22"/>
        </w:rPr>
        <w:t>David Gilbert</w:t>
      </w:r>
      <w:r w:rsidR="006636FB">
        <w:rPr>
          <w:b/>
          <w:bCs/>
          <w:sz w:val="22"/>
          <w:szCs w:val="22"/>
        </w:rPr>
        <w:t xml:space="preserve"> </w:t>
      </w:r>
      <w:r w:rsidR="008D0A45">
        <w:rPr>
          <w:sz w:val="22"/>
          <w:szCs w:val="22"/>
        </w:rPr>
        <w:t xml:space="preserve">is the Director for the Department of Human Services. </w:t>
      </w:r>
      <w:r w:rsidR="00014AB8" w:rsidRPr="00014AB8">
        <w:rPr>
          <w:sz w:val="22"/>
          <w:szCs w:val="22"/>
        </w:rPr>
        <w:t>He has over 20 years of experience in workforce and economic development. Prior to joining the City of Miami, David was the Assistant Director at CareerSource South Florida, where he managed various workforce development programs for at-risk youth, veterans, individuals with disabilities, homeless individuals and justice impacted individuals.</w:t>
      </w:r>
    </w:p>
    <w:p w14:paraId="48FD45DF" w14:textId="77777777" w:rsidR="00423373" w:rsidRPr="00466555" w:rsidRDefault="00423373" w:rsidP="00CC3BA1">
      <w:pPr>
        <w:pStyle w:val="BodyText"/>
        <w:ind w:right="50"/>
        <w:rPr>
          <w:b/>
          <w:sz w:val="16"/>
          <w:szCs w:val="16"/>
        </w:rPr>
      </w:pPr>
    </w:p>
    <w:p w14:paraId="1AA3153E" w14:textId="5FA7F20A" w:rsidR="00B439B3" w:rsidRPr="00FE5092" w:rsidRDefault="00FE5092" w:rsidP="00CC3BA1">
      <w:pPr>
        <w:pStyle w:val="BodyText"/>
        <w:ind w:right="50"/>
        <w:rPr>
          <w:sz w:val="22"/>
          <w:szCs w:val="22"/>
        </w:rPr>
      </w:pPr>
      <w:r w:rsidRPr="00957854">
        <w:rPr>
          <w:b/>
          <w:bCs/>
          <w:sz w:val="22"/>
          <w:szCs w:val="22"/>
        </w:rPr>
        <w:t xml:space="preserve">City of Miami: </w:t>
      </w:r>
      <w:r w:rsidR="00957854">
        <w:rPr>
          <w:b/>
          <w:bCs/>
          <w:sz w:val="22"/>
          <w:szCs w:val="22"/>
        </w:rPr>
        <w:t>ORS Projec</w:t>
      </w:r>
      <w:r w:rsidRPr="00957854">
        <w:rPr>
          <w:b/>
          <w:bCs/>
          <w:sz w:val="22"/>
          <w:szCs w:val="22"/>
        </w:rPr>
        <w:t>t Manager</w:t>
      </w:r>
      <w:r w:rsidRPr="00FE5092">
        <w:rPr>
          <w:sz w:val="22"/>
          <w:szCs w:val="22"/>
        </w:rPr>
        <w:t xml:space="preserve"> minimum requirements will include a bachelor’s degree in business or public administration, with experience in sustainability and/or resiliency.  S/he will be responsible for developing project ideas, carry-out project related assignments and administer grant.  S/he will be able to coordinate activities and meetings with partners, community organizations and residents.</w:t>
      </w:r>
    </w:p>
    <w:p w14:paraId="725D04DF" w14:textId="77777777" w:rsidR="00957854" w:rsidRPr="00466555" w:rsidRDefault="00957854" w:rsidP="00CC3BA1">
      <w:pPr>
        <w:pStyle w:val="BodyText"/>
        <w:ind w:right="50"/>
        <w:rPr>
          <w:b/>
          <w:sz w:val="18"/>
          <w:szCs w:val="18"/>
        </w:rPr>
      </w:pPr>
    </w:p>
    <w:p w14:paraId="6EB6FEC7" w14:textId="5295D047" w:rsidR="00957854" w:rsidRPr="00FE5092" w:rsidRDefault="00957854" w:rsidP="00CC3BA1">
      <w:pPr>
        <w:pStyle w:val="BodyText"/>
        <w:ind w:right="50"/>
        <w:rPr>
          <w:sz w:val="22"/>
          <w:szCs w:val="22"/>
        </w:rPr>
      </w:pPr>
      <w:r w:rsidRPr="00957854">
        <w:rPr>
          <w:b/>
          <w:bCs/>
          <w:sz w:val="22"/>
          <w:szCs w:val="22"/>
        </w:rPr>
        <w:t xml:space="preserve">City of Miami: </w:t>
      </w:r>
      <w:r>
        <w:rPr>
          <w:b/>
          <w:bCs/>
          <w:sz w:val="22"/>
          <w:szCs w:val="22"/>
        </w:rPr>
        <w:t>ORS Projec</w:t>
      </w:r>
      <w:r w:rsidRPr="00957854">
        <w:rPr>
          <w:b/>
          <w:bCs/>
          <w:sz w:val="22"/>
          <w:szCs w:val="22"/>
        </w:rPr>
        <w:t>t Manager</w:t>
      </w:r>
      <w:r w:rsidRPr="00FE5092">
        <w:rPr>
          <w:sz w:val="22"/>
          <w:szCs w:val="22"/>
        </w:rPr>
        <w:t xml:space="preserve"> minimum requirements will include a bachelor’s degree in </w:t>
      </w:r>
      <w:r w:rsidR="00BE1D99">
        <w:rPr>
          <w:sz w:val="22"/>
          <w:szCs w:val="22"/>
        </w:rPr>
        <w:t>engineering</w:t>
      </w:r>
      <w:r w:rsidRPr="00FE5092">
        <w:rPr>
          <w:sz w:val="22"/>
          <w:szCs w:val="22"/>
        </w:rPr>
        <w:t>,</w:t>
      </w:r>
      <w:r w:rsidR="00BE1D99">
        <w:rPr>
          <w:sz w:val="22"/>
          <w:szCs w:val="22"/>
        </w:rPr>
        <w:t xml:space="preserve"> architecture, </w:t>
      </w:r>
      <w:r w:rsidR="00447D08">
        <w:rPr>
          <w:sz w:val="22"/>
          <w:szCs w:val="22"/>
        </w:rPr>
        <w:t>or public policy</w:t>
      </w:r>
      <w:r w:rsidRPr="00FE5092">
        <w:rPr>
          <w:sz w:val="22"/>
          <w:szCs w:val="22"/>
        </w:rPr>
        <w:t xml:space="preserve"> with experience in </w:t>
      </w:r>
      <w:r w:rsidR="00447D08">
        <w:rPr>
          <w:sz w:val="22"/>
          <w:szCs w:val="22"/>
        </w:rPr>
        <w:t>project management</w:t>
      </w:r>
      <w:r w:rsidR="00520ADD">
        <w:rPr>
          <w:sz w:val="22"/>
          <w:szCs w:val="22"/>
        </w:rPr>
        <w:t xml:space="preserve"> and </w:t>
      </w:r>
      <w:r w:rsidR="00447D08">
        <w:rPr>
          <w:sz w:val="22"/>
          <w:szCs w:val="22"/>
        </w:rPr>
        <w:t>housing, sustainability,</w:t>
      </w:r>
      <w:r w:rsidRPr="00FE5092">
        <w:rPr>
          <w:sz w:val="22"/>
          <w:szCs w:val="22"/>
        </w:rPr>
        <w:t xml:space="preserve"> and/or resiliency.  S/he will be responsible for developing project ideas, carry-out project related assignments and administer grant.  S/he will be able to coordinate activities and meetings with partners, community organizations and residents.</w:t>
      </w:r>
    </w:p>
    <w:p w14:paraId="76875E30" w14:textId="77777777" w:rsidR="00F55DDD" w:rsidRPr="00F55DDD" w:rsidRDefault="00F55DDD" w:rsidP="00BC5C04">
      <w:pPr>
        <w:pStyle w:val="Heading2"/>
        <w:spacing w:after="0"/>
      </w:pPr>
      <w:r w:rsidRPr="00334529">
        <w:t>Section 7: Budget (45 possible points)</w:t>
      </w:r>
    </w:p>
    <w:p w14:paraId="46B606B5" w14:textId="60082388" w:rsidR="00D3788D" w:rsidRPr="00D3788D" w:rsidRDefault="00FE59CF" w:rsidP="00BC5C04">
      <w:pPr>
        <w:pStyle w:val="BodyText"/>
        <w:ind w:right="-40"/>
        <w:rPr>
          <w:sz w:val="22"/>
          <w:szCs w:val="22"/>
        </w:rPr>
      </w:pPr>
      <w:r w:rsidRPr="00260B9F">
        <w:rPr>
          <w:sz w:val="22"/>
          <w:szCs w:val="22"/>
        </w:rPr>
        <w:t xml:space="preserve">The budget for the Climate Ready Housing Programs </w:t>
      </w:r>
      <w:r w:rsidR="000122B8" w:rsidRPr="00260B9F">
        <w:rPr>
          <w:sz w:val="22"/>
          <w:szCs w:val="22"/>
        </w:rPr>
        <w:t>Suit</w:t>
      </w:r>
      <w:r w:rsidR="00260B9F" w:rsidRPr="00260B9F">
        <w:rPr>
          <w:sz w:val="22"/>
          <w:szCs w:val="22"/>
        </w:rPr>
        <w:t xml:space="preserve">e </w:t>
      </w:r>
      <w:r w:rsidR="00996D55">
        <w:rPr>
          <w:sz w:val="22"/>
          <w:szCs w:val="22"/>
        </w:rPr>
        <w:t>is</w:t>
      </w:r>
      <w:r w:rsidR="00260B9F" w:rsidRPr="00260B9F">
        <w:rPr>
          <w:sz w:val="22"/>
          <w:szCs w:val="22"/>
        </w:rPr>
        <w:t xml:space="preserve"> contained in the separately attached Budget Narrative and separately attached Budget Spreadsheet. These attachments include a detailed description of the project budget and </w:t>
      </w:r>
      <w:r w:rsidR="000F2C0C" w:rsidRPr="00260B9F">
        <w:rPr>
          <w:sz w:val="22"/>
          <w:szCs w:val="22"/>
        </w:rPr>
        <w:t>demonstrate</w:t>
      </w:r>
      <w:r w:rsidR="00260B9F" w:rsidRPr="00260B9F">
        <w:rPr>
          <w:sz w:val="22"/>
          <w:szCs w:val="22"/>
        </w:rPr>
        <w:t xml:space="preserve"> that the City of Miami will properly manage grant funds.</w:t>
      </w:r>
    </w:p>
    <w:p w14:paraId="14E88F76" w14:textId="005ABE39" w:rsidR="00F55DDD" w:rsidRDefault="00F55DDD" w:rsidP="00356418">
      <w:pPr>
        <w:pStyle w:val="Heading3"/>
        <w:numPr>
          <w:ilvl w:val="0"/>
          <w:numId w:val="20"/>
        </w:numPr>
        <w:spacing w:after="0"/>
        <w:ind w:right="-40"/>
      </w:pPr>
      <w:r w:rsidRPr="004B329B">
        <w:t>Budget Detail</w:t>
      </w:r>
      <w:r w:rsidRPr="00F55DDD">
        <w:t xml:space="preserve"> (20 possible</w:t>
      </w:r>
      <w:r w:rsidRPr="00F55DDD">
        <w:rPr>
          <w:spacing w:val="-1"/>
        </w:rPr>
        <w:t xml:space="preserve"> </w:t>
      </w:r>
      <w:r w:rsidRPr="00F55DDD">
        <w:t>points)</w:t>
      </w:r>
    </w:p>
    <w:p w14:paraId="515B6C4A" w14:textId="485B5C29" w:rsidR="00FE59CF" w:rsidRPr="00D3788D" w:rsidRDefault="00FE59CF" w:rsidP="00267164">
      <w:pPr>
        <w:pStyle w:val="BodyText"/>
        <w:ind w:left="720" w:right="-40"/>
        <w:rPr>
          <w:sz w:val="22"/>
          <w:szCs w:val="22"/>
        </w:rPr>
      </w:pPr>
      <w:r w:rsidRPr="00D3788D">
        <w:rPr>
          <w:sz w:val="22"/>
          <w:szCs w:val="22"/>
        </w:rPr>
        <w:t xml:space="preserve">See attached Budget Narrative and </w:t>
      </w:r>
      <w:r w:rsidR="00996D55">
        <w:rPr>
          <w:sz w:val="22"/>
          <w:szCs w:val="22"/>
        </w:rPr>
        <w:t xml:space="preserve">attached </w:t>
      </w:r>
      <w:r w:rsidRPr="00D3788D">
        <w:rPr>
          <w:sz w:val="22"/>
          <w:szCs w:val="22"/>
        </w:rPr>
        <w:t>Budget Spreadsheet.</w:t>
      </w:r>
    </w:p>
    <w:p w14:paraId="4D8307EA" w14:textId="17A04627" w:rsidR="00E5529C" w:rsidRDefault="00E5529C" w:rsidP="00356418">
      <w:pPr>
        <w:pStyle w:val="Heading3"/>
        <w:numPr>
          <w:ilvl w:val="0"/>
          <w:numId w:val="20"/>
        </w:numPr>
        <w:spacing w:after="0"/>
        <w:ind w:right="-40"/>
      </w:pPr>
      <w:r w:rsidRPr="00D163FB">
        <w:t>Expenditure of Awarded Funds (15 possible</w:t>
      </w:r>
      <w:r w:rsidRPr="00D163FB">
        <w:rPr>
          <w:spacing w:val="-9"/>
        </w:rPr>
        <w:t xml:space="preserve"> </w:t>
      </w:r>
      <w:r w:rsidRPr="00D163FB">
        <w:t>points)</w:t>
      </w:r>
    </w:p>
    <w:p w14:paraId="5C5DEB5D" w14:textId="7BD20AB0" w:rsidR="00FE59CF" w:rsidRPr="00ED04A8" w:rsidRDefault="00FE59CF" w:rsidP="00267164">
      <w:pPr>
        <w:pStyle w:val="BodyText"/>
        <w:ind w:left="720" w:right="-40"/>
        <w:rPr>
          <w:sz w:val="22"/>
          <w:szCs w:val="22"/>
        </w:rPr>
      </w:pPr>
      <w:r w:rsidRPr="00D3788D">
        <w:rPr>
          <w:sz w:val="22"/>
          <w:szCs w:val="22"/>
        </w:rPr>
        <w:t xml:space="preserve">See attached Budget </w:t>
      </w:r>
      <w:r w:rsidRPr="00ED04A8">
        <w:rPr>
          <w:sz w:val="22"/>
          <w:szCs w:val="22"/>
        </w:rPr>
        <w:t>Narrative</w:t>
      </w:r>
      <w:r w:rsidR="00996D55" w:rsidRPr="00ED04A8">
        <w:rPr>
          <w:sz w:val="22"/>
          <w:szCs w:val="22"/>
        </w:rPr>
        <w:t>.</w:t>
      </w:r>
    </w:p>
    <w:p w14:paraId="6B9E9D82" w14:textId="52142F64" w:rsidR="00E5529C" w:rsidRPr="00ED04A8" w:rsidRDefault="00E5529C" w:rsidP="00356418">
      <w:pPr>
        <w:pStyle w:val="Heading3"/>
        <w:numPr>
          <w:ilvl w:val="0"/>
          <w:numId w:val="20"/>
        </w:numPr>
        <w:spacing w:after="0"/>
        <w:ind w:right="-40"/>
      </w:pPr>
      <w:r w:rsidRPr="00ED04A8">
        <w:t>Reasonableness of Costs (10 possible</w:t>
      </w:r>
      <w:r w:rsidRPr="00ED04A8">
        <w:rPr>
          <w:spacing w:val="-4"/>
        </w:rPr>
        <w:t xml:space="preserve"> </w:t>
      </w:r>
      <w:r w:rsidRPr="00ED04A8">
        <w:t>points)</w:t>
      </w:r>
    </w:p>
    <w:p w14:paraId="281F7FE0" w14:textId="53DC33AA" w:rsidR="00EE0DB7" w:rsidRPr="00D3788D" w:rsidRDefault="00FE59CF" w:rsidP="00267164">
      <w:pPr>
        <w:pStyle w:val="BodyText"/>
        <w:ind w:left="720" w:right="-40"/>
        <w:rPr>
          <w:sz w:val="22"/>
          <w:szCs w:val="22"/>
        </w:rPr>
      </w:pPr>
      <w:r w:rsidRPr="00D3788D">
        <w:rPr>
          <w:sz w:val="22"/>
          <w:szCs w:val="22"/>
        </w:rPr>
        <w:t>See attached Budget Narrative</w:t>
      </w:r>
      <w:r w:rsidR="00996D55">
        <w:rPr>
          <w:sz w:val="22"/>
          <w:szCs w:val="22"/>
        </w:rPr>
        <w:t>.</w:t>
      </w:r>
    </w:p>
    <w:sectPr w:rsidR="00EE0DB7" w:rsidRPr="00D3788D" w:rsidSect="00170316">
      <w:footerReference w:type="default" r:id="rId28"/>
      <w:pgSz w:w="12240" w:h="15840"/>
      <w:pgMar w:top="1340" w:right="880" w:bottom="1080" w:left="1320" w:header="768" w:footer="2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9D391" w14:textId="77777777" w:rsidR="00170316" w:rsidRDefault="00170316" w:rsidP="00CD1BDE">
      <w:r>
        <w:separator/>
      </w:r>
    </w:p>
  </w:endnote>
  <w:endnote w:type="continuationSeparator" w:id="0">
    <w:p w14:paraId="17F9395E" w14:textId="77777777" w:rsidR="00170316" w:rsidRDefault="00170316" w:rsidP="00CD1BDE">
      <w:r>
        <w:continuationSeparator/>
      </w:r>
    </w:p>
  </w:endnote>
  <w:endnote w:type="continuationNotice" w:id="1">
    <w:p w14:paraId="48447D1B" w14:textId="77777777" w:rsidR="00170316" w:rsidRDefault="00170316"/>
  </w:endnote>
  <w:endnote w:id="2">
    <w:p w14:paraId="2170AA64" w14:textId="77777777" w:rsidR="00790971" w:rsidRPr="009762D3" w:rsidRDefault="00790971" w:rsidP="00790971">
      <w:pPr>
        <w:pStyle w:val="EndnoteText"/>
        <w:rPr>
          <w:sz w:val="16"/>
          <w:szCs w:val="16"/>
        </w:rPr>
      </w:pPr>
      <w:r w:rsidRPr="009762D3">
        <w:rPr>
          <w:rStyle w:val="EndnoteReference"/>
          <w:sz w:val="16"/>
          <w:szCs w:val="16"/>
        </w:rPr>
        <w:endnoteRef/>
      </w:r>
      <w:r w:rsidRPr="009762D3">
        <w:rPr>
          <w:sz w:val="16"/>
          <w:szCs w:val="16"/>
        </w:rPr>
        <w:t xml:space="preserve"> https://www.miamiherald.com/opinion/op-ed/article284021498.html</w:t>
      </w:r>
    </w:p>
  </w:endnote>
  <w:endnote w:id="3">
    <w:p w14:paraId="1A423AFE" w14:textId="77777777" w:rsidR="008977F4" w:rsidRPr="009762D3" w:rsidRDefault="008977F4" w:rsidP="008977F4">
      <w:pPr>
        <w:pStyle w:val="EndnoteText"/>
        <w:rPr>
          <w:sz w:val="16"/>
          <w:szCs w:val="16"/>
        </w:rPr>
      </w:pPr>
      <w:r w:rsidRPr="009762D3">
        <w:rPr>
          <w:rStyle w:val="EndnoteReference"/>
          <w:sz w:val="16"/>
          <w:szCs w:val="16"/>
        </w:rPr>
        <w:endnoteRef/>
      </w:r>
      <w:r w:rsidRPr="009762D3">
        <w:rPr>
          <w:sz w:val="16"/>
          <w:szCs w:val="16"/>
        </w:rPr>
        <w:t xml:space="preserve"> https://www.aceee.org/sites/default/files/pdfs/aceee-01_energy_burden_-_miami.pdf</w:t>
      </w:r>
    </w:p>
  </w:endnote>
  <w:endnote w:id="4">
    <w:p w14:paraId="07F7A7A8" w14:textId="77777777" w:rsidR="00697FA4" w:rsidRPr="009762D3" w:rsidRDefault="00697FA4" w:rsidP="00697FA4">
      <w:pPr>
        <w:pStyle w:val="EndnoteText"/>
        <w:rPr>
          <w:sz w:val="16"/>
          <w:szCs w:val="16"/>
        </w:rPr>
      </w:pPr>
      <w:r w:rsidRPr="009762D3">
        <w:rPr>
          <w:rStyle w:val="EndnoteReference"/>
          <w:sz w:val="16"/>
          <w:szCs w:val="16"/>
        </w:rPr>
        <w:endnoteRef/>
      </w:r>
      <w:r w:rsidRPr="009762D3">
        <w:rPr>
          <w:sz w:val="16"/>
          <w:szCs w:val="16"/>
        </w:rPr>
        <w:t xml:space="preserve"> https://www.energy.gov/sites/prod/files/2019/01/f58/WIP-Energy-Burden_final.pdf</w:t>
      </w:r>
    </w:p>
  </w:endnote>
  <w:endnote w:id="5">
    <w:p w14:paraId="077C552E" w14:textId="3117525A" w:rsidR="009A3B7E" w:rsidRPr="009762D3" w:rsidRDefault="009A3B7E">
      <w:pPr>
        <w:pStyle w:val="EndnoteText"/>
        <w:rPr>
          <w:sz w:val="16"/>
          <w:szCs w:val="16"/>
        </w:rPr>
      </w:pPr>
      <w:r w:rsidRPr="009762D3">
        <w:rPr>
          <w:rStyle w:val="EndnoteReference"/>
          <w:sz w:val="16"/>
          <w:szCs w:val="16"/>
        </w:rPr>
        <w:endnoteRef/>
      </w:r>
      <w:r w:rsidRPr="009762D3">
        <w:rPr>
          <w:sz w:val="16"/>
          <w:szCs w:val="16"/>
        </w:rPr>
        <w:t xml:space="preserve"> https://www.jchs.harvard.edu/blog/energy-insecurity-threatens-destabilize-households-winter</w:t>
      </w:r>
    </w:p>
  </w:endnote>
  <w:endnote w:id="6">
    <w:p w14:paraId="486983D7" w14:textId="77777777" w:rsidR="008977F4" w:rsidRDefault="008977F4" w:rsidP="008977F4">
      <w:pPr>
        <w:pStyle w:val="EndnoteText"/>
      </w:pPr>
      <w:r w:rsidRPr="009762D3">
        <w:rPr>
          <w:rStyle w:val="EndnoteReference"/>
          <w:sz w:val="16"/>
          <w:szCs w:val="16"/>
        </w:rPr>
        <w:endnoteRef/>
      </w:r>
      <w:r w:rsidRPr="009762D3">
        <w:rPr>
          <w:sz w:val="16"/>
          <w:szCs w:val="16"/>
        </w:rPr>
        <w:t xml:space="preserve"> https://www.aceee.org/sites/default/files/pdfs/u2006.pdf</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2178908"/>
      <w:docPartObj>
        <w:docPartGallery w:val="Page Numbers (Bottom of Page)"/>
        <w:docPartUnique/>
      </w:docPartObj>
    </w:sdtPr>
    <w:sdtEndPr>
      <w:rPr>
        <w:noProof/>
      </w:rPr>
    </w:sdtEndPr>
    <w:sdtContent>
      <w:p w14:paraId="65123F56" w14:textId="0FAE38E9" w:rsidR="00337519" w:rsidRDefault="003375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63D200" w14:textId="77777777" w:rsidR="00CD1BDE" w:rsidRDefault="00CD1B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732DC" w14:textId="77777777" w:rsidR="00170316" w:rsidRDefault="00170316" w:rsidP="00CD1BDE">
      <w:r>
        <w:separator/>
      </w:r>
    </w:p>
  </w:footnote>
  <w:footnote w:type="continuationSeparator" w:id="0">
    <w:p w14:paraId="4EC4B4EB" w14:textId="77777777" w:rsidR="00170316" w:rsidRDefault="00170316" w:rsidP="00CD1BDE">
      <w:r>
        <w:continuationSeparator/>
      </w:r>
    </w:p>
  </w:footnote>
  <w:footnote w:type="continuationNotice" w:id="1">
    <w:p w14:paraId="7C6FF259" w14:textId="77777777" w:rsidR="00170316" w:rsidRDefault="0017031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1417C"/>
    <w:multiLevelType w:val="multilevel"/>
    <w:tmpl w:val="F4227B7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5635BF"/>
    <w:multiLevelType w:val="hybridMultilevel"/>
    <w:tmpl w:val="7E24A20E"/>
    <w:lvl w:ilvl="0" w:tplc="67F24CE2">
      <w:numFmt w:val="bullet"/>
      <w:lvlText w:val="-"/>
      <w:lvlJc w:val="left"/>
      <w:pPr>
        <w:ind w:left="720" w:hanging="360"/>
      </w:pPr>
      <w:rPr>
        <w:rFonts w:ascii="Calibri" w:eastAsia="Calibri" w:hAnsi="Calibri"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CF64C8"/>
    <w:multiLevelType w:val="hybridMultilevel"/>
    <w:tmpl w:val="2DE63B7E"/>
    <w:lvl w:ilvl="0" w:tplc="67F24CE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F3089"/>
    <w:multiLevelType w:val="hybridMultilevel"/>
    <w:tmpl w:val="45F66C54"/>
    <w:lvl w:ilvl="0" w:tplc="67F24CE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0177A7"/>
    <w:multiLevelType w:val="hybridMultilevel"/>
    <w:tmpl w:val="0A6E60F0"/>
    <w:lvl w:ilvl="0" w:tplc="4552C3AE">
      <w:start w:val="1"/>
      <w:numFmt w:val="lowerLetter"/>
      <w:lvlText w:val="%1."/>
      <w:lvlJc w:val="left"/>
      <w:pPr>
        <w:ind w:left="720" w:hanging="360"/>
      </w:pPr>
      <w:rPr>
        <w:rFonts w:ascii="Calibri" w:eastAsia="Calibri" w:hAnsi="Calibri" w:cs="Calibri" w:hint="default"/>
        <w:spacing w:val="-4"/>
        <w:w w:val="100"/>
        <w:sz w:val="24"/>
        <w:szCs w:val="24"/>
        <w:u w:val="none"/>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23C38"/>
    <w:multiLevelType w:val="hybridMultilevel"/>
    <w:tmpl w:val="AA3A1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92C1C"/>
    <w:multiLevelType w:val="hybridMultilevel"/>
    <w:tmpl w:val="A34E8006"/>
    <w:lvl w:ilvl="0" w:tplc="CEFC0DD8">
      <w:start w:val="1"/>
      <w:numFmt w:val="lowerLetter"/>
      <w:lvlText w:val="%1."/>
      <w:lvlJc w:val="left"/>
      <w:pPr>
        <w:ind w:left="720" w:hanging="360"/>
      </w:pPr>
      <w:rPr>
        <w:rFonts w:ascii="Calibri" w:eastAsia="Calibri" w:hAnsi="Calibri" w:cs="Calibri" w:hint="default"/>
        <w:spacing w:val="-4"/>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F9066E"/>
    <w:multiLevelType w:val="hybridMultilevel"/>
    <w:tmpl w:val="DA6E5B58"/>
    <w:lvl w:ilvl="0" w:tplc="67F24CE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E582A"/>
    <w:multiLevelType w:val="hybridMultilevel"/>
    <w:tmpl w:val="8D00B5DC"/>
    <w:lvl w:ilvl="0" w:tplc="67F24CE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F2CD6"/>
    <w:multiLevelType w:val="hybridMultilevel"/>
    <w:tmpl w:val="88606E60"/>
    <w:lvl w:ilvl="0" w:tplc="99E0A0E8">
      <w:start w:val="1"/>
      <w:numFmt w:val="lowerLetter"/>
      <w:lvlText w:val="%1."/>
      <w:lvlJc w:val="left"/>
      <w:pPr>
        <w:ind w:left="720" w:hanging="360"/>
      </w:pPr>
      <w:rPr>
        <w:rFonts w:ascii="Calibri" w:eastAsia="Calibri" w:hAnsi="Calibri" w:cs="Calibri" w:hint="default"/>
        <w:spacing w:val="-4"/>
        <w:w w:val="100"/>
        <w:sz w:val="24"/>
        <w:szCs w:val="24"/>
        <w:u w:val="none"/>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4D1A2C"/>
    <w:multiLevelType w:val="hybridMultilevel"/>
    <w:tmpl w:val="21842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0482E"/>
    <w:multiLevelType w:val="hybridMultilevel"/>
    <w:tmpl w:val="080ABF68"/>
    <w:lvl w:ilvl="0" w:tplc="67F24CE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0866E2"/>
    <w:multiLevelType w:val="hybridMultilevel"/>
    <w:tmpl w:val="19D664B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7422E"/>
    <w:multiLevelType w:val="hybridMultilevel"/>
    <w:tmpl w:val="8B2C8A4C"/>
    <w:lvl w:ilvl="0" w:tplc="04090001">
      <w:start w:val="1"/>
      <w:numFmt w:val="bullet"/>
      <w:lvlText w:val=""/>
      <w:lvlJc w:val="left"/>
      <w:pPr>
        <w:ind w:left="720" w:hanging="360"/>
      </w:pPr>
      <w:rPr>
        <w:rFonts w:ascii="Symbol" w:hAnsi="Symbol" w:hint="default"/>
      </w:rPr>
    </w:lvl>
    <w:lvl w:ilvl="1" w:tplc="00449876">
      <w:start w:val="18"/>
      <w:numFmt w:val="bullet"/>
      <w:lvlText w:val="•"/>
      <w:lvlJc w:val="left"/>
      <w:pPr>
        <w:ind w:left="1800" w:hanging="72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5F10CF"/>
    <w:multiLevelType w:val="hybridMultilevel"/>
    <w:tmpl w:val="1B107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6F79C2"/>
    <w:multiLevelType w:val="hybridMultilevel"/>
    <w:tmpl w:val="89921F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9D4E3E"/>
    <w:multiLevelType w:val="multilevel"/>
    <w:tmpl w:val="CF603C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2A44E97"/>
    <w:multiLevelType w:val="hybridMultilevel"/>
    <w:tmpl w:val="46A6C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436F6"/>
    <w:multiLevelType w:val="hybridMultilevel"/>
    <w:tmpl w:val="22765352"/>
    <w:lvl w:ilvl="0" w:tplc="0409000F">
      <w:start w:val="1"/>
      <w:numFmt w:val="decimal"/>
      <w:lvlText w:val="%1."/>
      <w:lvlJc w:val="left"/>
      <w:pPr>
        <w:ind w:left="720" w:hanging="360"/>
      </w:pPr>
      <w:rPr>
        <w:rFonts w:hint="default"/>
        <w:spacing w:val="-4"/>
        <w:w w:val="100"/>
        <w:sz w:val="24"/>
        <w:szCs w:val="24"/>
        <w:lang w:val="en-US" w:eastAsia="en-US" w:bidi="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54D5481"/>
    <w:multiLevelType w:val="multilevel"/>
    <w:tmpl w:val="1E4E15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2F6529"/>
    <w:multiLevelType w:val="hybridMultilevel"/>
    <w:tmpl w:val="579C96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1169A"/>
    <w:multiLevelType w:val="hybridMultilevel"/>
    <w:tmpl w:val="98A0A7E6"/>
    <w:lvl w:ilvl="0" w:tplc="0409000F">
      <w:start w:val="1"/>
      <w:numFmt w:val="decimal"/>
      <w:lvlText w:val="%1."/>
      <w:lvlJc w:val="left"/>
      <w:pPr>
        <w:ind w:left="1064" w:hanging="360"/>
      </w:pPr>
    </w:lvl>
    <w:lvl w:ilvl="1" w:tplc="04090019" w:tentative="1">
      <w:start w:val="1"/>
      <w:numFmt w:val="lowerLetter"/>
      <w:lvlText w:val="%2."/>
      <w:lvlJc w:val="left"/>
      <w:pPr>
        <w:ind w:left="1784" w:hanging="360"/>
      </w:pPr>
    </w:lvl>
    <w:lvl w:ilvl="2" w:tplc="0409001B" w:tentative="1">
      <w:start w:val="1"/>
      <w:numFmt w:val="lowerRoman"/>
      <w:lvlText w:val="%3."/>
      <w:lvlJc w:val="right"/>
      <w:pPr>
        <w:ind w:left="2504" w:hanging="180"/>
      </w:pPr>
    </w:lvl>
    <w:lvl w:ilvl="3" w:tplc="0409000F" w:tentative="1">
      <w:start w:val="1"/>
      <w:numFmt w:val="decimal"/>
      <w:lvlText w:val="%4."/>
      <w:lvlJc w:val="left"/>
      <w:pPr>
        <w:ind w:left="3224" w:hanging="360"/>
      </w:pPr>
    </w:lvl>
    <w:lvl w:ilvl="4" w:tplc="04090019" w:tentative="1">
      <w:start w:val="1"/>
      <w:numFmt w:val="lowerLetter"/>
      <w:lvlText w:val="%5."/>
      <w:lvlJc w:val="left"/>
      <w:pPr>
        <w:ind w:left="3944" w:hanging="360"/>
      </w:pPr>
    </w:lvl>
    <w:lvl w:ilvl="5" w:tplc="0409001B" w:tentative="1">
      <w:start w:val="1"/>
      <w:numFmt w:val="lowerRoman"/>
      <w:lvlText w:val="%6."/>
      <w:lvlJc w:val="right"/>
      <w:pPr>
        <w:ind w:left="4664" w:hanging="180"/>
      </w:pPr>
    </w:lvl>
    <w:lvl w:ilvl="6" w:tplc="0409000F" w:tentative="1">
      <w:start w:val="1"/>
      <w:numFmt w:val="decimal"/>
      <w:lvlText w:val="%7."/>
      <w:lvlJc w:val="left"/>
      <w:pPr>
        <w:ind w:left="5384" w:hanging="360"/>
      </w:pPr>
    </w:lvl>
    <w:lvl w:ilvl="7" w:tplc="04090019" w:tentative="1">
      <w:start w:val="1"/>
      <w:numFmt w:val="lowerLetter"/>
      <w:lvlText w:val="%8."/>
      <w:lvlJc w:val="left"/>
      <w:pPr>
        <w:ind w:left="6104" w:hanging="360"/>
      </w:pPr>
    </w:lvl>
    <w:lvl w:ilvl="8" w:tplc="0409001B" w:tentative="1">
      <w:start w:val="1"/>
      <w:numFmt w:val="lowerRoman"/>
      <w:lvlText w:val="%9."/>
      <w:lvlJc w:val="right"/>
      <w:pPr>
        <w:ind w:left="6824" w:hanging="180"/>
      </w:pPr>
    </w:lvl>
  </w:abstractNum>
  <w:abstractNum w:abstractNumId="22" w15:restartNumberingAfterBreak="0">
    <w:nsid w:val="4F5C4B0A"/>
    <w:multiLevelType w:val="hybridMultilevel"/>
    <w:tmpl w:val="49D84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4532F1"/>
    <w:multiLevelType w:val="hybridMultilevel"/>
    <w:tmpl w:val="F5AC6D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D573F5"/>
    <w:multiLevelType w:val="multilevel"/>
    <w:tmpl w:val="8D741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EF536D"/>
    <w:multiLevelType w:val="multilevel"/>
    <w:tmpl w:val="68FE38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5EE13789"/>
    <w:multiLevelType w:val="multilevel"/>
    <w:tmpl w:val="69B474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78642AC"/>
    <w:multiLevelType w:val="multilevel"/>
    <w:tmpl w:val="EE1A13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9F24476"/>
    <w:multiLevelType w:val="hybridMultilevel"/>
    <w:tmpl w:val="4420FED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9" w15:restartNumberingAfterBreak="0">
    <w:nsid w:val="6A0A4110"/>
    <w:multiLevelType w:val="hybridMultilevel"/>
    <w:tmpl w:val="7C4E2DB8"/>
    <w:lvl w:ilvl="0" w:tplc="5DDC33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C3348"/>
    <w:multiLevelType w:val="multilevel"/>
    <w:tmpl w:val="79228210"/>
    <w:lvl w:ilvl="0">
      <w:start w:val="3"/>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1043929">
    <w:abstractNumId w:val="14"/>
  </w:num>
  <w:num w:numId="2" w16cid:durableId="1639140054">
    <w:abstractNumId w:val="12"/>
  </w:num>
  <w:num w:numId="3" w16cid:durableId="146633049">
    <w:abstractNumId w:val="13"/>
  </w:num>
  <w:num w:numId="4" w16cid:durableId="1469975446">
    <w:abstractNumId w:val="5"/>
  </w:num>
  <w:num w:numId="5" w16cid:durableId="974532613">
    <w:abstractNumId w:val="28"/>
  </w:num>
  <w:num w:numId="6" w16cid:durableId="47461896">
    <w:abstractNumId w:val="23"/>
  </w:num>
  <w:num w:numId="7" w16cid:durableId="1649821985">
    <w:abstractNumId w:val="20"/>
  </w:num>
  <w:num w:numId="8" w16cid:durableId="605112282">
    <w:abstractNumId w:val="15"/>
  </w:num>
  <w:num w:numId="9" w16cid:durableId="430980086">
    <w:abstractNumId w:val="4"/>
  </w:num>
  <w:num w:numId="10" w16cid:durableId="1876040670">
    <w:abstractNumId w:val="9"/>
  </w:num>
  <w:num w:numId="11" w16cid:durableId="397478392">
    <w:abstractNumId w:val="3"/>
  </w:num>
  <w:num w:numId="12" w16cid:durableId="347145480">
    <w:abstractNumId w:val="7"/>
  </w:num>
  <w:num w:numId="13" w16cid:durableId="230895262">
    <w:abstractNumId w:val="8"/>
  </w:num>
  <w:num w:numId="14" w16cid:durableId="917208349">
    <w:abstractNumId w:val="2"/>
  </w:num>
  <w:num w:numId="15" w16cid:durableId="121505008">
    <w:abstractNumId w:val="10"/>
  </w:num>
  <w:num w:numId="16" w16cid:durableId="1194613265">
    <w:abstractNumId w:val="18"/>
  </w:num>
  <w:num w:numId="17" w16cid:durableId="1609506975">
    <w:abstractNumId w:val="22"/>
  </w:num>
  <w:num w:numId="18" w16cid:durableId="1317958420">
    <w:abstractNumId w:val="17"/>
  </w:num>
  <w:num w:numId="19" w16cid:durableId="1946766032">
    <w:abstractNumId w:val="21"/>
  </w:num>
  <w:num w:numId="20" w16cid:durableId="1467430886">
    <w:abstractNumId w:val="6"/>
  </w:num>
  <w:num w:numId="21" w16cid:durableId="996500577">
    <w:abstractNumId w:val="11"/>
  </w:num>
  <w:num w:numId="22" w16cid:durableId="664436428">
    <w:abstractNumId w:val="1"/>
  </w:num>
  <w:num w:numId="23" w16cid:durableId="451676469">
    <w:abstractNumId w:val="29"/>
  </w:num>
  <w:num w:numId="24" w16cid:durableId="1464542092">
    <w:abstractNumId w:val="24"/>
  </w:num>
  <w:num w:numId="25" w16cid:durableId="2006590247">
    <w:abstractNumId w:val="25"/>
  </w:num>
  <w:num w:numId="26" w16cid:durableId="1162042747">
    <w:abstractNumId w:val="27"/>
  </w:num>
  <w:num w:numId="27" w16cid:durableId="133257306">
    <w:abstractNumId w:val="19"/>
  </w:num>
  <w:num w:numId="28" w16cid:durableId="1738242138">
    <w:abstractNumId w:val="26"/>
  </w:num>
  <w:num w:numId="29" w16cid:durableId="138036161">
    <w:abstractNumId w:val="0"/>
  </w:num>
  <w:num w:numId="30" w16cid:durableId="897666436">
    <w:abstractNumId w:val="16"/>
  </w:num>
  <w:num w:numId="31" w16cid:durableId="68161638">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DDD"/>
    <w:rsid w:val="0000067C"/>
    <w:rsid w:val="0000068B"/>
    <w:rsid w:val="00000D58"/>
    <w:rsid w:val="000012CC"/>
    <w:rsid w:val="000018B6"/>
    <w:rsid w:val="000022D4"/>
    <w:rsid w:val="0000441B"/>
    <w:rsid w:val="00004CE0"/>
    <w:rsid w:val="000057E9"/>
    <w:rsid w:val="0000698C"/>
    <w:rsid w:val="000069D0"/>
    <w:rsid w:val="000072CA"/>
    <w:rsid w:val="0000735F"/>
    <w:rsid w:val="000075C8"/>
    <w:rsid w:val="00007A0D"/>
    <w:rsid w:val="00010215"/>
    <w:rsid w:val="000103C9"/>
    <w:rsid w:val="00010FCA"/>
    <w:rsid w:val="000112B7"/>
    <w:rsid w:val="00012037"/>
    <w:rsid w:val="000121CB"/>
    <w:rsid w:val="000122B8"/>
    <w:rsid w:val="00012EA6"/>
    <w:rsid w:val="00014A8C"/>
    <w:rsid w:val="00014AB8"/>
    <w:rsid w:val="00017FF5"/>
    <w:rsid w:val="000201B8"/>
    <w:rsid w:val="000202DC"/>
    <w:rsid w:val="00021A6A"/>
    <w:rsid w:val="000242AD"/>
    <w:rsid w:val="000242CD"/>
    <w:rsid w:val="000254ED"/>
    <w:rsid w:val="0002653F"/>
    <w:rsid w:val="00026965"/>
    <w:rsid w:val="00027239"/>
    <w:rsid w:val="000304EF"/>
    <w:rsid w:val="00030DD5"/>
    <w:rsid w:val="00032B42"/>
    <w:rsid w:val="0003454D"/>
    <w:rsid w:val="00036AAD"/>
    <w:rsid w:val="00041944"/>
    <w:rsid w:val="000423FB"/>
    <w:rsid w:val="00042C4B"/>
    <w:rsid w:val="000430A3"/>
    <w:rsid w:val="00043B0F"/>
    <w:rsid w:val="000448D5"/>
    <w:rsid w:val="00045BBF"/>
    <w:rsid w:val="00046330"/>
    <w:rsid w:val="00047593"/>
    <w:rsid w:val="00047EDA"/>
    <w:rsid w:val="00050EB8"/>
    <w:rsid w:val="00050F6A"/>
    <w:rsid w:val="0005101D"/>
    <w:rsid w:val="000526D2"/>
    <w:rsid w:val="0005412F"/>
    <w:rsid w:val="000565E8"/>
    <w:rsid w:val="0005778C"/>
    <w:rsid w:val="00061EDE"/>
    <w:rsid w:val="0006436A"/>
    <w:rsid w:val="00064D89"/>
    <w:rsid w:val="00064F4F"/>
    <w:rsid w:val="00065C4D"/>
    <w:rsid w:val="00065DC4"/>
    <w:rsid w:val="000664CF"/>
    <w:rsid w:val="00067BC0"/>
    <w:rsid w:val="00070AF5"/>
    <w:rsid w:val="00070C45"/>
    <w:rsid w:val="0007128E"/>
    <w:rsid w:val="0007416A"/>
    <w:rsid w:val="00075B37"/>
    <w:rsid w:val="00076502"/>
    <w:rsid w:val="00076EB6"/>
    <w:rsid w:val="000805BC"/>
    <w:rsid w:val="0008098A"/>
    <w:rsid w:val="0008270F"/>
    <w:rsid w:val="0008297D"/>
    <w:rsid w:val="0008309B"/>
    <w:rsid w:val="000833BC"/>
    <w:rsid w:val="00083954"/>
    <w:rsid w:val="00083D36"/>
    <w:rsid w:val="000840B0"/>
    <w:rsid w:val="00084E5D"/>
    <w:rsid w:val="00085018"/>
    <w:rsid w:val="000851D2"/>
    <w:rsid w:val="00086BDB"/>
    <w:rsid w:val="00087068"/>
    <w:rsid w:val="00087F22"/>
    <w:rsid w:val="00090700"/>
    <w:rsid w:val="00090C35"/>
    <w:rsid w:val="00091436"/>
    <w:rsid w:val="0009144D"/>
    <w:rsid w:val="000917B2"/>
    <w:rsid w:val="00091844"/>
    <w:rsid w:val="00092011"/>
    <w:rsid w:val="00093A55"/>
    <w:rsid w:val="00094653"/>
    <w:rsid w:val="00095A2D"/>
    <w:rsid w:val="00097F4D"/>
    <w:rsid w:val="000A0A8B"/>
    <w:rsid w:val="000A1FBA"/>
    <w:rsid w:val="000A274E"/>
    <w:rsid w:val="000A3A95"/>
    <w:rsid w:val="000A4D88"/>
    <w:rsid w:val="000A588D"/>
    <w:rsid w:val="000A5BF0"/>
    <w:rsid w:val="000A635A"/>
    <w:rsid w:val="000A6E88"/>
    <w:rsid w:val="000A7759"/>
    <w:rsid w:val="000B05B5"/>
    <w:rsid w:val="000B090E"/>
    <w:rsid w:val="000B101A"/>
    <w:rsid w:val="000B1494"/>
    <w:rsid w:val="000B1AC4"/>
    <w:rsid w:val="000B1E97"/>
    <w:rsid w:val="000B2394"/>
    <w:rsid w:val="000B27A3"/>
    <w:rsid w:val="000B3A93"/>
    <w:rsid w:val="000B43A7"/>
    <w:rsid w:val="000B470E"/>
    <w:rsid w:val="000B6D92"/>
    <w:rsid w:val="000C0EF4"/>
    <w:rsid w:val="000C14AC"/>
    <w:rsid w:val="000C158A"/>
    <w:rsid w:val="000C1E3F"/>
    <w:rsid w:val="000C2F4B"/>
    <w:rsid w:val="000C2F88"/>
    <w:rsid w:val="000C4FE8"/>
    <w:rsid w:val="000C6796"/>
    <w:rsid w:val="000D1D64"/>
    <w:rsid w:val="000D28EA"/>
    <w:rsid w:val="000D2999"/>
    <w:rsid w:val="000D4FCF"/>
    <w:rsid w:val="000D68DF"/>
    <w:rsid w:val="000D6AEC"/>
    <w:rsid w:val="000D6B06"/>
    <w:rsid w:val="000D6C79"/>
    <w:rsid w:val="000E0A94"/>
    <w:rsid w:val="000E1333"/>
    <w:rsid w:val="000E1D44"/>
    <w:rsid w:val="000E283B"/>
    <w:rsid w:val="000E34F7"/>
    <w:rsid w:val="000E460A"/>
    <w:rsid w:val="000E47A0"/>
    <w:rsid w:val="000E535C"/>
    <w:rsid w:val="000E62DB"/>
    <w:rsid w:val="000E65BA"/>
    <w:rsid w:val="000E6B60"/>
    <w:rsid w:val="000E792B"/>
    <w:rsid w:val="000E7AC5"/>
    <w:rsid w:val="000F23ED"/>
    <w:rsid w:val="000F24B8"/>
    <w:rsid w:val="000F2C0C"/>
    <w:rsid w:val="000F2D8B"/>
    <w:rsid w:val="000F349A"/>
    <w:rsid w:val="000F397A"/>
    <w:rsid w:val="000F3AA0"/>
    <w:rsid w:val="000F3BFC"/>
    <w:rsid w:val="000F3FF6"/>
    <w:rsid w:val="000F479C"/>
    <w:rsid w:val="000F4910"/>
    <w:rsid w:val="000F5BB1"/>
    <w:rsid w:val="000F7562"/>
    <w:rsid w:val="001001E5"/>
    <w:rsid w:val="00100418"/>
    <w:rsid w:val="00100E89"/>
    <w:rsid w:val="001029D3"/>
    <w:rsid w:val="00102C9B"/>
    <w:rsid w:val="00104A6D"/>
    <w:rsid w:val="001057AC"/>
    <w:rsid w:val="00105B02"/>
    <w:rsid w:val="00106321"/>
    <w:rsid w:val="0010699A"/>
    <w:rsid w:val="00106DBC"/>
    <w:rsid w:val="00106E71"/>
    <w:rsid w:val="00107784"/>
    <w:rsid w:val="00107F24"/>
    <w:rsid w:val="001107E5"/>
    <w:rsid w:val="00110997"/>
    <w:rsid w:val="00111896"/>
    <w:rsid w:val="00111C23"/>
    <w:rsid w:val="00113798"/>
    <w:rsid w:val="00113A73"/>
    <w:rsid w:val="00113B4C"/>
    <w:rsid w:val="001142D8"/>
    <w:rsid w:val="001151FD"/>
    <w:rsid w:val="00115858"/>
    <w:rsid w:val="0011632F"/>
    <w:rsid w:val="00117B10"/>
    <w:rsid w:val="00121FA8"/>
    <w:rsid w:val="00123244"/>
    <w:rsid w:val="00123319"/>
    <w:rsid w:val="001233AD"/>
    <w:rsid w:val="00123F6D"/>
    <w:rsid w:val="001244EA"/>
    <w:rsid w:val="001246DC"/>
    <w:rsid w:val="00124985"/>
    <w:rsid w:val="0012570F"/>
    <w:rsid w:val="001260EC"/>
    <w:rsid w:val="00126EAA"/>
    <w:rsid w:val="00127BA9"/>
    <w:rsid w:val="001301F6"/>
    <w:rsid w:val="001310E0"/>
    <w:rsid w:val="001317A4"/>
    <w:rsid w:val="00131C69"/>
    <w:rsid w:val="00132704"/>
    <w:rsid w:val="00132DB2"/>
    <w:rsid w:val="0013341A"/>
    <w:rsid w:val="00133954"/>
    <w:rsid w:val="0013532D"/>
    <w:rsid w:val="0013567E"/>
    <w:rsid w:val="00135DE6"/>
    <w:rsid w:val="001366E2"/>
    <w:rsid w:val="0014021E"/>
    <w:rsid w:val="001403F6"/>
    <w:rsid w:val="00140C00"/>
    <w:rsid w:val="0014163A"/>
    <w:rsid w:val="00141AD4"/>
    <w:rsid w:val="00143179"/>
    <w:rsid w:val="00143E41"/>
    <w:rsid w:val="001442D9"/>
    <w:rsid w:val="001444EC"/>
    <w:rsid w:val="001463F8"/>
    <w:rsid w:val="0014674E"/>
    <w:rsid w:val="00150881"/>
    <w:rsid w:val="00151F55"/>
    <w:rsid w:val="00152078"/>
    <w:rsid w:val="001527FC"/>
    <w:rsid w:val="00154517"/>
    <w:rsid w:val="001552E9"/>
    <w:rsid w:val="0015670C"/>
    <w:rsid w:val="00156B89"/>
    <w:rsid w:val="00156C6C"/>
    <w:rsid w:val="00156E7C"/>
    <w:rsid w:val="001578ED"/>
    <w:rsid w:val="00161C0C"/>
    <w:rsid w:val="00161E6A"/>
    <w:rsid w:val="0016217A"/>
    <w:rsid w:val="001626E2"/>
    <w:rsid w:val="00162B3E"/>
    <w:rsid w:val="00162D83"/>
    <w:rsid w:val="00162E01"/>
    <w:rsid w:val="001643F1"/>
    <w:rsid w:val="001647F1"/>
    <w:rsid w:val="00164DAC"/>
    <w:rsid w:val="001656F9"/>
    <w:rsid w:val="00165737"/>
    <w:rsid w:val="00165901"/>
    <w:rsid w:val="00165D03"/>
    <w:rsid w:val="00166C25"/>
    <w:rsid w:val="00166E30"/>
    <w:rsid w:val="001671B0"/>
    <w:rsid w:val="0016781C"/>
    <w:rsid w:val="00170316"/>
    <w:rsid w:val="00171231"/>
    <w:rsid w:val="00171C24"/>
    <w:rsid w:val="0017275F"/>
    <w:rsid w:val="00174903"/>
    <w:rsid w:val="00175281"/>
    <w:rsid w:val="00175A94"/>
    <w:rsid w:val="00175BDC"/>
    <w:rsid w:val="00177358"/>
    <w:rsid w:val="00177CA9"/>
    <w:rsid w:val="0018086B"/>
    <w:rsid w:val="00181245"/>
    <w:rsid w:val="00182B12"/>
    <w:rsid w:val="00183375"/>
    <w:rsid w:val="00183693"/>
    <w:rsid w:val="0018394E"/>
    <w:rsid w:val="00184C4D"/>
    <w:rsid w:val="001851D4"/>
    <w:rsid w:val="00187AE6"/>
    <w:rsid w:val="001901CE"/>
    <w:rsid w:val="001935EE"/>
    <w:rsid w:val="00195340"/>
    <w:rsid w:val="0019572F"/>
    <w:rsid w:val="00196129"/>
    <w:rsid w:val="00196369"/>
    <w:rsid w:val="001A113B"/>
    <w:rsid w:val="001A20BE"/>
    <w:rsid w:val="001A229F"/>
    <w:rsid w:val="001A23FE"/>
    <w:rsid w:val="001A535E"/>
    <w:rsid w:val="001A5AAE"/>
    <w:rsid w:val="001A6730"/>
    <w:rsid w:val="001A7F81"/>
    <w:rsid w:val="001B0D7D"/>
    <w:rsid w:val="001B17FC"/>
    <w:rsid w:val="001B1E35"/>
    <w:rsid w:val="001B2328"/>
    <w:rsid w:val="001B37DC"/>
    <w:rsid w:val="001B3EA0"/>
    <w:rsid w:val="001B3F6A"/>
    <w:rsid w:val="001B5AFA"/>
    <w:rsid w:val="001B5EA4"/>
    <w:rsid w:val="001B5FE4"/>
    <w:rsid w:val="001B65B7"/>
    <w:rsid w:val="001B76CC"/>
    <w:rsid w:val="001C0DB5"/>
    <w:rsid w:val="001C32CF"/>
    <w:rsid w:val="001C3B8A"/>
    <w:rsid w:val="001C3DBE"/>
    <w:rsid w:val="001C4501"/>
    <w:rsid w:val="001C4A30"/>
    <w:rsid w:val="001C5349"/>
    <w:rsid w:val="001C534A"/>
    <w:rsid w:val="001C545C"/>
    <w:rsid w:val="001C63E8"/>
    <w:rsid w:val="001C6684"/>
    <w:rsid w:val="001C6A68"/>
    <w:rsid w:val="001C7430"/>
    <w:rsid w:val="001C76AF"/>
    <w:rsid w:val="001C7D04"/>
    <w:rsid w:val="001C7EAD"/>
    <w:rsid w:val="001D0D0C"/>
    <w:rsid w:val="001D4D20"/>
    <w:rsid w:val="001E1F6B"/>
    <w:rsid w:val="001E25C5"/>
    <w:rsid w:val="001E4B30"/>
    <w:rsid w:val="001E5274"/>
    <w:rsid w:val="001E581E"/>
    <w:rsid w:val="001E5AA7"/>
    <w:rsid w:val="001E601C"/>
    <w:rsid w:val="001E6806"/>
    <w:rsid w:val="001F0A89"/>
    <w:rsid w:val="001F0F44"/>
    <w:rsid w:val="001F0F72"/>
    <w:rsid w:val="001F1CE5"/>
    <w:rsid w:val="001F235E"/>
    <w:rsid w:val="001F251E"/>
    <w:rsid w:val="001F341F"/>
    <w:rsid w:val="001F5061"/>
    <w:rsid w:val="001F5903"/>
    <w:rsid w:val="001F7133"/>
    <w:rsid w:val="001F7213"/>
    <w:rsid w:val="001F7387"/>
    <w:rsid w:val="001F7413"/>
    <w:rsid w:val="001F741A"/>
    <w:rsid w:val="001F7FDD"/>
    <w:rsid w:val="00200B20"/>
    <w:rsid w:val="0020111B"/>
    <w:rsid w:val="002027A1"/>
    <w:rsid w:val="00202922"/>
    <w:rsid w:val="00203031"/>
    <w:rsid w:val="0020398C"/>
    <w:rsid w:val="00204CDC"/>
    <w:rsid w:val="00205321"/>
    <w:rsid w:val="002064BE"/>
    <w:rsid w:val="00206ADC"/>
    <w:rsid w:val="00206BDB"/>
    <w:rsid w:val="002104EF"/>
    <w:rsid w:val="00213283"/>
    <w:rsid w:val="0021503D"/>
    <w:rsid w:val="0021524D"/>
    <w:rsid w:val="00215DC2"/>
    <w:rsid w:val="002168EB"/>
    <w:rsid w:val="00217053"/>
    <w:rsid w:val="002177B7"/>
    <w:rsid w:val="00220644"/>
    <w:rsid w:val="00220CD4"/>
    <w:rsid w:val="00221DB9"/>
    <w:rsid w:val="002225B0"/>
    <w:rsid w:val="00222742"/>
    <w:rsid w:val="0022290E"/>
    <w:rsid w:val="002232FA"/>
    <w:rsid w:val="0022335C"/>
    <w:rsid w:val="0022476A"/>
    <w:rsid w:val="00224C85"/>
    <w:rsid w:val="00225051"/>
    <w:rsid w:val="00225091"/>
    <w:rsid w:val="00225CFB"/>
    <w:rsid w:val="00226487"/>
    <w:rsid w:val="00226664"/>
    <w:rsid w:val="00227652"/>
    <w:rsid w:val="002300D4"/>
    <w:rsid w:val="0023045C"/>
    <w:rsid w:val="002307AB"/>
    <w:rsid w:val="00230BEC"/>
    <w:rsid w:val="00231240"/>
    <w:rsid w:val="00231EB5"/>
    <w:rsid w:val="0023231B"/>
    <w:rsid w:val="00232F87"/>
    <w:rsid w:val="002342C6"/>
    <w:rsid w:val="0023595F"/>
    <w:rsid w:val="00236157"/>
    <w:rsid w:val="002361AE"/>
    <w:rsid w:val="002361D7"/>
    <w:rsid w:val="002369E8"/>
    <w:rsid w:val="00236F3D"/>
    <w:rsid w:val="00240917"/>
    <w:rsid w:val="00241536"/>
    <w:rsid w:val="00241CAE"/>
    <w:rsid w:val="00241E6F"/>
    <w:rsid w:val="00242111"/>
    <w:rsid w:val="002428CA"/>
    <w:rsid w:val="002441A7"/>
    <w:rsid w:val="002453C2"/>
    <w:rsid w:val="00246737"/>
    <w:rsid w:val="002468CD"/>
    <w:rsid w:val="00251146"/>
    <w:rsid w:val="002519C8"/>
    <w:rsid w:val="00251A52"/>
    <w:rsid w:val="002524E0"/>
    <w:rsid w:val="00252572"/>
    <w:rsid w:val="00252655"/>
    <w:rsid w:val="002529C1"/>
    <w:rsid w:val="00252DA8"/>
    <w:rsid w:val="00252E15"/>
    <w:rsid w:val="0025339A"/>
    <w:rsid w:val="00253D7C"/>
    <w:rsid w:val="00254E34"/>
    <w:rsid w:val="002558D4"/>
    <w:rsid w:val="00255BAE"/>
    <w:rsid w:val="0025640F"/>
    <w:rsid w:val="0025672C"/>
    <w:rsid w:val="00256804"/>
    <w:rsid w:val="002576D4"/>
    <w:rsid w:val="002577B4"/>
    <w:rsid w:val="00257EBF"/>
    <w:rsid w:val="00260511"/>
    <w:rsid w:val="00260B9F"/>
    <w:rsid w:val="002617F5"/>
    <w:rsid w:val="00261E11"/>
    <w:rsid w:val="002628C8"/>
    <w:rsid w:val="00262D3E"/>
    <w:rsid w:val="00263C3D"/>
    <w:rsid w:val="00264902"/>
    <w:rsid w:val="00264E93"/>
    <w:rsid w:val="0026672C"/>
    <w:rsid w:val="00267164"/>
    <w:rsid w:val="00267F66"/>
    <w:rsid w:val="0027067B"/>
    <w:rsid w:val="0027096F"/>
    <w:rsid w:val="00271EAC"/>
    <w:rsid w:val="00272041"/>
    <w:rsid w:val="0027291B"/>
    <w:rsid w:val="00273E1A"/>
    <w:rsid w:val="002747F3"/>
    <w:rsid w:val="002753F0"/>
    <w:rsid w:val="0027567B"/>
    <w:rsid w:val="00275994"/>
    <w:rsid w:val="00275FDC"/>
    <w:rsid w:val="00276AA3"/>
    <w:rsid w:val="00276B73"/>
    <w:rsid w:val="00277084"/>
    <w:rsid w:val="002815F3"/>
    <w:rsid w:val="00281752"/>
    <w:rsid w:val="002832D4"/>
    <w:rsid w:val="0028349D"/>
    <w:rsid w:val="00283824"/>
    <w:rsid w:val="00284331"/>
    <w:rsid w:val="00285953"/>
    <w:rsid w:val="00285F8C"/>
    <w:rsid w:val="002900BE"/>
    <w:rsid w:val="0029039E"/>
    <w:rsid w:val="00290942"/>
    <w:rsid w:val="00291D73"/>
    <w:rsid w:val="00292390"/>
    <w:rsid w:val="00293864"/>
    <w:rsid w:val="00293D8E"/>
    <w:rsid w:val="00294388"/>
    <w:rsid w:val="00294A3F"/>
    <w:rsid w:val="00294F80"/>
    <w:rsid w:val="002960C2"/>
    <w:rsid w:val="00297264"/>
    <w:rsid w:val="002A027D"/>
    <w:rsid w:val="002A10FE"/>
    <w:rsid w:val="002A1FDE"/>
    <w:rsid w:val="002A2592"/>
    <w:rsid w:val="002A25B3"/>
    <w:rsid w:val="002A45CC"/>
    <w:rsid w:val="002A6215"/>
    <w:rsid w:val="002A6264"/>
    <w:rsid w:val="002A7AA4"/>
    <w:rsid w:val="002B0EED"/>
    <w:rsid w:val="002B12E0"/>
    <w:rsid w:val="002B17CF"/>
    <w:rsid w:val="002B2C4C"/>
    <w:rsid w:val="002B2F10"/>
    <w:rsid w:val="002B46BD"/>
    <w:rsid w:val="002B5116"/>
    <w:rsid w:val="002B59C7"/>
    <w:rsid w:val="002B5B20"/>
    <w:rsid w:val="002B67F9"/>
    <w:rsid w:val="002B68D1"/>
    <w:rsid w:val="002B6DA7"/>
    <w:rsid w:val="002B7CA7"/>
    <w:rsid w:val="002B7FF7"/>
    <w:rsid w:val="002C00DF"/>
    <w:rsid w:val="002C027D"/>
    <w:rsid w:val="002C1010"/>
    <w:rsid w:val="002C1431"/>
    <w:rsid w:val="002C2DA7"/>
    <w:rsid w:val="002C35B1"/>
    <w:rsid w:val="002C3724"/>
    <w:rsid w:val="002C4788"/>
    <w:rsid w:val="002C4A55"/>
    <w:rsid w:val="002C559E"/>
    <w:rsid w:val="002C5B60"/>
    <w:rsid w:val="002C6DD4"/>
    <w:rsid w:val="002D0431"/>
    <w:rsid w:val="002D0703"/>
    <w:rsid w:val="002D1302"/>
    <w:rsid w:val="002D1999"/>
    <w:rsid w:val="002D1E1B"/>
    <w:rsid w:val="002D4595"/>
    <w:rsid w:val="002D4732"/>
    <w:rsid w:val="002D5D5A"/>
    <w:rsid w:val="002D6B04"/>
    <w:rsid w:val="002D6DEC"/>
    <w:rsid w:val="002D702C"/>
    <w:rsid w:val="002E0795"/>
    <w:rsid w:val="002E0BF3"/>
    <w:rsid w:val="002E1878"/>
    <w:rsid w:val="002E1972"/>
    <w:rsid w:val="002E1AA8"/>
    <w:rsid w:val="002E1FEF"/>
    <w:rsid w:val="002E3BB8"/>
    <w:rsid w:val="002E4354"/>
    <w:rsid w:val="002E4601"/>
    <w:rsid w:val="002E5DE6"/>
    <w:rsid w:val="002E6B63"/>
    <w:rsid w:val="002E7BD2"/>
    <w:rsid w:val="002F0D8B"/>
    <w:rsid w:val="002F104B"/>
    <w:rsid w:val="002F269C"/>
    <w:rsid w:val="002F367E"/>
    <w:rsid w:val="002F36B2"/>
    <w:rsid w:val="002F4AEB"/>
    <w:rsid w:val="002F7420"/>
    <w:rsid w:val="003000AB"/>
    <w:rsid w:val="00300A18"/>
    <w:rsid w:val="003023D4"/>
    <w:rsid w:val="0030368F"/>
    <w:rsid w:val="003036C4"/>
    <w:rsid w:val="00304B51"/>
    <w:rsid w:val="00305C9F"/>
    <w:rsid w:val="003060C2"/>
    <w:rsid w:val="0030707C"/>
    <w:rsid w:val="00307E4E"/>
    <w:rsid w:val="00310F4B"/>
    <w:rsid w:val="00310FF1"/>
    <w:rsid w:val="0031128E"/>
    <w:rsid w:val="0031225B"/>
    <w:rsid w:val="003122C0"/>
    <w:rsid w:val="00313408"/>
    <w:rsid w:val="0031509C"/>
    <w:rsid w:val="003161D0"/>
    <w:rsid w:val="00316B1F"/>
    <w:rsid w:val="003171B2"/>
    <w:rsid w:val="003175E5"/>
    <w:rsid w:val="00317A35"/>
    <w:rsid w:val="0032111D"/>
    <w:rsid w:val="003219E1"/>
    <w:rsid w:val="00322789"/>
    <w:rsid w:val="00322F0E"/>
    <w:rsid w:val="003232B4"/>
    <w:rsid w:val="00323380"/>
    <w:rsid w:val="00323C3F"/>
    <w:rsid w:val="00323CCA"/>
    <w:rsid w:val="00323D13"/>
    <w:rsid w:val="00324CE7"/>
    <w:rsid w:val="0032554C"/>
    <w:rsid w:val="003257A2"/>
    <w:rsid w:val="00325CEC"/>
    <w:rsid w:val="0032614B"/>
    <w:rsid w:val="003274D8"/>
    <w:rsid w:val="00327BEC"/>
    <w:rsid w:val="00331E61"/>
    <w:rsid w:val="003326C6"/>
    <w:rsid w:val="00332EA6"/>
    <w:rsid w:val="003339EE"/>
    <w:rsid w:val="00334307"/>
    <w:rsid w:val="00334529"/>
    <w:rsid w:val="00334886"/>
    <w:rsid w:val="00334934"/>
    <w:rsid w:val="00334A8E"/>
    <w:rsid w:val="00335592"/>
    <w:rsid w:val="00335852"/>
    <w:rsid w:val="00336209"/>
    <w:rsid w:val="00337519"/>
    <w:rsid w:val="00340522"/>
    <w:rsid w:val="00341AC8"/>
    <w:rsid w:val="00342834"/>
    <w:rsid w:val="00343E19"/>
    <w:rsid w:val="00346259"/>
    <w:rsid w:val="00346AE8"/>
    <w:rsid w:val="00346CFC"/>
    <w:rsid w:val="00347230"/>
    <w:rsid w:val="003473B0"/>
    <w:rsid w:val="00347D4C"/>
    <w:rsid w:val="0035061A"/>
    <w:rsid w:val="0035083D"/>
    <w:rsid w:val="00350B77"/>
    <w:rsid w:val="00352732"/>
    <w:rsid w:val="003560B0"/>
    <w:rsid w:val="00356418"/>
    <w:rsid w:val="00356777"/>
    <w:rsid w:val="0035699C"/>
    <w:rsid w:val="00356E80"/>
    <w:rsid w:val="0035749F"/>
    <w:rsid w:val="00357F3E"/>
    <w:rsid w:val="00360E1C"/>
    <w:rsid w:val="00362923"/>
    <w:rsid w:val="00363353"/>
    <w:rsid w:val="003633E1"/>
    <w:rsid w:val="0036468C"/>
    <w:rsid w:val="00365154"/>
    <w:rsid w:val="00365773"/>
    <w:rsid w:val="00366755"/>
    <w:rsid w:val="00366B88"/>
    <w:rsid w:val="00370D33"/>
    <w:rsid w:val="003710DC"/>
    <w:rsid w:val="0037127B"/>
    <w:rsid w:val="00372005"/>
    <w:rsid w:val="003726D6"/>
    <w:rsid w:val="00372CBB"/>
    <w:rsid w:val="00372FDF"/>
    <w:rsid w:val="00373AA4"/>
    <w:rsid w:val="00373BAF"/>
    <w:rsid w:val="00374175"/>
    <w:rsid w:val="003745A3"/>
    <w:rsid w:val="00374721"/>
    <w:rsid w:val="0037479E"/>
    <w:rsid w:val="00377CBC"/>
    <w:rsid w:val="00380189"/>
    <w:rsid w:val="00380943"/>
    <w:rsid w:val="003809A2"/>
    <w:rsid w:val="00382557"/>
    <w:rsid w:val="00382E32"/>
    <w:rsid w:val="00382E85"/>
    <w:rsid w:val="00383986"/>
    <w:rsid w:val="00383D14"/>
    <w:rsid w:val="0038415E"/>
    <w:rsid w:val="00384699"/>
    <w:rsid w:val="00385350"/>
    <w:rsid w:val="0038567C"/>
    <w:rsid w:val="00386CCF"/>
    <w:rsid w:val="00386DC6"/>
    <w:rsid w:val="00387659"/>
    <w:rsid w:val="0039029C"/>
    <w:rsid w:val="003909DF"/>
    <w:rsid w:val="003912FF"/>
    <w:rsid w:val="0039215B"/>
    <w:rsid w:val="00392259"/>
    <w:rsid w:val="00392412"/>
    <w:rsid w:val="00392CCB"/>
    <w:rsid w:val="0039395B"/>
    <w:rsid w:val="00393D4D"/>
    <w:rsid w:val="00395CE8"/>
    <w:rsid w:val="0039602D"/>
    <w:rsid w:val="00396128"/>
    <w:rsid w:val="003974D2"/>
    <w:rsid w:val="003A0B6B"/>
    <w:rsid w:val="003A1335"/>
    <w:rsid w:val="003A14BB"/>
    <w:rsid w:val="003A1D79"/>
    <w:rsid w:val="003A1F75"/>
    <w:rsid w:val="003A2051"/>
    <w:rsid w:val="003A37BF"/>
    <w:rsid w:val="003A39C1"/>
    <w:rsid w:val="003A4713"/>
    <w:rsid w:val="003A56B6"/>
    <w:rsid w:val="003A63B0"/>
    <w:rsid w:val="003A65F9"/>
    <w:rsid w:val="003A669E"/>
    <w:rsid w:val="003A6A57"/>
    <w:rsid w:val="003A7FFB"/>
    <w:rsid w:val="003B2617"/>
    <w:rsid w:val="003B2852"/>
    <w:rsid w:val="003B313E"/>
    <w:rsid w:val="003B46DE"/>
    <w:rsid w:val="003B4E79"/>
    <w:rsid w:val="003B5EEA"/>
    <w:rsid w:val="003B69EA"/>
    <w:rsid w:val="003B77C2"/>
    <w:rsid w:val="003B78A6"/>
    <w:rsid w:val="003B7AB7"/>
    <w:rsid w:val="003B7BB4"/>
    <w:rsid w:val="003B7BF2"/>
    <w:rsid w:val="003C01AA"/>
    <w:rsid w:val="003C0929"/>
    <w:rsid w:val="003C2767"/>
    <w:rsid w:val="003C657F"/>
    <w:rsid w:val="003C738A"/>
    <w:rsid w:val="003C739E"/>
    <w:rsid w:val="003C766C"/>
    <w:rsid w:val="003D0E7E"/>
    <w:rsid w:val="003D12CC"/>
    <w:rsid w:val="003D193D"/>
    <w:rsid w:val="003D199F"/>
    <w:rsid w:val="003D2161"/>
    <w:rsid w:val="003D2660"/>
    <w:rsid w:val="003D282F"/>
    <w:rsid w:val="003D3492"/>
    <w:rsid w:val="003D3EB2"/>
    <w:rsid w:val="003D406C"/>
    <w:rsid w:val="003D4C2C"/>
    <w:rsid w:val="003D51B3"/>
    <w:rsid w:val="003D52BF"/>
    <w:rsid w:val="003D7082"/>
    <w:rsid w:val="003D7CEB"/>
    <w:rsid w:val="003D7D7F"/>
    <w:rsid w:val="003E0CE0"/>
    <w:rsid w:val="003E2930"/>
    <w:rsid w:val="003E331A"/>
    <w:rsid w:val="003E362F"/>
    <w:rsid w:val="003E6461"/>
    <w:rsid w:val="003E7299"/>
    <w:rsid w:val="003E740C"/>
    <w:rsid w:val="003F0372"/>
    <w:rsid w:val="003F0BA2"/>
    <w:rsid w:val="003F0C14"/>
    <w:rsid w:val="003F143B"/>
    <w:rsid w:val="003F1CD9"/>
    <w:rsid w:val="003F580B"/>
    <w:rsid w:val="003F5B16"/>
    <w:rsid w:val="003F5B40"/>
    <w:rsid w:val="003F674C"/>
    <w:rsid w:val="003F76F1"/>
    <w:rsid w:val="0040053D"/>
    <w:rsid w:val="00401463"/>
    <w:rsid w:val="004015DC"/>
    <w:rsid w:val="00402488"/>
    <w:rsid w:val="00402B75"/>
    <w:rsid w:val="00402FCF"/>
    <w:rsid w:val="00403949"/>
    <w:rsid w:val="00404C5B"/>
    <w:rsid w:val="00404DE5"/>
    <w:rsid w:val="00404F8C"/>
    <w:rsid w:val="00405E8A"/>
    <w:rsid w:val="004069D2"/>
    <w:rsid w:val="00411A75"/>
    <w:rsid w:val="00412944"/>
    <w:rsid w:val="00412AA9"/>
    <w:rsid w:val="00412CDE"/>
    <w:rsid w:val="00412F26"/>
    <w:rsid w:val="004134A2"/>
    <w:rsid w:val="00413BA4"/>
    <w:rsid w:val="00413D96"/>
    <w:rsid w:val="00413F68"/>
    <w:rsid w:val="00415442"/>
    <w:rsid w:val="00415885"/>
    <w:rsid w:val="00416602"/>
    <w:rsid w:val="00416B4F"/>
    <w:rsid w:val="00417050"/>
    <w:rsid w:val="00417E89"/>
    <w:rsid w:val="00420594"/>
    <w:rsid w:val="004205F1"/>
    <w:rsid w:val="00420C25"/>
    <w:rsid w:val="0042111C"/>
    <w:rsid w:val="00421DA5"/>
    <w:rsid w:val="004228C6"/>
    <w:rsid w:val="00422EEE"/>
    <w:rsid w:val="0042329B"/>
    <w:rsid w:val="00423373"/>
    <w:rsid w:val="004235D4"/>
    <w:rsid w:val="00423C8E"/>
    <w:rsid w:val="004241A9"/>
    <w:rsid w:val="00424D59"/>
    <w:rsid w:val="004257ED"/>
    <w:rsid w:val="00425A47"/>
    <w:rsid w:val="0042667B"/>
    <w:rsid w:val="00426934"/>
    <w:rsid w:val="004273B0"/>
    <w:rsid w:val="00427982"/>
    <w:rsid w:val="00427E99"/>
    <w:rsid w:val="004306B2"/>
    <w:rsid w:val="004306C5"/>
    <w:rsid w:val="00431AA7"/>
    <w:rsid w:val="00431E4A"/>
    <w:rsid w:val="00432ADE"/>
    <w:rsid w:val="00433400"/>
    <w:rsid w:val="00433A0E"/>
    <w:rsid w:val="00433E74"/>
    <w:rsid w:val="004351E0"/>
    <w:rsid w:val="004359DA"/>
    <w:rsid w:val="00435CF5"/>
    <w:rsid w:val="00436580"/>
    <w:rsid w:val="00436F88"/>
    <w:rsid w:val="00437E5F"/>
    <w:rsid w:val="004407B0"/>
    <w:rsid w:val="00440BAD"/>
    <w:rsid w:val="00441BF8"/>
    <w:rsid w:val="00443B3C"/>
    <w:rsid w:val="004459F3"/>
    <w:rsid w:val="00445DC6"/>
    <w:rsid w:val="004460FA"/>
    <w:rsid w:val="0044755D"/>
    <w:rsid w:val="00447A74"/>
    <w:rsid w:val="00447BB0"/>
    <w:rsid w:val="00447D08"/>
    <w:rsid w:val="004517E3"/>
    <w:rsid w:val="00451EA4"/>
    <w:rsid w:val="00452EDB"/>
    <w:rsid w:val="00453CC5"/>
    <w:rsid w:val="00454FDD"/>
    <w:rsid w:val="00456D99"/>
    <w:rsid w:val="00457E75"/>
    <w:rsid w:val="00460E92"/>
    <w:rsid w:val="00462130"/>
    <w:rsid w:val="004621B9"/>
    <w:rsid w:val="0046431C"/>
    <w:rsid w:val="004655F0"/>
    <w:rsid w:val="00465F3A"/>
    <w:rsid w:val="0046611E"/>
    <w:rsid w:val="00466555"/>
    <w:rsid w:val="004669FB"/>
    <w:rsid w:val="004674B9"/>
    <w:rsid w:val="00467BBE"/>
    <w:rsid w:val="004703E2"/>
    <w:rsid w:val="00470919"/>
    <w:rsid w:val="0047160B"/>
    <w:rsid w:val="0047179F"/>
    <w:rsid w:val="00472107"/>
    <w:rsid w:val="0047272B"/>
    <w:rsid w:val="004727F0"/>
    <w:rsid w:val="004747EE"/>
    <w:rsid w:val="00474E8A"/>
    <w:rsid w:val="00475B2D"/>
    <w:rsid w:val="0047762B"/>
    <w:rsid w:val="0048010E"/>
    <w:rsid w:val="00480DDD"/>
    <w:rsid w:val="00481021"/>
    <w:rsid w:val="004812C6"/>
    <w:rsid w:val="004838B6"/>
    <w:rsid w:val="00483CAF"/>
    <w:rsid w:val="00483E77"/>
    <w:rsid w:val="004841E1"/>
    <w:rsid w:val="00484FF6"/>
    <w:rsid w:val="004851D8"/>
    <w:rsid w:val="00485243"/>
    <w:rsid w:val="00485FE9"/>
    <w:rsid w:val="0048638E"/>
    <w:rsid w:val="00486456"/>
    <w:rsid w:val="00486568"/>
    <w:rsid w:val="0048657D"/>
    <w:rsid w:val="00491D5C"/>
    <w:rsid w:val="004929FE"/>
    <w:rsid w:val="00492D62"/>
    <w:rsid w:val="00493446"/>
    <w:rsid w:val="0049402F"/>
    <w:rsid w:val="004949A3"/>
    <w:rsid w:val="00494D9F"/>
    <w:rsid w:val="00495B88"/>
    <w:rsid w:val="00497060"/>
    <w:rsid w:val="004972AE"/>
    <w:rsid w:val="004976F8"/>
    <w:rsid w:val="004A1ADE"/>
    <w:rsid w:val="004A1BE1"/>
    <w:rsid w:val="004A5B34"/>
    <w:rsid w:val="004A5BE9"/>
    <w:rsid w:val="004A5FE4"/>
    <w:rsid w:val="004A60BA"/>
    <w:rsid w:val="004A64ED"/>
    <w:rsid w:val="004A7576"/>
    <w:rsid w:val="004A78CF"/>
    <w:rsid w:val="004B00EF"/>
    <w:rsid w:val="004B1494"/>
    <w:rsid w:val="004B1675"/>
    <w:rsid w:val="004B329B"/>
    <w:rsid w:val="004B4567"/>
    <w:rsid w:val="004B4B0D"/>
    <w:rsid w:val="004B7068"/>
    <w:rsid w:val="004B71FA"/>
    <w:rsid w:val="004B7EB0"/>
    <w:rsid w:val="004C012B"/>
    <w:rsid w:val="004C0803"/>
    <w:rsid w:val="004C0C7C"/>
    <w:rsid w:val="004C1D4C"/>
    <w:rsid w:val="004C247E"/>
    <w:rsid w:val="004C2D94"/>
    <w:rsid w:val="004C4E76"/>
    <w:rsid w:val="004C5CCE"/>
    <w:rsid w:val="004C600E"/>
    <w:rsid w:val="004C613F"/>
    <w:rsid w:val="004C638B"/>
    <w:rsid w:val="004C7321"/>
    <w:rsid w:val="004C7B04"/>
    <w:rsid w:val="004D058C"/>
    <w:rsid w:val="004D0C34"/>
    <w:rsid w:val="004D1540"/>
    <w:rsid w:val="004D17BC"/>
    <w:rsid w:val="004D1880"/>
    <w:rsid w:val="004D2839"/>
    <w:rsid w:val="004D29E5"/>
    <w:rsid w:val="004D401C"/>
    <w:rsid w:val="004D5A08"/>
    <w:rsid w:val="004D62BD"/>
    <w:rsid w:val="004D6C18"/>
    <w:rsid w:val="004E06B3"/>
    <w:rsid w:val="004E087A"/>
    <w:rsid w:val="004E0ED2"/>
    <w:rsid w:val="004E1941"/>
    <w:rsid w:val="004E1F18"/>
    <w:rsid w:val="004E25C0"/>
    <w:rsid w:val="004E3208"/>
    <w:rsid w:val="004E343B"/>
    <w:rsid w:val="004E356C"/>
    <w:rsid w:val="004E36EA"/>
    <w:rsid w:val="004E384E"/>
    <w:rsid w:val="004E3C09"/>
    <w:rsid w:val="004E4C46"/>
    <w:rsid w:val="004E65B7"/>
    <w:rsid w:val="004E689B"/>
    <w:rsid w:val="004E6982"/>
    <w:rsid w:val="004E6A2B"/>
    <w:rsid w:val="004E7C07"/>
    <w:rsid w:val="004F04F7"/>
    <w:rsid w:val="004F1440"/>
    <w:rsid w:val="004F1B1E"/>
    <w:rsid w:val="004F2E85"/>
    <w:rsid w:val="004F3667"/>
    <w:rsid w:val="004F373A"/>
    <w:rsid w:val="004F51F0"/>
    <w:rsid w:val="004F51FC"/>
    <w:rsid w:val="004F5E5F"/>
    <w:rsid w:val="004F61AF"/>
    <w:rsid w:val="004F640E"/>
    <w:rsid w:val="004F663F"/>
    <w:rsid w:val="004F67CC"/>
    <w:rsid w:val="004F7C8F"/>
    <w:rsid w:val="00500577"/>
    <w:rsid w:val="005005E8"/>
    <w:rsid w:val="005007DB"/>
    <w:rsid w:val="00500E1F"/>
    <w:rsid w:val="0050268C"/>
    <w:rsid w:val="00503057"/>
    <w:rsid w:val="005041F5"/>
    <w:rsid w:val="00504B86"/>
    <w:rsid w:val="00505577"/>
    <w:rsid w:val="005070C9"/>
    <w:rsid w:val="00507C44"/>
    <w:rsid w:val="00507E09"/>
    <w:rsid w:val="00510739"/>
    <w:rsid w:val="00510FE2"/>
    <w:rsid w:val="00512726"/>
    <w:rsid w:val="00512898"/>
    <w:rsid w:val="005130D2"/>
    <w:rsid w:val="005133B6"/>
    <w:rsid w:val="0051352C"/>
    <w:rsid w:val="005139EF"/>
    <w:rsid w:val="00514208"/>
    <w:rsid w:val="005144B4"/>
    <w:rsid w:val="005145C9"/>
    <w:rsid w:val="005149FC"/>
    <w:rsid w:val="00514E88"/>
    <w:rsid w:val="00515925"/>
    <w:rsid w:val="00515E54"/>
    <w:rsid w:val="005163AC"/>
    <w:rsid w:val="00516F4A"/>
    <w:rsid w:val="00516F7B"/>
    <w:rsid w:val="00520ADD"/>
    <w:rsid w:val="00520D47"/>
    <w:rsid w:val="0052116C"/>
    <w:rsid w:val="0052196D"/>
    <w:rsid w:val="0052198C"/>
    <w:rsid w:val="00521F55"/>
    <w:rsid w:val="0052248B"/>
    <w:rsid w:val="0052271E"/>
    <w:rsid w:val="00522BD0"/>
    <w:rsid w:val="00523167"/>
    <w:rsid w:val="005241DB"/>
    <w:rsid w:val="00524C32"/>
    <w:rsid w:val="00525397"/>
    <w:rsid w:val="00525826"/>
    <w:rsid w:val="00525BE6"/>
    <w:rsid w:val="00525FEF"/>
    <w:rsid w:val="00526007"/>
    <w:rsid w:val="00526EB8"/>
    <w:rsid w:val="0052717D"/>
    <w:rsid w:val="005279A5"/>
    <w:rsid w:val="005301FC"/>
    <w:rsid w:val="0053380E"/>
    <w:rsid w:val="00533D73"/>
    <w:rsid w:val="005350F1"/>
    <w:rsid w:val="00535476"/>
    <w:rsid w:val="0053629B"/>
    <w:rsid w:val="00537222"/>
    <w:rsid w:val="00537871"/>
    <w:rsid w:val="0054073E"/>
    <w:rsid w:val="00540B66"/>
    <w:rsid w:val="00541B82"/>
    <w:rsid w:val="0054212F"/>
    <w:rsid w:val="005421E9"/>
    <w:rsid w:val="005427EA"/>
    <w:rsid w:val="00542D35"/>
    <w:rsid w:val="005440BC"/>
    <w:rsid w:val="00544366"/>
    <w:rsid w:val="005453F5"/>
    <w:rsid w:val="00545892"/>
    <w:rsid w:val="00545A84"/>
    <w:rsid w:val="005470E9"/>
    <w:rsid w:val="005473D6"/>
    <w:rsid w:val="00547CE9"/>
    <w:rsid w:val="0055058E"/>
    <w:rsid w:val="00550DCD"/>
    <w:rsid w:val="00550FAB"/>
    <w:rsid w:val="005513CA"/>
    <w:rsid w:val="00556D20"/>
    <w:rsid w:val="00556F02"/>
    <w:rsid w:val="005574D8"/>
    <w:rsid w:val="00560043"/>
    <w:rsid w:val="005601D9"/>
    <w:rsid w:val="00560A0C"/>
    <w:rsid w:val="00560B77"/>
    <w:rsid w:val="00560DE9"/>
    <w:rsid w:val="00561F60"/>
    <w:rsid w:val="00562E08"/>
    <w:rsid w:val="0056357E"/>
    <w:rsid w:val="005636B0"/>
    <w:rsid w:val="00563AB9"/>
    <w:rsid w:val="0056445C"/>
    <w:rsid w:val="00564A14"/>
    <w:rsid w:val="00564D93"/>
    <w:rsid w:val="005650C1"/>
    <w:rsid w:val="005653BF"/>
    <w:rsid w:val="00565B41"/>
    <w:rsid w:val="005662C8"/>
    <w:rsid w:val="005666E0"/>
    <w:rsid w:val="00567B62"/>
    <w:rsid w:val="00570EF0"/>
    <w:rsid w:val="005714B0"/>
    <w:rsid w:val="00572167"/>
    <w:rsid w:val="005722E8"/>
    <w:rsid w:val="00572509"/>
    <w:rsid w:val="00572DBB"/>
    <w:rsid w:val="00573871"/>
    <w:rsid w:val="00573CB3"/>
    <w:rsid w:val="0057417A"/>
    <w:rsid w:val="00574595"/>
    <w:rsid w:val="00574921"/>
    <w:rsid w:val="00575B26"/>
    <w:rsid w:val="00575F6D"/>
    <w:rsid w:val="00576CDE"/>
    <w:rsid w:val="00576E54"/>
    <w:rsid w:val="00576FF6"/>
    <w:rsid w:val="00577194"/>
    <w:rsid w:val="005817BC"/>
    <w:rsid w:val="005825D8"/>
    <w:rsid w:val="005829CA"/>
    <w:rsid w:val="00582FB9"/>
    <w:rsid w:val="005837B3"/>
    <w:rsid w:val="005853F3"/>
    <w:rsid w:val="00585D08"/>
    <w:rsid w:val="005861FC"/>
    <w:rsid w:val="00586B7E"/>
    <w:rsid w:val="005870F4"/>
    <w:rsid w:val="00587E7A"/>
    <w:rsid w:val="00590C88"/>
    <w:rsid w:val="00591CBE"/>
    <w:rsid w:val="0059272C"/>
    <w:rsid w:val="005939F7"/>
    <w:rsid w:val="0059426C"/>
    <w:rsid w:val="00594838"/>
    <w:rsid w:val="00596225"/>
    <w:rsid w:val="00596469"/>
    <w:rsid w:val="0059682C"/>
    <w:rsid w:val="00596854"/>
    <w:rsid w:val="00596BF5"/>
    <w:rsid w:val="00597459"/>
    <w:rsid w:val="00597866"/>
    <w:rsid w:val="00597C1F"/>
    <w:rsid w:val="005A0294"/>
    <w:rsid w:val="005A0658"/>
    <w:rsid w:val="005A07DA"/>
    <w:rsid w:val="005A096C"/>
    <w:rsid w:val="005A107F"/>
    <w:rsid w:val="005A2909"/>
    <w:rsid w:val="005A2BFB"/>
    <w:rsid w:val="005A3608"/>
    <w:rsid w:val="005A4BEF"/>
    <w:rsid w:val="005A5203"/>
    <w:rsid w:val="005A6453"/>
    <w:rsid w:val="005A70FD"/>
    <w:rsid w:val="005B022A"/>
    <w:rsid w:val="005B0590"/>
    <w:rsid w:val="005B10F8"/>
    <w:rsid w:val="005B129F"/>
    <w:rsid w:val="005B1CE2"/>
    <w:rsid w:val="005B1D4C"/>
    <w:rsid w:val="005B1DE6"/>
    <w:rsid w:val="005B4134"/>
    <w:rsid w:val="005B4657"/>
    <w:rsid w:val="005B4992"/>
    <w:rsid w:val="005B4CA4"/>
    <w:rsid w:val="005B5593"/>
    <w:rsid w:val="005B5ABA"/>
    <w:rsid w:val="005B5B2C"/>
    <w:rsid w:val="005B765B"/>
    <w:rsid w:val="005B7687"/>
    <w:rsid w:val="005B7BE4"/>
    <w:rsid w:val="005B7C62"/>
    <w:rsid w:val="005C0921"/>
    <w:rsid w:val="005C17C3"/>
    <w:rsid w:val="005C21E6"/>
    <w:rsid w:val="005C2FC5"/>
    <w:rsid w:val="005C324D"/>
    <w:rsid w:val="005C4610"/>
    <w:rsid w:val="005C52B6"/>
    <w:rsid w:val="005C62BC"/>
    <w:rsid w:val="005C667D"/>
    <w:rsid w:val="005C66F8"/>
    <w:rsid w:val="005C67D0"/>
    <w:rsid w:val="005C7B05"/>
    <w:rsid w:val="005D0DFB"/>
    <w:rsid w:val="005D18E6"/>
    <w:rsid w:val="005D2060"/>
    <w:rsid w:val="005D29E7"/>
    <w:rsid w:val="005D2A4B"/>
    <w:rsid w:val="005D3116"/>
    <w:rsid w:val="005D4917"/>
    <w:rsid w:val="005D5431"/>
    <w:rsid w:val="005D5820"/>
    <w:rsid w:val="005D6822"/>
    <w:rsid w:val="005D7106"/>
    <w:rsid w:val="005D7C6F"/>
    <w:rsid w:val="005D7F74"/>
    <w:rsid w:val="005E0561"/>
    <w:rsid w:val="005E10C5"/>
    <w:rsid w:val="005E19F4"/>
    <w:rsid w:val="005E2472"/>
    <w:rsid w:val="005E27B3"/>
    <w:rsid w:val="005E27B4"/>
    <w:rsid w:val="005E2DEB"/>
    <w:rsid w:val="005E3132"/>
    <w:rsid w:val="005E33BB"/>
    <w:rsid w:val="005E44E9"/>
    <w:rsid w:val="005E4D39"/>
    <w:rsid w:val="005E5970"/>
    <w:rsid w:val="005E5A30"/>
    <w:rsid w:val="005E5DF3"/>
    <w:rsid w:val="005E730F"/>
    <w:rsid w:val="005F075B"/>
    <w:rsid w:val="005F0F43"/>
    <w:rsid w:val="005F12D2"/>
    <w:rsid w:val="005F1479"/>
    <w:rsid w:val="005F1EE6"/>
    <w:rsid w:val="005F24E1"/>
    <w:rsid w:val="005F26E4"/>
    <w:rsid w:val="005F271D"/>
    <w:rsid w:val="005F2978"/>
    <w:rsid w:val="005F3093"/>
    <w:rsid w:val="005F3D20"/>
    <w:rsid w:val="005F4CEB"/>
    <w:rsid w:val="005F51F6"/>
    <w:rsid w:val="005F652A"/>
    <w:rsid w:val="005F6623"/>
    <w:rsid w:val="005F67C9"/>
    <w:rsid w:val="005F75C2"/>
    <w:rsid w:val="005F7741"/>
    <w:rsid w:val="005F7EB0"/>
    <w:rsid w:val="00600CC6"/>
    <w:rsid w:val="00601875"/>
    <w:rsid w:val="00601D29"/>
    <w:rsid w:val="006029D0"/>
    <w:rsid w:val="00603D5B"/>
    <w:rsid w:val="00604479"/>
    <w:rsid w:val="0060470C"/>
    <w:rsid w:val="0060603B"/>
    <w:rsid w:val="00606E71"/>
    <w:rsid w:val="00607582"/>
    <w:rsid w:val="00607CB0"/>
    <w:rsid w:val="00607D8C"/>
    <w:rsid w:val="0061046F"/>
    <w:rsid w:val="00610E9F"/>
    <w:rsid w:val="00612125"/>
    <w:rsid w:val="0061267B"/>
    <w:rsid w:val="006135F9"/>
    <w:rsid w:val="0061387A"/>
    <w:rsid w:val="006147F5"/>
    <w:rsid w:val="00615561"/>
    <w:rsid w:val="00615B9F"/>
    <w:rsid w:val="00616651"/>
    <w:rsid w:val="00617975"/>
    <w:rsid w:val="00621A93"/>
    <w:rsid w:val="00621E1E"/>
    <w:rsid w:val="00625905"/>
    <w:rsid w:val="00625A18"/>
    <w:rsid w:val="0062681B"/>
    <w:rsid w:val="0062718A"/>
    <w:rsid w:val="006276D3"/>
    <w:rsid w:val="006277D1"/>
    <w:rsid w:val="0063053A"/>
    <w:rsid w:val="00632B82"/>
    <w:rsid w:val="0063372D"/>
    <w:rsid w:val="00633F89"/>
    <w:rsid w:val="00634468"/>
    <w:rsid w:val="0063488F"/>
    <w:rsid w:val="00634916"/>
    <w:rsid w:val="00635B79"/>
    <w:rsid w:val="00635DED"/>
    <w:rsid w:val="006360ED"/>
    <w:rsid w:val="00641F2B"/>
    <w:rsid w:val="00642022"/>
    <w:rsid w:val="00643069"/>
    <w:rsid w:val="006433EC"/>
    <w:rsid w:val="0064372E"/>
    <w:rsid w:val="00644A87"/>
    <w:rsid w:val="00644EF7"/>
    <w:rsid w:val="00645304"/>
    <w:rsid w:val="006459F3"/>
    <w:rsid w:val="0064602C"/>
    <w:rsid w:val="006474BC"/>
    <w:rsid w:val="006503B1"/>
    <w:rsid w:val="0065376C"/>
    <w:rsid w:val="0065485B"/>
    <w:rsid w:val="00657130"/>
    <w:rsid w:val="006579CC"/>
    <w:rsid w:val="0066017F"/>
    <w:rsid w:val="00661097"/>
    <w:rsid w:val="00661ADA"/>
    <w:rsid w:val="006630E9"/>
    <w:rsid w:val="006636FB"/>
    <w:rsid w:val="00663E90"/>
    <w:rsid w:val="0066564B"/>
    <w:rsid w:val="00665960"/>
    <w:rsid w:val="0066682B"/>
    <w:rsid w:val="00666E4C"/>
    <w:rsid w:val="00667675"/>
    <w:rsid w:val="0067029F"/>
    <w:rsid w:val="006706EB"/>
    <w:rsid w:val="006709A9"/>
    <w:rsid w:val="00672BAF"/>
    <w:rsid w:val="006732C5"/>
    <w:rsid w:val="0067684B"/>
    <w:rsid w:val="00676B00"/>
    <w:rsid w:val="00680831"/>
    <w:rsid w:val="00680FD6"/>
    <w:rsid w:val="006812D2"/>
    <w:rsid w:val="00682643"/>
    <w:rsid w:val="00682E7D"/>
    <w:rsid w:val="00684402"/>
    <w:rsid w:val="0068474B"/>
    <w:rsid w:val="00684791"/>
    <w:rsid w:val="00684819"/>
    <w:rsid w:val="00684F9F"/>
    <w:rsid w:val="0068511D"/>
    <w:rsid w:val="00685D47"/>
    <w:rsid w:val="006860CE"/>
    <w:rsid w:val="0068623F"/>
    <w:rsid w:val="006864F5"/>
    <w:rsid w:val="006868FA"/>
    <w:rsid w:val="0068780A"/>
    <w:rsid w:val="00687A4C"/>
    <w:rsid w:val="00690ED8"/>
    <w:rsid w:val="006930AB"/>
    <w:rsid w:val="00693FCE"/>
    <w:rsid w:val="00694EF9"/>
    <w:rsid w:val="00695FB0"/>
    <w:rsid w:val="00696AAC"/>
    <w:rsid w:val="006975C4"/>
    <w:rsid w:val="00697C43"/>
    <w:rsid w:val="00697D27"/>
    <w:rsid w:val="00697FA4"/>
    <w:rsid w:val="006A10F1"/>
    <w:rsid w:val="006A1D6A"/>
    <w:rsid w:val="006A2113"/>
    <w:rsid w:val="006A2608"/>
    <w:rsid w:val="006A2DBB"/>
    <w:rsid w:val="006A357B"/>
    <w:rsid w:val="006A363C"/>
    <w:rsid w:val="006A3ABA"/>
    <w:rsid w:val="006A3AF9"/>
    <w:rsid w:val="006A43B6"/>
    <w:rsid w:val="006A58A5"/>
    <w:rsid w:val="006A5BE7"/>
    <w:rsid w:val="006A5C25"/>
    <w:rsid w:val="006A5D7C"/>
    <w:rsid w:val="006A5FA5"/>
    <w:rsid w:val="006A6530"/>
    <w:rsid w:val="006A65D1"/>
    <w:rsid w:val="006A6F07"/>
    <w:rsid w:val="006A7AC4"/>
    <w:rsid w:val="006B17CC"/>
    <w:rsid w:val="006B22F3"/>
    <w:rsid w:val="006B2CF8"/>
    <w:rsid w:val="006B38F1"/>
    <w:rsid w:val="006B4004"/>
    <w:rsid w:val="006B482F"/>
    <w:rsid w:val="006B7B84"/>
    <w:rsid w:val="006C01E2"/>
    <w:rsid w:val="006C08A7"/>
    <w:rsid w:val="006C0E3F"/>
    <w:rsid w:val="006C22BB"/>
    <w:rsid w:val="006C2607"/>
    <w:rsid w:val="006C32BA"/>
    <w:rsid w:val="006C3C81"/>
    <w:rsid w:val="006C41FB"/>
    <w:rsid w:val="006C42F3"/>
    <w:rsid w:val="006C550A"/>
    <w:rsid w:val="006C59A1"/>
    <w:rsid w:val="006C5A39"/>
    <w:rsid w:val="006C5BC2"/>
    <w:rsid w:val="006C5F97"/>
    <w:rsid w:val="006C6925"/>
    <w:rsid w:val="006C6B24"/>
    <w:rsid w:val="006C73E5"/>
    <w:rsid w:val="006C7B5B"/>
    <w:rsid w:val="006D0D3B"/>
    <w:rsid w:val="006D1308"/>
    <w:rsid w:val="006D1D85"/>
    <w:rsid w:val="006D1F7C"/>
    <w:rsid w:val="006D24FF"/>
    <w:rsid w:val="006D2C8D"/>
    <w:rsid w:val="006D3235"/>
    <w:rsid w:val="006D517B"/>
    <w:rsid w:val="006D585E"/>
    <w:rsid w:val="006D6952"/>
    <w:rsid w:val="006D727A"/>
    <w:rsid w:val="006D7E72"/>
    <w:rsid w:val="006E04D5"/>
    <w:rsid w:val="006E1A05"/>
    <w:rsid w:val="006E2475"/>
    <w:rsid w:val="006E44B1"/>
    <w:rsid w:val="006E4EE5"/>
    <w:rsid w:val="006E527F"/>
    <w:rsid w:val="006E55D1"/>
    <w:rsid w:val="006E5DF8"/>
    <w:rsid w:val="006E7260"/>
    <w:rsid w:val="006F04D9"/>
    <w:rsid w:val="006F10BB"/>
    <w:rsid w:val="006F2042"/>
    <w:rsid w:val="006F2735"/>
    <w:rsid w:val="006F503A"/>
    <w:rsid w:val="006F5F7E"/>
    <w:rsid w:val="006F7942"/>
    <w:rsid w:val="006F7BE9"/>
    <w:rsid w:val="00700238"/>
    <w:rsid w:val="00700F27"/>
    <w:rsid w:val="007016B3"/>
    <w:rsid w:val="00701F2E"/>
    <w:rsid w:val="00701F95"/>
    <w:rsid w:val="00702AD6"/>
    <w:rsid w:val="00702AE0"/>
    <w:rsid w:val="00703ED1"/>
    <w:rsid w:val="007041DE"/>
    <w:rsid w:val="0070513A"/>
    <w:rsid w:val="00705DB7"/>
    <w:rsid w:val="00707882"/>
    <w:rsid w:val="007078C5"/>
    <w:rsid w:val="007079D8"/>
    <w:rsid w:val="00710C1F"/>
    <w:rsid w:val="00710E8A"/>
    <w:rsid w:val="00711187"/>
    <w:rsid w:val="00714243"/>
    <w:rsid w:val="007157E2"/>
    <w:rsid w:val="007174FB"/>
    <w:rsid w:val="007202DB"/>
    <w:rsid w:val="00720615"/>
    <w:rsid w:val="007209A3"/>
    <w:rsid w:val="007212B9"/>
    <w:rsid w:val="0072173D"/>
    <w:rsid w:val="007229D3"/>
    <w:rsid w:val="007246AE"/>
    <w:rsid w:val="00724A8F"/>
    <w:rsid w:val="00724CE5"/>
    <w:rsid w:val="007266D7"/>
    <w:rsid w:val="00727880"/>
    <w:rsid w:val="00727E7C"/>
    <w:rsid w:val="007305C2"/>
    <w:rsid w:val="00730C6F"/>
    <w:rsid w:val="00732663"/>
    <w:rsid w:val="00732DB5"/>
    <w:rsid w:val="00734FD1"/>
    <w:rsid w:val="0073511F"/>
    <w:rsid w:val="00735524"/>
    <w:rsid w:val="00735F99"/>
    <w:rsid w:val="00736ED5"/>
    <w:rsid w:val="007379CE"/>
    <w:rsid w:val="0074019A"/>
    <w:rsid w:val="00740D50"/>
    <w:rsid w:val="00741CCB"/>
    <w:rsid w:val="00742AA8"/>
    <w:rsid w:val="007439CF"/>
    <w:rsid w:val="00743AE0"/>
    <w:rsid w:val="00744463"/>
    <w:rsid w:val="00744492"/>
    <w:rsid w:val="00744AC2"/>
    <w:rsid w:val="00745C54"/>
    <w:rsid w:val="007467A3"/>
    <w:rsid w:val="0074728C"/>
    <w:rsid w:val="0074781A"/>
    <w:rsid w:val="00747BEA"/>
    <w:rsid w:val="00752B09"/>
    <w:rsid w:val="00752BFF"/>
    <w:rsid w:val="007531DD"/>
    <w:rsid w:val="0075378E"/>
    <w:rsid w:val="00754682"/>
    <w:rsid w:val="00754764"/>
    <w:rsid w:val="0075578D"/>
    <w:rsid w:val="0075622B"/>
    <w:rsid w:val="00756AD1"/>
    <w:rsid w:val="00757B17"/>
    <w:rsid w:val="00757B37"/>
    <w:rsid w:val="0076097F"/>
    <w:rsid w:val="007610FB"/>
    <w:rsid w:val="0076267A"/>
    <w:rsid w:val="00763288"/>
    <w:rsid w:val="00765016"/>
    <w:rsid w:val="00765C8C"/>
    <w:rsid w:val="00765E51"/>
    <w:rsid w:val="00766140"/>
    <w:rsid w:val="00767F65"/>
    <w:rsid w:val="007700A6"/>
    <w:rsid w:val="00770839"/>
    <w:rsid w:val="00771CF5"/>
    <w:rsid w:val="00771EB1"/>
    <w:rsid w:val="00772A22"/>
    <w:rsid w:val="00774486"/>
    <w:rsid w:val="007750E6"/>
    <w:rsid w:val="00776091"/>
    <w:rsid w:val="00776D3D"/>
    <w:rsid w:val="0077709B"/>
    <w:rsid w:val="007771B4"/>
    <w:rsid w:val="00777D7D"/>
    <w:rsid w:val="00777FC4"/>
    <w:rsid w:val="00781CC7"/>
    <w:rsid w:val="007821D6"/>
    <w:rsid w:val="00782AFE"/>
    <w:rsid w:val="00783415"/>
    <w:rsid w:val="0078365F"/>
    <w:rsid w:val="00785889"/>
    <w:rsid w:val="00786667"/>
    <w:rsid w:val="00790971"/>
    <w:rsid w:val="00791D76"/>
    <w:rsid w:val="007935B4"/>
    <w:rsid w:val="00793CF4"/>
    <w:rsid w:val="007946A1"/>
    <w:rsid w:val="00794AEF"/>
    <w:rsid w:val="00795839"/>
    <w:rsid w:val="007A09EC"/>
    <w:rsid w:val="007A145A"/>
    <w:rsid w:val="007A1B4E"/>
    <w:rsid w:val="007A3F31"/>
    <w:rsid w:val="007B0982"/>
    <w:rsid w:val="007B0AA0"/>
    <w:rsid w:val="007B185B"/>
    <w:rsid w:val="007B233B"/>
    <w:rsid w:val="007B24C1"/>
    <w:rsid w:val="007B2FEB"/>
    <w:rsid w:val="007B3C8E"/>
    <w:rsid w:val="007B3F61"/>
    <w:rsid w:val="007B59CA"/>
    <w:rsid w:val="007B75A2"/>
    <w:rsid w:val="007B7CDC"/>
    <w:rsid w:val="007C266A"/>
    <w:rsid w:val="007C28F6"/>
    <w:rsid w:val="007C2A67"/>
    <w:rsid w:val="007C5290"/>
    <w:rsid w:val="007C570B"/>
    <w:rsid w:val="007C6437"/>
    <w:rsid w:val="007C66E6"/>
    <w:rsid w:val="007C677F"/>
    <w:rsid w:val="007C67BF"/>
    <w:rsid w:val="007C6FB2"/>
    <w:rsid w:val="007C74AC"/>
    <w:rsid w:val="007D0795"/>
    <w:rsid w:val="007D090E"/>
    <w:rsid w:val="007D21A4"/>
    <w:rsid w:val="007D3113"/>
    <w:rsid w:val="007D44EE"/>
    <w:rsid w:val="007D4B59"/>
    <w:rsid w:val="007D4BA5"/>
    <w:rsid w:val="007D534F"/>
    <w:rsid w:val="007D580C"/>
    <w:rsid w:val="007D6386"/>
    <w:rsid w:val="007D707B"/>
    <w:rsid w:val="007D70FA"/>
    <w:rsid w:val="007E11C1"/>
    <w:rsid w:val="007E14AC"/>
    <w:rsid w:val="007E186B"/>
    <w:rsid w:val="007E1A40"/>
    <w:rsid w:val="007E1CC8"/>
    <w:rsid w:val="007E209A"/>
    <w:rsid w:val="007E2A00"/>
    <w:rsid w:val="007E30CF"/>
    <w:rsid w:val="007E3100"/>
    <w:rsid w:val="007E3415"/>
    <w:rsid w:val="007E4230"/>
    <w:rsid w:val="007E5DE1"/>
    <w:rsid w:val="007E7D0D"/>
    <w:rsid w:val="007F097E"/>
    <w:rsid w:val="007F16B6"/>
    <w:rsid w:val="007F18F4"/>
    <w:rsid w:val="007F197D"/>
    <w:rsid w:val="007F3159"/>
    <w:rsid w:val="007F38FF"/>
    <w:rsid w:val="007F4D99"/>
    <w:rsid w:val="007F51C2"/>
    <w:rsid w:val="007F550B"/>
    <w:rsid w:val="007F5A4E"/>
    <w:rsid w:val="007F5ADD"/>
    <w:rsid w:val="007F5E5C"/>
    <w:rsid w:val="007F629E"/>
    <w:rsid w:val="007F7B6D"/>
    <w:rsid w:val="00800890"/>
    <w:rsid w:val="00803184"/>
    <w:rsid w:val="0080327A"/>
    <w:rsid w:val="00803384"/>
    <w:rsid w:val="008035E3"/>
    <w:rsid w:val="00804553"/>
    <w:rsid w:val="00805226"/>
    <w:rsid w:val="0080575D"/>
    <w:rsid w:val="008057AE"/>
    <w:rsid w:val="00805CEB"/>
    <w:rsid w:val="0080658B"/>
    <w:rsid w:val="00806B3C"/>
    <w:rsid w:val="00807336"/>
    <w:rsid w:val="00807900"/>
    <w:rsid w:val="00807AB9"/>
    <w:rsid w:val="0081130E"/>
    <w:rsid w:val="00811793"/>
    <w:rsid w:val="00812C4E"/>
    <w:rsid w:val="008134DA"/>
    <w:rsid w:val="0081446F"/>
    <w:rsid w:val="008146D0"/>
    <w:rsid w:val="00814F96"/>
    <w:rsid w:val="00815B81"/>
    <w:rsid w:val="008168AC"/>
    <w:rsid w:val="00817139"/>
    <w:rsid w:val="00817ADE"/>
    <w:rsid w:val="00817B0F"/>
    <w:rsid w:val="0082063D"/>
    <w:rsid w:val="0082259C"/>
    <w:rsid w:val="00823036"/>
    <w:rsid w:val="0082468F"/>
    <w:rsid w:val="00824A6B"/>
    <w:rsid w:val="00826594"/>
    <w:rsid w:val="00826B70"/>
    <w:rsid w:val="00826BDD"/>
    <w:rsid w:val="00827438"/>
    <w:rsid w:val="00827585"/>
    <w:rsid w:val="008300D6"/>
    <w:rsid w:val="008303D2"/>
    <w:rsid w:val="00830CEB"/>
    <w:rsid w:val="00831FF6"/>
    <w:rsid w:val="008325F4"/>
    <w:rsid w:val="0083281C"/>
    <w:rsid w:val="00832847"/>
    <w:rsid w:val="00834685"/>
    <w:rsid w:val="00836EA1"/>
    <w:rsid w:val="00836F1B"/>
    <w:rsid w:val="00837AF1"/>
    <w:rsid w:val="00840299"/>
    <w:rsid w:val="00840318"/>
    <w:rsid w:val="00840B57"/>
    <w:rsid w:val="00840E1D"/>
    <w:rsid w:val="0084225B"/>
    <w:rsid w:val="00842F93"/>
    <w:rsid w:val="00843E5A"/>
    <w:rsid w:val="00845659"/>
    <w:rsid w:val="00845DA1"/>
    <w:rsid w:val="00846FA0"/>
    <w:rsid w:val="0085013E"/>
    <w:rsid w:val="0085054C"/>
    <w:rsid w:val="00851F11"/>
    <w:rsid w:val="00852650"/>
    <w:rsid w:val="00852906"/>
    <w:rsid w:val="00854913"/>
    <w:rsid w:val="00856E6A"/>
    <w:rsid w:val="008573F3"/>
    <w:rsid w:val="008574C6"/>
    <w:rsid w:val="00857E91"/>
    <w:rsid w:val="0086077D"/>
    <w:rsid w:val="008614AE"/>
    <w:rsid w:val="00862D15"/>
    <w:rsid w:val="008648A6"/>
    <w:rsid w:val="008652C5"/>
    <w:rsid w:val="00866D24"/>
    <w:rsid w:val="00867896"/>
    <w:rsid w:val="00867D45"/>
    <w:rsid w:val="00867EB6"/>
    <w:rsid w:val="00870361"/>
    <w:rsid w:val="00870D40"/>
    <w:rsid w:val="00872476"/>
    <w:rsid w:val="008724A0"/>
    <w:rsid w:val="008728C1"/>
    <w:rsid w:val="0087560E"/>
    <w:rsid w:val="0088043F"/>
    <w:rsid w:val="008813BF"/>
    <w:rsid w:val="008815B1"/>
    <w:rsid w:val="00881EE1"/>
    <w:rsid w:val="00882388"/>
    <w:rsid w:val="00882981"/>
    <w:rsid w:val="00882CA0"/>
    <w:rsid w:val="00883D49"/>
    <w:rsid w:val="00884336"/>
    <w:rsid w:val="008844D4"/>
    <w:rsid w:val="0088478E"/>
    <w:rsid w:val="008868C2"/>
    <w:rsid w:val="00886FBF"/>
    <w:rsid w:val="0088700B"/>
    <w:rsid w:val="00887866"/>
    <w:rsid w:val="00887DE1"/>
    <w:rsid w:val="00891544"/>
    <w:rsid w:val="00892D42"/>
    <w:rsid w:val="008934BD"/>
    <w:rsid w:val="00894223"/>
    <w:rsid w:val="00894B51"/>
    <w:rsid w:val="00894E42"/>
    <w:rsid w:val="00895097"/>
    <w:rsid w:val="00896425"/>
    <w:rsid w:val="00897087"/>
    <w:rsid w:val="008974C5"/>
    <w:rsid w:val="008977A6"/>
    <w:rsid w:val="008977F4"/>
    <w:rsid w:val="008A02D5"/>
    <w:rsid w:val="008A0AFD"/>
    <w:rsid w:val="008A1AA7"/>
    <w:rsid w:val="008A1FA5"/>
    <w:rsid w:val="008A27E0"/>
    <w:rsid w:val="008A2CA1"/>
    <w:rsid w:val="008A2E0D"/>
    <w:rsid w:val="008A35B7"/>
    <w:rsid w:val="008A49FA"/>
    <w:rsid w:val="008A518F"/>
    <w:rsid w:val="008A753F"/>
    <w:rsid w:val="008A7C21"/>
    <w:rsid w:val="008B0CDB"/>
    <w:rsid w:val="008B0E21"/>
    <w:rsid w:val="008B0F0B"/>
    <w:rsid w:val="008B1C75"/>
    <w:rsid w:val="008B2100"/>
    <w:rsid w:val="008B254E"/>
    <w:rsid w:val="008B3442"/>
    <w:rsid w:val="008B371B"/>
    <w:rsid w:val="008B3857"/>
    <w:rsid w:val="008B3FCB"/>
    <w:rsid w:val="008B401C"/>
    <w:rsid w:val="008B43C0"/>
    <w:rsid w:val="008B47F4"/>
    <w:rsid w:val="008B5269"/>
    <w:rsid w:val="008B57E0"/>
    <w:rsid w:val="008B57F1"/>
    <w:rsid w:val="008B5EF0"/>
    <w:rsid w:val="008B63F5"/>
    <w:rsid w:val="008B6BE2"/>
    <w:rsid w:val="008B7904"/>
    <w:rsid w:val="008C0D5C"/>
    <w:rsid w:val="008C1AB8"/>
    <w:rsid w:val="008C2705"/>
    <w:rsid w:val="008C2751"/>
    <w:rsid w:val="008C33BC"/>
    <w:rsid w:val="008C3C96"/>
    <w:rsid w:val="008C441B"/>
    <w:rsid w:val="008C7B61"/>
    <w:rsid w:val="008C7DE6"/>
    <w:rsid w:val="008D0389"/>
    <w:rsid w:val="008D0434"/>
    <w:rsid w:val="008D0A45"/>
    <w:rsid w:val="008D0DFE"/>
    <w:rsid w:val="008D1929"/>
    <w:rsid w:val="008D1C72"/>
    <w:rsid w:val="008D20C6"/>
    <w:rsid w:val="008D2F74"/>
    <w:rsid w:val="008D346E"/>
    <w:rsid w:val="008D360D"/>
    <w:rsid w:val="008D3EEE"/>
    <w:rsid w:val="008D49A1"/>
    <w:rsid w:val="008D5114"/>
    <w:rsid w:val="008D524C"/>
    <w:rsid w:val="008D53B5"/>
    <w:rsid w:val="008D5831"/>
    <w:rsid w:val="008D62C4"/>
    <w:rsid w:val="008D663C"/>
    <w:rsid w:val="008D6843"/>
    <w:rsid w:val="008D6E88"/>
    <w:rsid w:val="008E1696"/>
    <w:rsid w:val="008E21F1"/>
    <w:rsid w:val="008E2305"/>
    <w:rsid w:val="008E36FB"/>
    <w:rsid w:val="008E3E63"/>
    <w:rsid w:val="008E5875"/>
    <w:rsid w:val="008E6D44"/>
    <w:rsid w:val="008E75E0"/>
    <w:rsid w:val="008F0086"/>
    <w:rsid w:val="008F0682"/>
    <w:rsid w:val="008F1DCA"/>
    <w:rsid w:val="008F24A3"/>
    <w:rsid w:val="008F3383"/>
    <w:rsid w:val="008F3AE5"/>
    <w:rsid w:val="008F3D33"/>
    <w:rsid w:val="008F4426"/>
    <w:rsid w:val="008F471C"/>
    <w:rsid w:val="008F550D"/>
    <w:rsid w:val="008F5EC1"/>
    <w:rsid w:val="008F716C"/>
    <w:rsid w:val="008F7492"/>
    <w:rsid w:val="008F75E9"/>
    <w:rsid w:val="008F7641"/>
    <w:rsid w:val="008F7948"/>
    <w:rsid w:val="0090044A"/>
    <w:rsid w:val="00900E71"/>
    <w:rsid w:val="00901740"/>
    <w:rsid w:val="0090203E"/>
    <w:rsid w:val="009055D0"/>
    <w:rsid w:val="009060B1"/>
    <w:rsid w:val="00906987"/>
    <w:rsid w:val="0090727D"/>
    <w:rsid w:val="00907535"/>
    <w:rsid w:val="0090772D"/>
    <w:rsid w:val="009108B2"/>
    <w:rsid w:val="00910DAA"/>
    <w:rsid w:val="009122C6"/>
    <w:rsid w:val="00912B78"/>
    <w:rsid w:val="00912CB8"/>
    <w:rsid w:val="009132ED"/>
    <w:rsid w:val="00913467"/>
    <w:rsid w:val="00914EFC"/>
    <w:rsid w:val="009166E2"/>
    <w:rsid w:val="009171F0"/>
    <w:rsid w:val="00917EE1"/>
    <w:rsid w:val="0092080A"/>
    <w:rsid w:val="00921C9C"/>
    <w:rsid w:val="00921D4C"/>
    <w:rsid w:val="00922FB4"/>
    <w:rsid w:val="00924096"/>
    <w:rsid w:val="00924731"/>
    <w:rsid w:val="009263F2"/>
    <w:rsid w:val="009307B2"/>
    <w:rsid w:val="00931D44"/>
    <w:rsid w:val="00932D91"/>
    <w:rsid w:val="009342D2"/>
    <w:rsid w:val="009344E2"/>
    <w:rsid w:val="00934777"/>
    <w:rsid w:val="0093504F"/>
    <w:rsid w:val="00935C80"/>
    <w:rsid w:val="0093627D"/>
    <w:rsid w:val="00936A55"/>
    <w:rsid w:val="00936F2D"/>
    <w:rsid w:val="0093702E"/>
    <w:rsid w:val="009404A1"/>
    <w:rsid w:val="0094111F"/>
    <w:rsid w:val="00943517"/>
    <w:rsid w:val="00943AB5"/>
    <w:rsid w:val="00945154"/>
    <w:rsid w:val="0094559F"/>
    <w:rsid w:val="00945BDC"/>
    <w:rsid w:val="00945C65"/>
    <w:rsid w:val="0094639C"/>
    <w:rsid w:val="0095082E"/>
    <w:rsid w:val="00950934"/>
    <w:rsid w:val="00950DEE"/>
    <w:rsid w:val="009515AF"/>
    <w:rsid w:val="009521CB"/>
    <w:rsid w:val="00953D25"/>
    <w:rsid w:val="0095528D"/>
    <w:rsid w:val="00955482"/>
    <w:rsid w:val="00957854"/>
    <w:rsid w:val="00960135"/>
    <w:rsid w:val="00960CE3"/>
    <w:rsid w:val="00962B1D"/>
    <w:rsid w:val="00962FB7"/>
    <w:rsid w:val="0096340A"/>
    <w:rsid w:val="009638A9"/>
    <w:rsid w:val="00963BA5"/>
    <w:rsid w:val="00963D67"/>
    <w:rsid w:val="00963DB3"/>
    <w:rsid w:val="0096758A"/>
    <w:rsid w:val="00967E80"/>
    <w:rsid w:val="00971A73"/>
    <w:rsid w:val="009722C2"/>
    <w:rsid w:val="0097276A"/>
    <w:rsid w:val="00972FA1"/>
    <w:rsid w:val="009733BA"/>
    <w:rsid w:val="00974C14"/>
    <w:rsid w:val="009757D3"/>
    <w:rsid w:val="009761A4"/>
    <w:rsid w:val="009762D3"/>
    <w:rsid w:val="00976CA4"/>
    <w:rsid w:val="0097704D"/>
    <w:rsid w:val="00980585"/>
    <w:rsid w:val="00981C28"/>
    <w:rsid w:val="009835B5"/>
    <w:rsid w:val="0098429B"/>
    <w:rsid w:val="0098451C"/>
    <w:rsid w:val="00984A0B"/>
    <w:rsid w:val="00986990"/>
    <w:rsid w:val="009904FB"/>
    <w:rsid w:val="009910F3"/>
    <w:rsid w:val="00991167"/>
    <w:rsid w:val="00991862"/>
    <w:rsid w:val="00992DFE"/>
    <w:rsid w:val="00994B63"/>
    <w:rsid w:val="00996D55"/>
    <w:rsid w:val="0099742D"/>
    <w:rsid w:val="00997509"/>
    <w:rsid w:val="009976BB"/>
    <w:rsid w:val="009A04B1"/>
    <w:rsid w:val="009A0B03"/>
    <w:rsid w:val="009A14BF"/>
    <w:rsid w:val="009A2643"/>
    <w:rsid w:val="009A2F61"/>
    <w:rsid w:val="009A33FA"/>
    <w:rsid w:val="009A3B7E"/>
    <w:rsid w:val="009A3CB0"/>
    <w:rsid w:val="009A4749"/>
    <w:rsid w:val="009A51A8"/>
    <w:rsid w:val="009A5A1B"/>
    <w:rsid w:val="009A7164"/>
    <w:rsid w:val="009A7A97"/>
    <w:rsid w:val="009B032D"/>
    <w:rsid w:val="009B04A8"/>
    <w:rsid w:val="009B1793"/>
    <w:rsid w:val="009B22E6"/>
    <w:rsid w:val="009B2F7C"/>
    <w:rsid w:val="009B3AE3"/>
    <w:rsid w:val="009B4088"/>
    <w:rsid w:val="009B4A19"/>
    <w:rsid w:val="009B5D8E"/>
    <w:rsid w:val="009B643D"/>
    <w:rsid w:val="009B7649"/>
    <w:rsid w:val="009C193D"/>
    <w:rsid w:val="009C2385"/>
    <w:rsid w:val="009C2A39"/>
    <w:rsid w:val="009C3819"/>
    <w:rsid w:val="009C39C2"/>
    <w:rsid w:val="009C5CA7"/>
    <w:rsid w:val="009C621E"/>
    <w:rsid w:val="009C6F8D"/>
    <w:rsid w:val="009C71D2"/>
    <w:rsid w:val="009D0318"/>
    <w:rsid w:val="009D0D74"/>
    <w:rsid w:val="009D18A8"/>
    <w:rsid w:val="009D4022"/>
    <w:rsid w:val="009D4146"/>
    <w:rsid w:val="009D4C50"/>
    <w:rsid w:val="009D5B1D"/>
    <w:rsid w:val="009D5E04"/>
    <w:rsid w:val="009D727A"/>
    <w:rsid w:val="009D78FD"/>
    <w:rsid w:val="009D7A3A"/>
    <w:rsid w:val="009E00A7"/>
    <w:rsid w:val="009E05EB"/>
    <w:rsid w:val="009E125F"/>
    <w:rsid w:val="009E1367"/>
    <w:rsid w:val="009E1D68"/>
    <w:rsid w:val="009E235F"/>
    <w:rsid w:val="009E23B4"/>
    <w:rsid w:val="009E25C7"/>
    <w:rsid w:val="009E263C"/>
    <w:rsid w:val="009E2A97"/>
    <w:rsid w:val="009E38F5"/>
    <w:rsid w:val="009E3B81"/>
    <w:rsid w:val="009E42D8"/>
    <w:rsid w:val="009E476A"/>
    <w:rsid w:val="009E4E31"/>
    <w:rsid w:val="009E55E3"/>
    <w:rsid w:val="009F03A6"/>
    <w:rsid w:val="009F1C4F"/>
    <w:rsid w:val="009F293E"/>
    <w:rsid w:val="009F2C0A"/>
    <w:rsid w:val="009F2EC7"/>
    <w:rsid w:val="009F43D4"/>
    <w:rsid w:val="009F4D88"/>
    <w:rsid w:val="009F6DEE"/>
    <w:rsid w:val="00A00D5A"/>
    <w:rsid w:val="00A025BF"/>
    <w:rsid w:val="00A0393C"/>
    <w:rsid w:val="00A04075"/>
    <w:rsid w:val="00A0436D"/>
    <w:rsid w:val="00A04606"/>
    <w:rsid w:val="00A04AEA"/>
    <w:rsid w:val="00A04D73"/>
    <w:rsid w:val="00A05C2B"/>
    <w:rsid w:val="00A05F6B"/>
    <w:rsid w:val="00A101E8"/>
    <w:rsid w:val="00A10506"/>
    <w:rsid w:val="00A10A49"/>
    <w:rsid w:val="00A10B9B"/>
    <w:rsid w:val="00A10F00"/>
    <w:rsid w:val="00A14185"/>
    <w:rsid w:val="00A14B6E"/>
    <w:rsid w:val="00A1518B"/>
    <w:rsid w:val="00A1597E"/>
    <w:rsid w:val="00A15FB9"/>
    <w:rsid w:val="00A20F7E"/>
    <w:rsid w:val="00A21CD1"/>
    <w:rsid w:val="00A221D2"/>
    <w:rsid w:val="00A22B4E"/>
    <w:rsid w:val="00A247B8"/>
    <w:rsid w:val="00A251E3"/>
    <w:rsid w:val="00A25A76"/>
    <w:rsid w:val="00A301E0"/>
    <w:rsid w:val="00A3163B"/>
    <w:rsid w:val="00A34359"/>
    <w:rsid w:val="00A3465D"/>
    <w:rsid w:val="00A34701"/>
    <w:rsid w:val="00A360E2"/>
    <w:rsid w:val="00A36839"/>
    <w:rsid w:val="00A3729B"/>
    <w:rsid w:val="00A37F2C"/>
    <w:rsid w:val="00A4016B"/>
    <w:rsid w:val="00A403DD"/>
    <w:rsid w:val="00A404DF"/>
    <w:rsid w:val="00A4052B"/>
    <w:rsid w:val="00A405D8"/>
    <w:rsid w:val="00A40B0E"/>
    <w:rsid w:val="00A414B8"/>
    <w:rsid w:val="00A436BC"/>
    <w:rsid w:val="00A43E02"/>
    <w:rsid w:val="00A44174"/>
    <w:rsid w:val="00A50163"/>
    <w:rsid w:val="00A509E3"/>
    <w:rsid w:val="00A50A02"/>
    <w:rsid w:val="00A50B58"/>
    <w:rsid w:val="00A515A4"/>
    <w:rsid w:val="00A53069"/>
    <w:rsid w:val="00A531CB"/>
    <w:rsid w:val="00A53650"/>
    <w:rsid w:val="00A5385E"/>
    <w:rsid w:val="00A53B42"/>
    <w:rsid w:val="00A53B7D"/>
    <w:rsid w:val="00A549AC"/>
    <w:rsid w:val="00A55CDF"/>
    <w:rsid w:val="00A55F9D"/>
    <w:rsid w:val="00A5646B"/>
    <w:rsid w:val="00A56F25"/>
    <w:rsid w:val="00A60203"/>
    <w:rsid w:val="00A60226"/>
    <w:rsid w:val="00A6143A"/>
    <w:rsid w:val="00A61956"/>
    <w:rsid w:val="00A61BCA"/>
    <w:rsid w:val="00A623AB"/>
    <w:rsid w:val="00A627D6"/>
    <w:rsid w:val="00A62CD3"/>
    <w:rsid w:val="00A633F3"/>
    <w:rsid w:val="00A63ECB"/>
    <w:rsid w:val="00A63F4F"/>
    <w:rsid w:val="00A641BE"/>
    <w:rsid w:val="00A65AD4"/>
    <w:rsid w:val="00A670D1"/>
    <w:rsid w:val="00A6722C"/>
    <w:rsid w:val="00A70BB7"/>
    <w:rsid w:val="00A729F2"/>
    <w:rsid w:val="00A74954"/>
    <w:rsid w:val="00A749A6"/>
    <w:rsid w:val="00A749AD"/>
    <w:rsid w:val="00A74A95"/>
    <w:rsid w:val="00A74B63"/>
    <w:rsid w:val="00A74F11"/>
    <w:rsid w:val="00A752E5"/>
    <w:rsid w:val="00A75538"/>
    <w:rsid w:val="00A76698"/>
    <w:rsid w:val="00A77093"/>
    <w:rsid w:val="00A779D1"/>
    <w:rsid w:val="00A779DE"/>
    <w:rsid w:val="00A77A9A"/>
    <w:rsid w:val="00A80555"/>
    <w:rsid w:val="00A80862"/>
    <w:rsid w:val="00A81241"/>
    <w:rsid w:val="00A81BDD"/>
    <w:rsid w:val="00A81E93"/>
    <w:rsid w:val="00A81F66"/>
    <w:rsid w:val="00A8236A"/>
    <w:rsid w:val="00A8269D"/>
    <w:rsid w:val="00A8350E"/>
    <w:rsid w:val="00A842EC"/>
    <w:rsid w:val="00A8653D"/>
    <w:rsid w:val="00A87B77"/>
    <w:rsid w:val="00A87E7B"/>
    <w:rsid w:val="00A90345"/>
    <w:rsid w:val="00A91E56"/>
    <w:rsid w:val="00A92827"/>
    <w:rsid w:val="00A95245"/>
    <w:rsid w:val="00A95960"/>
    <w:rsid w:val="00A96510"/>
    <w:rsid w:val="00A9655C"/>
    <w:rsid w:val="00A96861"/>
    <w:rsid w:val="00A96BF8"/>
    <w:rsid w:val="00AA0002"/>
    <w:rsid w:val="00AA065A"/>
    <w:rsid w:val="00AA0D57"/>
    <w:rsid w:val="00AA0EB3"/>
    <w:rsid w:val="00AA1063"/>
    <w:rsid w:val="00AA1208"/>
    <w:rsid w:val="00AA383B"/>
    <w:rsid w:val="00AA4407"/>
    <w:rsid w:val="00AA4D56"/>
    <w:rsid w:val="00AA59FD"/>
    <w:rsid w:val="00AA6F45"/>
    <w:rsid w:val="00AA7EA7"/>
    <w:rsid w:val="00AB1A48"/>
    <w:rsid w:val="00AB1DED"/>
    <w:rsid w:val="00AB35D6"/>
    <w:rsid w:val="00AB395A"/>
    <w:rsid w:val="00AB3BE6"/>
    <w:rsid w:val="00AB48AB"/>
    <w:rsid w:val="00AB4D93"/>
    <w:rsid w:val="00AB5343"/>
    <w:rsid w:val="00AB58DA"/>
    <w:rsid w:val="00AB738E"/>
    <w:rsid w:val="00AC02A3"/>
    <w:rsid w:val="00AC0691"/>
    <w:rsid w:val="00AC10C1"/>
    <w:rsid w:val="00AC1D7B"/>
    <w:rsid w:val="00AC1DA7"/>
    <w:rsid w:val="00AC2F1D"/>
    <w:rsid w:val="00AC4897"/>
    <w:rsid w:val="00AC5341"/>
    <w:rsid w:val="00AC651B"/>
    <w:rsid w:val="00AC6822"/>
    <w:rsid w:val="00AC6A0D"/>
    <w:rsid w:val="00AC7A81"/>
    <w:rsid w:val="00AD0FD6"/>
    <w:rsid w:val="00AD1888"/>
    <w:rsid w:val="00AD303F"/>
    <w:rsid w:val="00AD39FE"/>
    <w:rsid w:val="00AD3B39"/>
    <w:rsid w:val="00AD4174"/>
    <w:rsid w:val="00AD4386"/>
    <w:rsid w:val="00AD5325"/>
    <w:rsid w:val="00AD62A3"/>
    <w:rsid w:val="00AD68E6"/>
    <w:rsid w:val="00AD69DB"/>
    <w:rsid w:val="00AD6B0A"/>
    <w:rsid w:val="00AD764B"/>
    <w:rsid w:val="00AD7992"/>
    <w:rsid w:val="00AE2554"/>
    <w:rsid w:val="00AE2774"/>
    <w:rsid w:val="00AE2967"/>
    <w:rsid w:val="00AE2B3C"/>
    <w:rsid w:val="00AE3400"/>
    <w:rsid w:val="00AE3975"/>
    <w:rsid w:val="00AE3ACE"/>
    <w:rsid w:val="00AE3D25"/>
    <w:rsid w:val="00AE5C95"/>
    <w:rsid w:val="00AE6313"/>
    <w:rsid w:val="00AF062C"/>
    <w:rsid w:val="00AF0CC4"/>
    <w:rsid w:val="00AF3BF3"/>
    <w:rsid w:val="00AF4C98"/>
    <w:rsid w:val="00AF52E4"/>
    <w:rsid w:val="00AF58A0"/>
    <w:rsid w:val="00AF7E81"/>
    <w:rsid w:val="00B00C58"/>
    <w:rsid w:val="00B013C8"/>
    <w:rsid w:val="00B037E9"/>
    <w:rsid w:val="00B04793"/>
    <w:rsid w:val="00B049A7"/>
    <w:rsid w:val="00B05822"/>
    <w:rsid w:val="00B05A9C"/>
    <w:rsid w:val="00B07918"/>
    <w:rsid w:val="00B1037E"/>
    <w:rsid w:val="00B10630"/>
    <w:rsid w:val="00B12085"/>
    <w:rsid w:val="00B128B2"/>
    <w:rsid w:val="00B12FCE"/>
    <w:rsid w:val="00B138A6"/>
    <w:rsid w:val="00B13B93"/>
    <w:rsid w:val="00B151DD"/>
    <w:rsid w:val="00B15DB8"/>
    <w:rsid w:val="00B167E5"/>
    <w:rsid w:val="00B20157"/>
    <w:rsid w:val="00B22E59"/>
    <w:rsid w:val="00B23A0B"/>
    <w:rsid w:val="00B23A56"/>
    <w:rsid w:val="00B24905"/>
    <w:rsid w:val="00B2669B"/>
    <w:rsid w:val="00B26D19"/>
    <w:rsid w:val="00B3085D"/>
    <w:rsid w:val="00B30B19"/>
    <w:rsid w:val="00B30D80"/>
    <w:rsid w:val="00B31D95"/>
    <w:rsid w:val="00B32196"/>
    <w:rsid w:val="00B32AC6"/>
    <w:rsid w:val="00B338DD"/>
    <w:rsid w:val="00B33963"/>
    <w:rsid w:val="00B34205"/>
    <w:rsid w:val="00B34FA1"/>
    <w:rsid w:val="00B3500A"/>
    <w:rsid w:val="00B35239"/>
    <w:rsid w:val="00B3669F"/>
    <w:rsid w:val="00B36BA5"/>
    <w:rsid w:val="00B370D2"/>
    <w:rsid w:val="00B400A0"/>
    <w:rsid w:val="00B4043C"/>
    <w:rsid w:val="00B410F7"/>
    <w:rsid w:val="00B41D07"/>
    <w:rsid w:val="00B425B8"/>
    <w:rsid w:val="00B4311B"/>
    <w:rsid w:val="00B435A9"/>
    <w:rsid w:val="00B439B3"/>
    <w:rsid w:val="00B440F6"/>
    <w:rsid w:val="00B46674"/>
    <w:rsid w:val="00B472D1"/>
    <w:rsid w:val="00B4736D"/>
    <w:rsid w:val="00B47458"/>
    <w:rsid w:val="00B503D5"/>
    <w:rsid w:val="00B520C2"/>
    <w:rsid w:val="00B5211C"/>
    <w:rsid w:val="00B527C9"/>
    <w:rsid w:val="00B52D23"/>
    <w:rsid w:val="00B53DEE"/>
    <w:rsid w:val="00B5480E"/>
    <w:rsid w:val="00B55146"/>
    <w:rsid w:val="00B5548D"/>
    <w:rsid w:val="00B5584A"/>
    <w:rsid w:val="00B55D29"/>
    <w:rsid w:val="00B55D56"/>
    <w:rsid w:val="00B5633B"/>
    <w:rsid w:val="00B6031E"/>
    <w:rsid w:val="00B60C33"/>
    <w:rsid w:val="00B60D19"/>
    <w:rsid w:val="00B6129E"/>
    <w:rsid w:val="00B62654"/>
    <w:rsid w:val="00B627BC"/>
    <w:rsid w:val="00B629E6"/>
    <w:rsid w:val="00B633BF"/>
    <w:rsid w:val="00B63FCF"/>
    <w:rsid w:val="00B64D8D"/>
    <w:rsid w:val="00B65E69"/>
    <w:rsid w:val="00B6644A"/>
    <w:rsid w:val="00B67388"/>
    <w:rsid w:val="00B70300"/>
    <w:rsid w:val="00B7031A"/>
    <w:rsid w:val="00B72189"/>
    <w:rsid w:val="00B729C9"/>
    <w:rsid w:val="00B72DE1"/>
    <w:rsid w:val="00B72EDB"/>
    <w:rsid w:val="00B748AC"/>
    <w:rsid w:val="00B7698B"/>
    <w:rsid w:val="00B76CEB"/>
    <w:rsid w:val="00B77784"/>
    <w:rsid w:val="00B7798E"/>
    <w:rsid w:val="00B80A30"/>
    <w:rsid w:val="00B80AC8"/>
    <w:rsid w:val="00B8202A"/>
    <w:rsid w:val="00B84F04"/>
    <w:rsid w:val="00B860E2"/>
    <w:rsid w:val="00B86ED7"/>
    <w:rsid w:val="00B87713"/>
    <w:rsid w:val="00B8781A"/>
    <w:rsid w:val="00B92030"/>
    <w:rsid w:val="00B9337F"/>
    <w:rsid w:val="00B9375C"/>
    <w:rsid w:val="00B94DE5"/>
    <w:rsid w:val="00B95961"/>
    <w:rsid w:val="00B96133"/>
    <w:rsid w:val="00B96140"/>
    <w:rsid w:val="00B9712A"/>
    <w:rsid w:val="00BA125E"/>
    <w:rsid w:val="00BA3036"/>
    <w:rsid w:val="00BA3405"/>
    <w:rsid w:val="00BA397A"/>
    <w:rsid w:val="00BA42DF"/>
    <w:rsid w:val="00BA5EB9"/>
    <w:rsid w:val="00BA5FB4"/>
    <w:rsid w:val="00BB1453"/>
    <w:rsid w:val="00BB17E7"/>
    <w:rsid w:val="00BB22A3"/>
    <w:rsid w:val="00BB2B7E"/>
    <w:rsid w:val="00BB2F86"/>
    <w:rsid w:val="00BB325F"/>
    <w:rsid w:val="00BB41CF"/>
    <w:rsid w:val="00BB4365"/>
    <w:rsid w:val="00BB6C46"/>
    <w:rsid w:val="00BB79BC"/>
    <w:rsid w:val="00BB7D9D"/>
    <w:rsid w:val="00BC08BF"/>
    <w:rsid w:val="00BC0925"/>
    <w:rsid w:val="00BC1C21"/>
    <w:rsid w:val="00BC28AE"/>
    <w:rsid w:val="00BC390E"/>
    <w:rsid w:val="00BC3DC2"/>
    <w:rsid w:val="00BC4369"/>
    <w:rsid w:val="00BC445F"/>
    <w:rsid w:val="00BC4816"/>
    <w:rsid w:val="00BC59F1"/>
    <w:rsid w:val="00BC5C04"/>
    <w:rsid w:val="00BC5DE0"/>
    <w:rsid w:val="00BC61AD"/>
    <w:rsid w:val="00BD002E"/>
    <w:rsid w:val="00BD01DA"/>
    <w:rsid w:val="00BD0A97"/>
    <w:rsid w:val="00BD2856"/>
    <w:rsid w:val="00BD2861"/>
    <w:rsid w:val="00BD2C3A"/>
    <w:rsid w:val="00BD377E"/>
    <w:rsid w:val="00BD3821"/>
    <w:rsid w:val="00BD41D8"/>
    <w:rsid w:val="00BD4A19"/>
    <w:rsid w:val="00BD4ACA"/>
    <w:rsid w:val="00BD4BF6"/>
    <w:rsid w:val="00BD5649"/>
    <w:rsid w:val="00BD6879"/>
    <w:rsid w:val="00BD75B0"/>
    <w:rsid w:val="00BE0A81"/>
    <w:rsid w:val="00BE0F2E"/>
    <w:rsid w:val="00BE14E2"/>
    <w:rsid w:val="00BE1D99"/>
    <w:rsid w:val="00BE280C"/>
    <w:rsid w:val="00BE3565"/>
    <w:rsid w:val="00BE418E"/>
    <w:rsid w:val="00BE5C83"/>
    <w:rsid w:val="00BE6873"/>
    <w:rsid w:val="00BF0519"/>
    <w:rsid w:val="00BF103B"/>
    <w:rsid w:val="00BF111E"/>
    <w:rsid w:val="00BF1613"/>
    <w:rsid w:val="00BF17E0"/>
    <w:rsid w:val="00BF2027"/>
    <w:rsid w:val="00BF20A4"/>
    <w:rsid w:val="00BF28BA"/>
    <w:rsid w:val="00BF4118"/>
    <w:rsid w:val="00BF5441"/>
    <w:rsid w:val="00BF6216"/>
    <w:rsid w:val="00BF6A5F"/>
    <w:rsid w:val="00BF7FFD"/>
    <w:rsid w:val="00C00125"/>
    <w:rsid w:val="00C007AB"/>
    <w:rsid w:val="00C01771"/>
    <w:rsid w:val="00C018E6"/>
    <w:rsid w:val="00C02EBC"/>
    <w:rsid w:val="00C03414"/>
    <w:rsid w:val="00C03550"/>
    <w:rsid w:val="00C04FE6"/>
    <w:rsid w:val="00C051AE"/>
    <w:rsid w:val="00C053D4"/>
    <w:rsid w:val="00C058E9"/>
    <w:rsid w:val="00C0758A"/>
    <w:rsid w:val="00C10E14"/>
    <w:rsid w:val="00C120FD"/>
    <w:rsid w:val="00C122B7"/>
    <w:rsid w:val="00C1248C"/>
    <w:rsid w:val="00C12509"/>
    <w:rsid w:val="00C12C71"/>
    <w:rsid w:val="00C13CF1"/>
    <w:rsid w:val="00C14FD4"/>
    <w:rsid w:val="00C15CCD"/>
    <w:rsid w:val="00C15D0D"/>
    <w:rsid w:val="00C16671"/>
    <w:rsid w:val="00C17036"/>
    <w:rsid w:val="00C17EE7"/>
    <w:rsid w:val="00C21195"/>
    <w:rsid w:val="00C222B2"/>
    <w:rsid w:val="00C22AE1"/>
    <w:rsid w:val="00C22F91"/>
    <w:rsid w:val="00C23980"/>
    <w:rsid w:val="00C242E7"/>
    <w:rsid w:val="00C24870"/>
    <w:rsid w:val="00C24DE2"/>
    <w:rsid w:val="00C257F8"/>
    <w:rsid w:val="00C26555"/>
    <w:rsid w:val="00C26605"/>
    <w:rsid w:val="00C26C04"/>
    <w:rsid w:val="00C2716F"/>
    <w:rsid w:val="00C27284"/>
    <w:rsid w:val="00C27B3C"/>
    <w:rsid w:val="00C3039D"/>
    <w:rsid w:val="00C32794"/>
    <w:rsid w:val="00C32A69"/>
    <w:rsid w:val="00C33440"/>
    <w:rsid w:val="00C35347"/>
    <w:rsid w:val="00C35B0B"/>
    <w:rsid w:val="00C360C3"/>
    <w:rsid w:val="00C373C1"/>
    <w:rsid w:val="00C404D8"/>
    <w:rsid w:val="00C413A4"/>
    <w:rsid w:val="00C41F84"/>
    <w:rsid w:val="00C42147"/>
    <w:rsid w:val="00C42AEC"/>
    <w:rsid w:val="00C42D48"/>
    <w:rsid w:val="00C434B0"/>
    <w:rsid w:val="00C43B76"/>
    <w:rsid w:val="00C44B03"/>
    <w:rsid w:val="00C4613C"/>
    <w:rsid w:val="00C468CF"/>
    <w:rsid w:val="00C470FA"/>
    <w:rsid w:val="00C47E5B"/>
    <w:rsid w:val="00C50085"/>
    <w:rsid w:val="00C50F09"/>
    <w:rsid w:val="00C51381"/>
    <w:rsid w:val="00C51866"/>
    <w:rsid w:val="00C52983"/>
    <w:rsid w:val="00C5314C"/>
    <w:rsid w:val="00C534F6"/>
    <w:rsid w:val="00C55119"/>
    <w:rsid w:val="00C55AF3"/>
    <w:rsid w:val="00C56ADC"/>
    <w:rsid w:val="00C56D7E"/>
    <w:rsid w:val="00C5749B"/>
    <w:rsid w:val="00C57ED1"/>
    <w:rsid w:val="00C6067A"/>
    <w:rsid w:val="00C61C7A"/>
    <w:rsid w:val="00C6249F"/>
    <w:rsid w:val="00C62EFD"/>
    <w:rsid w:val="00C63CDC"/>
    <w:rsid w:val="00C64C40"/>
    <w:rsid w:val="00C6554D"/>
    <w:rsid w:val="00C66BDF"/>
    <w:rsid w:val="00C67626"/>
    <w:rsid w:val="00C70D92"/>
    <w:rsid w:val="00C71784"/>
    <w:rsid w:val="00C72CE0"/>
    <w:rsid w:val="00C7359C"/>
    <w:rsid w:val="00C74250"/>
    <w:rsid w:val="00C7482D"/>
    <w:rsid w:val="00C74D0D"/>
    <w:rsid w:val="00C7583A"/>
    <w:rsid w:val="00C760F8"/>
    <w:rsid w:val="00C76B0B"/>
    <w:rsid w:val="00C809F6"/>
    <w:rsid w:val="00C80C50"/>
    <w:rsid w:val="00C81258"/>
    <w:rsid w:val="00C81FA3"/>
    <w:rsid w:val="00C8423C"/>
    <w:rsid w:val="00C85AAB"/>
    <w:rsid w:val="00C85C25"/>
    <w:rsid w:val="00C86552"/>
    <w:rsid w:val="00C87991"/>
    <w:rsid w:val="00C87DFD"/>
    <w:rsid w:val="00C91E16"/>
    <w:rsid w:val="00C9221A"/>
    <w:rsid w:val="00C92A31"/>
    <w:rsid w:val="00C93331"/>
    <w:rsid w:val="00C937DD"/>
    <w:rsid w:val="00C93987"/>
    <w:rsid w:val="00C93CD6"/>
    <w:rsid w:val="00C94F15"/>
    <w:rsid w:val="00C973E2"/>
    <w:rsid w:val="00C97D3C"/>
    <w:rsid w:val="00CA0C12"/>
    <w:rsid w:val="00CA22AB"/>
    <w:rsid w:val="00CA2313"/>
    <w:rsid w:val="00CA2A66"/>
    <w:rsid w:val="00CA2DC5"/>
    <w:rsid w:val="00CA39BC"/>
    <w:rsid w:val="00CA51C5"/>
    <w:rsid w:val="00CA6681"/>
    <w:rsid w:val="00CA6F45"/>
    <w:rsid w:val="00CA7216"/>
    <w:rsid w:val="00CA7E19"/>
    <w:rsid w:val="00CB0360"/>
    <w:rsid w:val="00CB18ED"/>
    <w:rsid w:val="00CB1F2C"/>
    <w:rsid w:val="00CB2D38"/>
    <w:rsid w:val="00CB3A90"/>
    <w:rsid w:val="00CB45D9"/>
    <w:rsid w:val="00CB56F6"/>
    <w:rsid w:val="00CB5C9D"/>
    <w:rsid w:val="00CB61E5"/>
    <w:rsid w:val="00CB6374"/>
    <w:rsid w:val="00CC2407"/>
    <w:rsid w:val="00CC244C"/>
    <w:rsid w:val="00CC3A7E"/>
    <w:rsid w:val="00CC3BA1"/>
    <w:rsid w:val="00CC4A14"/>
    <w:rsid w:val="00CC4ACC"/>
    <w:rsid w:val="00CC506D"/>
    <w:rsid w:val="00CC5548"/>
    <w:rsid w:val="00CC710B"/>
    <w:rsid w:val="00CC7189"/>
    <w:rsid w:val="00CC79CF"/>
    <w:rsid w:val="00CD03C6"/>
    <w:rsid w:val="00CD06DF"/>
    <w:rsid w:val="00CD1BDE"/>
    <w:rsid w:val="00CD2266"/>
    <w:rsid w:val="00CD402F"/>
    <w:rsid w:val="00CD580F"/>
    <w:rsid w:val="00CD655E"/>
    <w:rsid w:val="00CD71A6"/>
    <w:rsid w:val="00CD7E05"/>
    <w:rsid w:val="00CE2AC9"/>
    <w:rsid w:val="00CE396E"/>
    <w:rsid w:val="00CE3B05"/>
    <w:rsid w:val="00CE3EC9"/>
    <w:rsid w:val="00CE5A4F"/>
    <w:rsid w:val="00CE5EB1"/>
    <w:rsid w:val="00CE672C"/>
    <w:rsid w:val="00CE7158"/>
    <w:rsid w:val="00CE781B"/>
    <w:rsid w:val="00CF18EF"/>
    <w:rsid w:val="00CF1C2A"/>
    <w:rsid w:val="00CF1D54"/>
    <w:rsid w:val="00CF23B8"/>
    <w:rsid w:val="00CF2516"/>
    <w:rsid w:val="00CF320B"/>
    <w:rsid w:val="00CF3483"/>
    <w:rsid w:val="00CF3B80"/>
    <w:rsid w:val="00CF5444"/>
    <w:rsid w:val="00CF6188"/>
    <w:rsid w:val="00D0089E"/>
    <w:rsid w:val="00D008D8"/>
    <w:rsid w:val="00D0100A"/>
    <w:rsid w:val="00D037C0"/>
    <w:rsid w:val="00D03AD8"/>
    <w:rsid w:val="00D04B78"/>
    <w:rsid w:val="00D050D6"/>
    <w:rsid w:val="00D0563A"/>
    <w:rsid w:val="00D05705"/>
    <w:rsid w:val="00D05F7D"/>
    <w:rsid w:val="00D10712"/>
    <w:rsid w:val="00D113F0"/>
    <w:rsid w:val="00D11B92"/>
    <w:rsid w:val="00D11CDD"/>
    <w:rsid w:val="00D1303C"/>
    <w:rsid w:val="00D132A0"/>
    <w:rsid w:val="00D1433F"/>
    <w:rsid w:val="00D1474D"/>
    <w:rsid w:val="00D14DC0"/>
    <w:rsid w:val="00D163FB"/>
    <w:rsid w:val="00D178D9"/>
    <w:rsid w:val="00D17BB3"/>
    <w:rsid w:val="00D20021"/>
    <w:rsid w:val="00D21230"/>
    <w:rsid w:val="00D23290"/>
    <w:rsid w:val="00D23966"/>
    <w:rsid w:val="00D240E2"/>
    <w:rsid w:val="00D24684"/>
    <w:rsid w:val="00D249A6"/>
    <w:rsid w:val="00D3148C"/>
    <w:rsid w:val="00D3238A"/>
    <w:rsid w:val="00D32C19"/>
    <w:rsid w:val="00D346D8"/>
    <w:rsid w:val="00D34800"/>
    <w:rsid w:val="00D34C7F"/>
    <w:rsid w:val="00D353F1"/>
    <w:rsid w:val="00D35B3D"/>
    <w:rsid w:val="00D35CE0"/>
    <w:rsid w:val="00D35F65"/>
    <w:rsid w:val="00D37022"/>
    <w:rsid w:val="00D377F9"/>
    <w:rsid w:val="00D3788D"/>
    <w:rsid w:val="00D44142"/>
    <w:rsid w:val="00D444EB"/>
    <w:rsid w:val="00D44B95"/>
    <w:rsid w:val="00D467C9"/>
    <w:rsid w:val="00D468B1"/>
    <w:rsid w:val="00D470DC"/>
    <w:rsid w:val="00D50071"/>
    <w:rsid w:val="00D5105A"/>
    <w:rsid w:val="00D51B4E"/>
    <w:rsid w:val="00D51BA5"/>
    <w:rsid w:val="00D51D34"/>
    <w:rsid w:val="00D53392"/>
    <w:rsid w:val="00D540C0"/>
    <w:rsid w:val="00D54A78"/>
    <w:rsid w:val="00D555A1"/>
    <w:rsid w:val="00D55611"/>
    <w:rsid w:val="00D557A1"/>
    <w:rsid w:val="00D570F7"/>
    <w:rsid w:val="00D57D17"/>
    <w:rsid w:val="00D6122B"/>
    <w:rsid w:val="00D619BB"/>
    <w:rsid w:val="00D623AD"/>
    <w:rsid w:val="00D6275F"/>
    <w:rsid w:val="00D62A57"/>
    <w:rsid w:val="00D64420"/>
    <w:rsid w:val="00D64AFA"/>
    <w:rsid w:val="00D65888"/>
    <w:rsid w:val="00D658AF"/>
    <w:rsid w:val="00D67564"/>
    <w:rsid w:val="00D67EC6"/>
    <w:rsid w:val="00D67EF8"/>
    <w:rsid w:val="00D70357"/>
    <w:rsid w:val="00D714A6"/>
    <w:rsid w:val="00D71B60"/>
    <w:rsid w:val="00D72577"/>
    <w:rsid w:val="00D7451B"/>
    <w:rsid w:val="00D748CD"/>
    <w:rsid w:val="00D75C84"/>
    <w:rsid w:val="00D776A9"/>
    <w:rsid w:val="00D8054B"/>
    <w:rsid w:val="00D8139F"/>
    <w:rsid w:val="00D81D3E"/>
    <w:rsid w:val="00D836BC"/>
    <w:rsid w:val="00D83A1F"/>
    <w:rsid w:val="00D83F02"/>
    <w:rsid w:val="00D84E1F"/>
    <w:rsid w:val="00D86576"/>
    <w:rsid w:val="00D919FB"/>
    <w:rsid w:val="00D924DD"/>
    <w:rsid w:val="00D92FF8"/>
    <w:rsid w:val="00D9326F"/>
    <w:rsid w:val="00D94691"/>
    <w:rsid w:val="00D94A93"/>
    <w:rsid w:val="00D94B34"/>
    <w:rsid w:val="00D94E33"/>
    <w:rsid w:val="00D958DB"/>
    <w:rsid w:val="00D95BBF"/>
    <w:rsid w:val="00D9613E"/>
    <w:rsid w:val="00D97E4E"/>
    <w:rsid w:val="00DA12D8"/>
    <w:rsid w:val="00DA150D"/>
    <w:rsid w:val="00DA21C3"/>
    <w:rsid w:val="00DA2675"/>
    <w:rsid w:val="00DA401F"/>
    <w:rsid w:val="00DA4589"/>
    <w:rsid w:val="00DA4C74"/>
    <w:rsid w:val="00DA5061"/>
    <w:rsid w:val="00DB0E8B"/>
    <w:rsid w:val="00DB12CF"/>
    <w:rsid w:val="00DB1C74"/>
    <w:rsid w:val="00DB23BA"/>
    <w:rsid w:val="00DB2944"/>
    <w:rsid w:val="00DB3911"/>
    <w:rsid w:val="00DB5A3E"/>
    <w:rsid w:val="00DB609D"/>
    <w:rsid w:val="00DB6E06"/>
    <w:rsid w:val="00DB6EC7"/>
    <w:rsid w:val="00DB75F4"/>
    <w:rsid w:val="00DC01A2"/>
    <w:rsid w:val="00DC05D2"/>
    <w:rsid w:val="00DC0CF0"/>
    <w:rsid w:val="00DC0ED9"/>
    <w:rsid w:val="00DC238D"/>
    <w:rsid w:val="00DC3409"/>
    <w:rsid w:val="00DC38B4"/>
    <w:rsid w:val="00DC544A"/>
    <w:rsid w:val="00DC660A"/>
    <w:rsid w:val="00DC6A00"/>
    <w:rsid w:val="00DC6AB7"/>
    <w:rsid w:val="00DC6CD2"/>
    <w:rsid w:val="00DC6D28"/>
    <w:rsid w:val="00DC714F"/>
    <w:rsid w:val="00DC76A3"/>
    <w:rsid w:val="00DC7B4F"/>
    <w:rsid w:val="00DD0CEA"/>
    <w:rsid w:val="00DD1AC8"/>
    <w:rsid w:val="00DD1E7C"/>
    <w:rsid w:val="00DD3211"/>
    <w:rsid w:val="00DD4051"/>
    <w:rsid w:val="00DD513D"/>
    <w:rsid w:val="00DD5EC6"/>
    <w:rsid w:val="00DD721F"/>
    <w:rsid w:val="00DE04A7"/>
    <w:rsid w:val="00DE1AEC"/>
    <w:rsid w:val="00DE2426"/>
    <w:rsid w:val="00DE27A7"/>
    <w:rsid w:val="00DE31D0"/>
    <w:rsid w:val="00DE3E01"/>
    <w:rsid w:val="00DE4628"/>
    <w:rsid w:val="00DE466F"/>
    <w:rsid w:val="00DE4BBB"/>
    <w:rsid w:val="00DE6791"/>
    <w:rsid w:val="00DE78AF"/>
    <w:rsid w:val="00DE7D6B"/>
    <w:rsid w:val="00DF0414"/>
    <w:rsid w:val="00DF07F1"/>
    <w:rsid w:val="00DF115B"/>
    <w:rsid w:val="00DF1599"/>
    <w:rsid w:val="00DF1C3A"/>
    <w:rsid w:val="00DF2FB5"/>
    <w:rsid w:val="00DF332F"/>
    <w:rsid w:val="00DF4C8E"/>
    <w:rsid w:val="00DF62A6"/>
    <w:rsid w:val="00DF7347"/>
    <w:rsid w:val="00DF7566"/>
    <w:rsid w:val="00DF7CC7"/>
    <w:rsid w:val="00E0018F"/>
    <w:rsid w:val="00E005E3"/>
    <w:rsid w:val="00E009FC"/>
    <w:rsid w:val="00E019BB"/>
    <w:rsid w:val="00E029E0"/>
    <w:rsid w:val="00E029FE"/>
    <w:rsid w:val="00E03536"/>
    <w:rsid w:val="00E0428C"/>
    <w:rsid w:val="00E042A9"/>
    <w:rsid w:val="00E05696"/>
    <w:rsid w:val="00E0619C"/>
    <w:rsid w:val="00E06B10"/>
    <w:rsid w:val="00E074D2"/>
    <w:rsid w:val="00E07A92"/>
    <w:rsid w:val="00E1343A"/>
    <w:rsid w:val="00E15424"/>
    <w:rsid w:val="00E1655C"/>
    <w:rsid w:val="00E16D2F"/>
    <w:rsid w:val="00E16EA8"/>
    <w:rsid w:val="00E1710A"/>
    <w:rsid w:val="00E1736B"/>
    <w:rsid w:val="00E1785E"/>
    <w:rsid w:val="00E20F9E"/>
    <w:rsid w:val="00E21FBB"/>
    <w:rsid w:val="00E2269C"/>
    <w:rsid w:val="00E22895"/>
    <w:rsid w:val="00E23B8A"/>
    <w:rsid w:val="00E24D20"/>
    <w:rsid w:val="00E258B1"/>
    <w:rsid w:val="00E25A5F"/>
    <w:rsid w:val="00E261B9"/>
    <w:rsid w:val="00E26285"/>
    <w:rsid w:val="00E26A81"/>
    <w:rsid w:val="00E26C86"/>
    <w:rsid w:val="00E27201"/>
    <w:rsid w:val="00E27955"/>
    <w:rsid w:val="00E3069F"/>
    <w:rsid w:val="00E3233F"/>
    <w:rsid w:val="00E3274A"/>
    <w:rsid w:val="00E33600"/>
    <w:rsid w:val="00E3415E"/>
    <w:rsid w:val="00E359C3"/>
    <w:rsid w:val="00E36D3E"/>
    <w:rsid w:val="00E403DA"/>
    <w:rsid w:val="00E40523"/>
    <w:rsid w:val="00E411D8"/>
    <w:rsid w:val="00E44570"/>
    <w:rsid w:val="00E44BD6"/>
    <w:rsid w:val="00E45076"/>
    <w:rsid w:val="00E454A2"/>
    <w:rsid w:val="00E506CF"/>
    <w:rsid w:val="00E50BFE"/>
    <w:rsid w:val="00E5160A"/>
    <w:rsid w:val="00E532B5"/>
    <w:rsid w:val="00E54A2B"/>
    <w:rsid w:val="00E5529C"/>
    <w:rsid w:val="00E5562D"/>
    <w:rsid w:val="00E561A3"/>
    <w:rsid w:val="00E5669B"/>
    <w:rsid w:val="00E56CB2"/>
    <w:rsid w:val="00E56FEE"/>
    <w:rsid w:val="00E5799B"/>
    <w:rsid w:val="00E609C5"/>
    <w:rsid w:val="00E6224F"/>
    <w:rsid w:val="00E629E3"/>
    <w:rsid w:val="00E6452A"/>
    <w:rsid w:val="00E64775"/>
    <w:rsid w:val="00E65550"/>
    <w:rsid w:val="00E6601B"/>
    <w:rsid w:val="00E67880"/>
    <w:rsid w:val="00E67EF3"/>
    <w:rsid w:val="00E70B1E"/>
    <w:rsid w:val="00E7161F"/>
    <w:rsid w:val="00E73385"/>
    <w:rsid w:val="00E740CF"/>
    <w:rsid w:val="00E7557F"/>
    <w:rsid w:val="00E7572E"/>
    <w:rsid w:val="00E75950"/>
    <w:rsid w:val="00E75D11"/>
    <w:rsid w:val="00E7660C"/>
    <w:rsid w:val="00E77082"/>
    <w:rsid w:val="00E77CD6"/>
    <w:rsid w:val="00E77EDF"/>
    <w:rsid w:val="00E81659"/>
    <w:rsid w:val="00E81F18"/>
    <w:rsid w:val="00E8299B"/>
    <w:rsid w:val="00E82FA4"/>
    <w:rsid w:val="00E8380D"/>
    <w:rsid w:val="00E84835"/>
    <w:rsid w:val="00E858D6"/>
    <w:rsid w:val="00E85E94"/>
    <w:rsid w:val="00E86207"/>
    <w:rsid w:val="00E86224"/>
    <w:rsid w:val="00E86525"/>
    <w:rsid w:val="00E868F1"/>
    <w:rsid w:val="00E87892"/>
    <w:rsid w:val="00E92FD7"/>
    <w:rsid w:val="00E93026"/>
    <w:rsid w:val="00E9527C"/>
    <w:rsid w:val="00E95697"/>
    <w:rsid w:val="00E9668C"/>
    <w:rsid w:val="00E9689D"/>
    <w:rsid w:val="00E9714D"/>
    <w:rsid w:val="00E9721E"/>
    <w:rsid w:val="00E97640"/>
    <w:rsid w:val="00E97A7E"/>
    <w:rsid w:val="00EA00E2"/>
    <w:rsid w:val="00EA0620"/>
    <w:rsid w:val="00EA0BE3"/>
    <w:rsid w:val="00EA203F"/>
    <w:rsid w:val="00EA3E4A"/>
    <w:rsid w:val="00EA46F9"/>
    <w:rsid w:val="00EA4776"/>
    <w:rsid w:val="00EA589C"/>
    <w:rsid w:val="00EA6783"/>
    <w:rsid w:val="00EA7E16"/>
    <w:rsid w:val="00EA7F00"/>
    <w:rsid w:val="00EB09F6"/>
    <w:rsid w:val="00EB0D0E"/>
    <w:rsid w:val="00EB2092"/>
    <w:rsid w:val="00EB20D2"/>
    <w:rsid w:val="00EB24F5"/>
    <w:rsid w:val="00EB2930"/>
    <w:rsid w:val="00EB42FA"/>
    <w:rsid w:val="00EB466F"/>
    <w:rsid w:val="00EB6E5E"/>
    <w:rsid w:val="00EB7313"/>
    <w:rsid w:val="00EB7F4F"/>
    <w:rsid w:val="00EC0345"/>
    <w:rsid w:val="00EC1EB4"/>
    <w:rsid w:val="00EC2315"/>
    <w:rsid w:val="00EC2DEF"/>
    <w:rsid w:val="00EC3A09"/>
    <w:rsid w:val="00EC3BBE"/>
    <w:rsid w:val="00EC3BD8"/>
    <w:rsid w:val="00EC3C9C"/>
    <w:rsid w:val="00EC3D7E"/>
    <w:rsid w:val="00EC3EEC"/>
    <w:rsid w:val="00EC41C4"/>
    <w:rsid w:val="00EC50C8"/>
    <w:rsid w:val="00EC5316"/>
    <w:rsid w:val="00EC5340"/>
    <w:rsid w:val="00EC55A7"/>
    <w:rsid w:val="00EC63B5"/>
    <w:rsid w:val="00EC69CD"/>
    <w:rsid w:val="00EC7F0E"/>
    <w:rsid w:val="00ED0183"/>
    <w:rsid w:val="00ED04A8"/>
    <w:rsid w:val="00ED07E7"/>
    <w:rsid w:val="00ED0B57"/>
    <w:rsid w:val="00ED1364"/>
    <w:rsid w:val="00ED1941"/>
    <w:rsid w:val="00ED2974"/>
    <w:rsid w:val="00ED2E6F"/>
    <w:rsid w:val="00ED3863"/>
    <w:rsid w:val="00ED408F"/>
    <w:rsid w:val="00ED6E53"/>
    <w:rsid w:val="00ED70F5"/>
    <w:rsid w:val="00ED742B"/>
    <w:rsid w:val="00ED7A04"/>
    <w:rsid w:val="00ED7B8F"/>
    <w:rsid w:val="00ED7FCE"/>
    <w:rsid w:val="00EE0DB7"/>
    <w:rsid w:val="00EE1563"/>
    <w:rsid w:val="00EE24C3"/>
    <w:rsid w:val="00EE27A4"/>
    <w:rsid w:val="00EE2F2F"/>
    <w:rsid w:val="00EE3F69"/>
    <w:rsid w:val="00EE46AF"/>
    <w:rsid w:val="00EE48D6"/>
    <w:rsid w:val="00EE6C06"/>
    <w:rsid w:val="00EE7321"/>
    <w:rsid w:val="00EE7EBB"/>
    <w:rsid w:val="00EF071B"/>
    <w:rsid w:val="00EF298F"/>
    <w:rsid w:val="00EF310C"/>
    <w:rsid w:val="00EF3626"/>
    <w:rsid w:val="00EF40E2"/>
    <w:rsid w:val="00EF4A9D"/>
    <w:rsid w:val="00EF4ED5"/>
    <w:rsid w:val="00EF6801"/>
    <w:rsid w:val="00EF699D"/>
    <w:rsid w:val="00EF79F3"/>
    <w:rsid w:val="00EF7ABC"/>
    <w:rsid w:val="00F000CE"/>
    <w:rsid w:val="00F01B89"/>
    <w:rsid w:val="00F01BE7"/>
    <w:rsid w:val="00F0433A"/>
    <w:rsid w:val="00F04640"/>
    <w:rsid w:val="00F060F2"/>
    <w:rsid w:val="00F06637"/>
    <w:rsid w:val="00F06AF2"/>
    <w:rsid w:val="00F075AF"/>
    <w:rsid w:val="00F10CFE"/>
    <w:rsid w:val="00F11149"/>
    <w:rsid w:val="00F11448"/>
    <w:rsid w:val="00F12984"/>
    <w:rsid w:val="00F134CB"/>
    <w:rsid w:val="00F13E4A"/>
    <w:rsid w:val="00F14606"/>
    <w:rsid w:val="00F152A0"/>
    <w:rsid w:val="00F17919"/>
    <w:rsid w:val="00F17C79"/>
    <w:rsid w:val="00F20C56"/>
    <w:rsid w:val="00F21E3C"/>
    <w:rsid w:val="00F2287B"/>
    <w:rsid w:val="00F23143"/>
    <w:rsid w:val="00F23A13"/>
    <w:rsid w:val="00F24274"/>
    <w:rsid w:val="00F248C3"/>
    <w:rsid w:val="00F26250"/>
    <w:rsid w:val="00F26AB0"/>
    <w:rsid w:val="00F270F6"/>
    <w:rsid w:val="00F27711"/>
    <w:rsid w:val="00F30BF7"/>
    <w:rsid w:val="00F324ED"/>
    <w:rsid w:val="00F32B88"/>
    <w:rsid w:val="00F337C8"/>
    <w:rsid w:val="00F33E5B"/>
    <w:rsid w:val="00F3416E"/>
    <w:rsid w:val="00F34F95"/>
    <w:rsid w:val="00F3577C"/>
    <w:rsid w:val="00F361BA"/>
    <w:rsid w:val="00F365FC"/>
    <w:rsid w:val="00F36771"/>
    <w:rsid w:val="00F37350"/>
    <w:rsid w:val="00F37DE6"/>
    <w:rsid w:val="00F40DD9"/>
    <w:rsid w:val="00F41BF7"/>
    <w:rsid w:val="00F42329"/>
    <w:rsid w:val="00F439E1"/>
    <w:rsid w:val="00F440F3"/>
    <w:rsid w:val="00F4427D"/>
    <w:rsid w:val="00F46CD7"/>
    <w:rsid w:val="00F4769C"/>
    <w:rsid w:val="00F50825"/>
    <w:rsid w:val="00F50CCC"/>
    <w:rsid w:val="00F515CC"/>
    <w:rsid w:val="00F51882"/>
    <w:rsid w:val="00F51EC2"/>
    <w:rsid w:val="00F52215"/>
    <w:rsid w:val="00F52AC4"/>
    <w:rsid w:val="00F52EBF"/>
    <w:rsid w:val="00F53183"/>
    <w:rsid w:val="00F53343"/>
    <w:rsid w:val="00F5389B"/>
    <w:rsid w:val="00F55DDD"/>
    <w:rsid w:val="00F56469"/>
    <w:rsid w:val="00F6067C"/>
    <w:rsid w:val="00F61300"/>
    <w:rsid w:val="00F61AA6"/>
    <w:rsid w:val="00F61F59"/>
    <w:rsid w:val="00F61F76"/>
    <w:rsid w:val="00F62495"/>
    <w:rsid w:val="00F62AFA"/>
    <w:rsid w:val="00F63215"/>
    <w:rsid w:val="00F6743E"/>
    <w:rsid w:val="00F67D4B"/>
    <w:rsid w:val="00F70F28"/>
    <w:rsid w:val="00F7121B"/>
    <w:rsid w:val="00F714C0"/>
    <w:rsid w:val="00F71675"/>
    <w:rsid w:val="00F71C8A"/>
    <w:rsid w:val="00F723E7"/>
    <w:rsid w:val="00F72826"/>
    <w:rsid w:val="00F72E35"/>
    <w:rsid w:val="00F74982"/>
    <w:rsid w:val="00F74EE9"/>
    <w:rsid w:val="00F77F17"/>
    <w:rsid w:val="00F8058B"/>
    <w:rsid w:val="00F81391"/>
    <w:rsid w:val="00F81560"/>
    <w:rsid w:val="00F817B9"/>
    <w:rsid w:val="00F81FED"/>
    <w:rsid w:val="00F832D3"/>
    <w:rsid w:val="00F84C5C"/>
    <w:rsid w:val="00F84D1B"/>
    <w:rsid w:val="00F8578D"/>
    <w:rsid w:val="00F87138"/>
    <w:rsid w:val="00F90062"/>
    <w:rsid w:val="00F90300"/>
    <w:rsid w:val="00F90713"/>
    <w:rsid w:val="00F90CCA"/>
    <w:rsid w:val="00F913C4"/>
    <w:rsid w:val="00F92709"/>
    <w:rsid w:val="00F9509B"/>
    <w:rsid w:val="00F9536C"/>
    <w:rsid w:val="00F96AC1"/>
    <w:rsid w:val="00FA0CAE"/>
    <w:rsid w:val="00FA0D28"/>
    <w:rsid w:val="00FA11BF"/>
    <w:rsid w:val="00FA23AB"/>
    <w:rsid w:val="00FA2CD0"/>
    <w:rsid w:val="00FA314D"/>
    <w:rsid w:val="00FA4F03"/>
    <w:rsid w:val="00FA59F3"/>
    <w:rsid w:val="00FA664C"/>
    <w:rsid w:val="00FA6F1E"/>
    <w:rsid w:val="00FA709F"/>
    <w:rsid w:val="00FA7CBE"/>
    <w:rsid w:val="00FB1219"/>
    <w:rsid w:val="00FB1AB9"/>
    <w:rsid w:val="00FB1D4C"/>
    <w:rsid w:val="00FB2099"/>
    <w:rsid w:val="00FB2BF5"/>
    <w:rsid w:val="00FB2F0A"/>
    <w:rsid w:val="00FB30C3"/>
    <w:rsid w:val="00FB4F3C"/>
    <w:rsid w:val="00FB524D"/>
    <w:rsid w:val="00FB58D6"/>
    <w:rsid w:val="00FB596D"/>
    <w:rsid w:val="00FB603F"/>
    <w:rsid w:val="00FB62AC"/>
    <w:rsid w:val="00FB688D"/>
    <w:rsid w:val="00FB7146"/>
    <w:rsid w:val="00FB7969"/>
    <w:rsid w:val="00FC154B"/>
    <w:rsid w:val="00FC1E0B"/>
    <w:rsid w:val="00FC30BB"/>
    <w:rsid w:val="00FC3B94"/>
    <w:rsid w:val="00FC5D36"/>
    <w:rsid w:val="00FC77BF"/>
    <w:rsid w:val="00FC7A6B"/>
    <w:rsid w:val="00FD0406"/>
    <w:rsid w:val="00FD0737"/>
    <w:rsid w:val="00FD327B"/>
    <w:rsid w:val="00FD39D1"/>
    <w:rsid w:val="00FD4BFE"/>
    <w:rsid w:val="00FD563A"/>
    <w:rsid w:val="00FD5DE8"/>
    <w:rsid w:val="00FD666C"/>
    <w:rsid w:val="00FD66C4"/>
    <w:rsid w:val="00FD7809"/>
    <w:rsid w:val="00FE1130"/>
    <w:rsid w:val="00FE1906"/>
    <w:rsid w:val="00FE1E0D"/>
    <w:rsid w:val="00FE2CAE"/>
    <w:rsid w:val="00FE2DCD"/>
    <w:rsid w:val="00FE3EFD"/>
    <w:rsid w:val="00FE4625"/>
    <w:rsid w:val="00FE4FEC"/>
    <w:rsid w:val="00FE5092"/>
    <w:rsid w:val="00FE560C"/>
    <w:rsid w:val="00FE59CF"/>
    <w:rsid w:val="00FE5AF7"/>
    <w:rsid w:val="00FE6A56"/>
    <w:rsid w:val="00FF01BF"/>
    <w:rsid w:val="00FF0262"/>
    <w:rsid w:val="00FF1845"/>
    <w:rsid w:val="00FF1F11"/>
    <w:rsid w:val="00FF2BE1"/>
    <w:rsid w:val="00FF3E47"/>
    <w:rsid w:val="00FF47A3"/>
    <w:rsid w:val="00FF4B8D"/>
    <w:rsid w:val="00FF5AF4"/>
    <w:rsid w:val="00FF6A97"/>
    <w:rsid w:val="00FF73BB"/>
    <w:rsid w:val="06B9836D"/>
    <w:rsid w:val="1854CD7F"/>
    <w:rsid w:val="1CF2E3E8"/>
    <w:rsid w:val="1FD4993A"/>
    <w:rsid w:val="206A00C6"/>
    <w:rsid w:val="317B798F"/>
    <w:rsid w:val="31EC1EF3"/>
    <w:rsid w:val="33E734DE"/>
    <w:rsid w:val="38527ECE"/>
    <w:rsid w:val="43F574CA"/>
    <w:rsid w:val="457DAB7E"/>
    <w:rsid w:val="4A9F5A26"/>
    <w:rsid w:val="5EF30577"/>
    <w:rsid w:val="5EFA87F8"/>
    <w:rsid w:val="7124FC59"/>
    <w:rsid w:val="776C0A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B3CE5B0"/>
  <w15:chartTrackingRefBased/>
  <w15:docId w15:val="{AC225EAC-C45D-4461-A276-B5028644D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65F"/>
    <w:pPr>
      <w:widowControl w:val="0"/>
      <w:autoSpaceDE w:val="0"/>
      <w:autoSpaceDN w:val="0"/>
      <w:spacing w:after="0" w:line="240" w:lineRule="auto"/>
    </w:pPr>
    <w:rPr>
      <w:rFonts w:ascii="Calibri" w:eastAsia="Calibri" w:hAnsi="Calibri" w:cs="Calibri"/>
      <w:kern w:val="0"/>
      <w:sz w:val="22"/>
      <w:szCs w:val="22"/>
      <w:lang w:bidi="en-US"/>
      <w14:ligatures w14:val="none"/>
    </w:rPr>
  </w:style>
  <w:style w:type="paragraph" w:styleId="Heading1">
    <w:name w:val="heading 1"/>
    <w:basedOn w:val="Normal"/>
    <w:next w:val="Normal"/>
    <w:link w:val="Heading1Char"/>
    <w:uiPriority w:val="9"/>
    <w:qFormat/>
    <w:rsid w:val="00F55D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55D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55D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12FCE"/>
    <w:pPr>
      <w:keepNext/>
      <w:keepLines/>
      <w:spacing w:before="240" w:after="40"/>
      <w:outlineLvl w:val="3"/>
    </w:pPr>
    <w:rPr>
      <w:rFonts w:eastAsiaTheme="majorEastAsia" w:cstheme="majorBidi"/>
      <w:i/>
      <w:iCs/>
      <w:color w:val="0F4761" w:themeColor="accent1" w:themeShade="BF"/>
      <w:sz w:val="28"/>
    </w:rPr>
  </w:style>
  <w:style w:type="paragraph" w:styleId="Heading5">
    <w:name w:val="heading 5"/>
    <w:basedOn w:val="Normal"/>
    <w:next w:val="Normal"/>
    <w:link w:val="Heading5Char"/>
    <w:uiPriority w:val="9"/>
    <w:unhideWhenUsed/>
    <w:qFormat/>
    <w:rsid w:val="00F55D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5DD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5DD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5DD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5DD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D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55D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55D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B12FCE"/>
    <w:rPr>
      <w:rFonts w:ascii="Calibri" w:eastAsiaTheme="majorEastAsia" w:hAnsi="Calibri" w:cstheme="majorBidi"/>
      <w:i/>
      <w:iCs/>
      <w:color w:val="0F4761" w:themeColor="accent1" w:themeShade="BF"/>
      <w:kern w:val="0"/>
      <w:sz w:val="28"/>
      <w:szCs w:val="22"/>
      <w:lang w:bidi="en-US"/>
      <w14:ligatures w14:val="none"/>
    </w:rPr>
  </w:style>
  <w:style w:type="character" w:customStyle="1" w:styleId="Heading5Char">
    <w:name w:val="Heading 5 Char"/>
    <w:basedOn w:val="DefaultParagraphFont"/>
    <w:link w:val="Heading5"/>
    <w:uiPriority w:val="9"/>
    <w:rsid w:val="00F55D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5D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5D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5D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5DDD"/>
    <w:rPr>
      <w:rFonts w:eastAsiaTheme="majorEastAsia" w:cstheme="majorBidi"/>
      <w:color w:val="272727" w:themeColor="text1" w:themeTint="D8"/>
    </w:rPr>
  </w:style>
  <w:style w:type="paragraph" w:styleId="Title">
    <w:name w:val="Title"/>
    <w:basedOn w:val="Normal"/>
    <w:next w:val="Normal"/>
    <w:link w:val="TitleChar"/>
    <w:uiPriority w:val="10"/>
    <w:qFormat/>
    <w:rsid w:val="00F55DD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5D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5D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5D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5DDD"/>
    <w:pPr>
      <w:spacing w:before="160"/>
      <w:jc w:val="center"/>
    </w:pPr>
    <w:rPr>
      <w:i/>
      <w:iCs/>
      <w:color w:val="404040" w:themeColor="text1" w:themeTint="BF"/>
    </w:rPr>
  </w:style>
  <w:style w:type="character" w:customStyle="1" w:styleId="QuoteChar">
    <w:name w:val="Quote Char"/>
    <w:basedOn w:val="DefaultParagraphFont"/>
    <w:link w:val="Quote"/>
    <w:uiPriority w:val="29"/>
    <w:rsid w:val="00F55DDD"/>
    <w:rPr>
      <w:i/>
      <w:iCs/>
      <w:color w:val="404040" w:themeColor="text1" w:themeTint="BF"/>
    </w:rPr>
  </w:style>
  <w:style w:type="paragraph" w:styleId="ListParagraph">
    <w:name w:val="List Paragraph"/>
    <w:basedOn w:val="Normal"/>
    <w:uiPriority w:val="34"/>
    <w:qFormat/>
    <w:rsid w:val="00F55DDD"/>
    <w:pPr>
      <w:ind w:left="720"/>
      <w:contextualSpacing/>
    </w:pPr>
  </w:style>
  <w:style w:type="character" w:styleId="IntenseEmphasis">
    <w:name w:val="Intense Emphasis"/>
    <w:basedOn w:val="DefaultParagraphFont"/>
    <w:uiPriority w:val="21"/>
    <w:qFormat/>
    <w:rsid w:val="00F55DDD"/>
    <w:rPr>
      <w:i/>
      <w:iCs/>
      <w:color w:val="0F4761" w:themeColor="accent1" w:themeShade="BF"/>
    </w:rPr>
  </w:style>
  <w:style w:type="paragraph" w:styleId="IntenseQuote">
    <w:name w:val="Intense Quote"/>
    <w:basedOn w:val="Normal"/>
    <w:next w:val="Normal"/>
    <w:link w:val="IntenseQuoteChar"/>
    <w:uiPriority w:val="30"/>
    <w:qFormat/>
    <w:rsid w:val="00F55D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5DDD"/>
    <w:rPr>
      <w:i/>
      <w:iCs/>
      <w:color w:val="0F4761" w:themeColor="accent1" w:themeShade="BF"/>
    </w:rPr>
  </w:style>
  <w:style w:type="character" w:styleId="IntenseReference">
    <w:name w:val="Intense Reference"/>
    <w:basedOn w:val="DefaultParagraphFont"/>
    <w:uiPriority w:val="32"/>
    <w:qFormat/>
    <w:rsid w:val="00F55DDD"/>
    <w:rPr>
      <w:b/>
      <w:bCs/>
      <w:smallCaps/>
      <w:color w:val="0F4761" w:themeColor="accent1" w:themeShade="BF"/>
      <w:spacing w:val="5"/>
    </w:rPr>
  </w:style>
  <w:style w:type="paragraph" w:styleId="BodyText">
    <w:name w:val="Body Text"/>
    <w:basedOn w:val="Normal"/>
    <w:link w:val="BodyTextChar"/>
    <w:uiPriority w:val="1"/>
    <w:qFormat/>
    <w:rsid w:val="00F55DDD"/>
    <w:rPr>
      <w:sz w:val="24"/>
      <w:szCs w:val="24"/>
    </w:rPr>
  </w:style>
  <w:style w:type="character" w:customStyle="1" w:styleId="BodyTextChar">
    <w:name w:val="Body Text Char"/>
    <w:basedOn w:val="DefaultParagraphFont"/>
    <w:link w:val="BodyText"/>
    <w:uiPriority w:val="1"/>
    <w:rsid w:val="00F55DDD"/>
    <w:rPr>
      <w:rFonts w:ascii="Calibri" w:eastAsia="Calibri" w:hAnsi="Calibri" w:cs="Calibri"/>
      <w:kern w:val="0"/>
      <w:lang w:bidi="en-US"/>
      <w14:ligatures w14:val="none"/>
    </w:rPr>
  </w:style>
  <w:style w:type="paragraph" w:customStyle="1" w:styleId="Default">
    <w:name w:val="Default"/>
    <w:rsid w:val="001F5903"/>
    <w:pPr>
      <w:autoSpaceDE w:val="0"/>
      <w:autoSpaceDN w:val="0"/>
      <w:adjustRightInd w:val="0"/>
      <w:spacing w:after="0" w:line="240" w:lineRule="auto"/>
    </w:pPr>
    <w:rPr>
      <w:rFonts w:ascii="Cambria" w:hAnsi="Cambria" w:cs="Cambria"/>
      <w:color w:val="000000"/>
      <w:kern w:val="0"/>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Calibri" w:hAnsi="Calibri" w:cs="Calibri"/>
      <w:kern w:val="0"/>
      <w:sz w:val="20"/>
      <w:szCs w:val="20"/>
      <w:lang w:bidi="en-US"/>
      <w14:ligatures w14:val="non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44492"/>
    <w:rPr>
      <w:b/>
      <w:bCs/>
    </w:rPr>
  </w:style>
  <w:style w:type="character" w:customStyle="1" w:styleId="CommentSubjectChar">
    <w:name w:val="Comment Subject Char"/>
    <w:basedOn w:val="CommentTextChar"/>
    <w:link w:val="CommentSubject"/>
    <w:uiPriority w:val="99"/>
    <w:semiHidden/>
    <w:rsid w:val="00744492"/>
    <w:rPr>
      <w:rFonts w:ascii="Calibri" w:eastAsia="Calibri" w:hAnsi="Calibri" w:cs="Calibri"/>
      <w:b/>
      <w:bCs/>
      <w:kern w:val="0"/>
      <w:sz w:val="20"/>
      <w:szCs w:val="20"/>
      <w:lang w:bidi="en-US"/>
      <w14:ligatures w14:val="none"/>
    </w:rPr>
  </w:style>
  <w:style w:type="character" w:styleId="Hyperlink">
    <w:name w:val="Hyperlink"/>
    <w:basedOn w:val="DefaultParagraphFont"/>
    <w:uiPriority w:val="99"/>
    <w:unhideWhenUsed/>
    <w:rsid w:val="00744492"/>
    <w:rPr>
      <w:color w:val="467886" w:themeColor="hyperlink"/>
      <w:u w:val="single"/>
    </w:rPr>
  </w:style>
  <w:style w:type="character" w:styleId="UnresolvedMention">
    <w:name w:val="Unresolved Mention"/>
    <w:basedOn w:val="DefaultParagraphFont"/>
    <w:uiPriority w:val="99"/>
    <w:semiHidden/>
    <w:unhideWhenUsed/>
    <w:rsid w:val="00744492"/>
    <w:rPr>
      <w:color w:val="605E5C"/>
      <w:shd w:val="clear" w:color="auto" w:fill="E1DFDD"/>
    </w:rPr>
  </w:style>
  <w:style w:type="paragraph" w:styleId="Revision">
    <w:name w:val="Revision"/>
    <w:hidden/>
    <w:uiPriority w:val="99"/>
    <w:semiHidden/>
    <w:rsid w:val="006732C5"/>
    <w:pPr>
      <w:spacing w:after="0" w:line="240" w:lineRule="auto"/>
    </w:pPr>
    <w:rPr>
      <w:rFonts w:ascii="Calibri" w:eastAsia="Calibri" w:hAnsi="Calibri" w:cs="Calibri"/>
      <w:kern w:val="0"/>
      <w:sz w:val="22"/>
      <w:szCs w:val="22"/>
      <w:lang w:bidi="en-US"/>
      <w14:ligatures w14:val="none"/>
    </w:rPr>
  </w:style>
  <w:style w:type="table" w:styleId="TableGrid">
    <w:name w:val="Table Grid"/>
    <w:basedOn w:val="TableNormal"/>
    <w:uiPriority w:val="39"/>
    <w:rsid w:val="00EC3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D1BDE"/>
    <w:pPr>
      <w:tabs>
        <w:tab w:val="center" w:pos="4680"/>
        <w:tab w:val="right" w:pos="9360"/>
      </w:tabs>
    </w:pPr>
  </w:style>
  <w:style w:type="character" w:customStyle="1" w:styleId="HeaderChar">
    <w:name w:val="Header Char"/>
    <w:basedOn w:val="DefaultParagraphFont"/>
    <w:link w:val="Header"/>
    <w:uiPriority w:val="99"/>
    <w:rsid w:val="00CD1BDE"/>
    <w:rPr>
      <w:rFonts w:ascii="Calibri" w:eastAsia="Calibri" w:hAnsi="Calibri" w:cs="Calibri"/>
      <w:kern w:val="0"/>
      <w:sz w:val="22"/>
      <w:szCs w:val="22"/>
      <w:lang w:bidi="en-US"/>
      <w14:ligatures w14:val="none"/>
    </w:rPr>
  </w:style>
  <w:style w:type="paragraph" w:styleId="Footer">
    <w:name w:val="footer"/>
    <w:basedOn w:val="Normal"/>
    <w:link w:val="FooterChar"/>
    <w:uiPriority w:val="99"/>
    <w:unhideWhenUsed/>
    <w:rsid w:val="00CD1BDE"/>
    <w:pPr>
      <w:tabs>
        <w:tab w:val="center" w:pos="4680"/>
        <w:tab w:val="right" w:pos="9360"/>
      </w:tabs>
    </w:pPr>
  </w:style>
  <w:style w:type="character" w:customStyle="1" w:styleId="FooterChar">
    <w:name w:val="Footer Char"/>
    <w:basedOn w:val="DefaultParagraphFont"/>
    <w:link w:val="Footer"/>
    <w:uiPriority w:val="99"/>
    <w:rsid w:val="00CD1BDE"/>
    <w:rPr>
      <w:rFonts w:ascii="Calibri" w:eastAsia="Calibri" w:hAnsi="Calibri" w:cs="Calibri"/>
      <w:kern w:val="0"/>
      <w:sz w:val="22"/>
      <w:szCs w:val="22"/>
      <w:lang w:bidi="en-US"/>
      <w14:ligatures w14:val="none"/>
    </w:rPr>
  </w:style>
  <w:style w:type="character" w:customStyle="1" w:styleId="cf01">
    <w:name w:val="cf01"/>
    <w:basedOn w:val="DefaultParagraphFont"/>
    <w:rsid w:val="00335592"/>
    <w:rPr>
      <w:rFonts w:ascii="Segoe UI" w:hAnsi="Segoe UI" w:cs="Segoe UI" w:hint="default"/>
      <w:sz w:val="18"/>
      <w:szCs w:val="18"/>
    </w:rPr>
  </w:style>
  <w:style w:type="paragraph" w:styleId="EndnoteText">
    <w:name w:val="endnote text"/>
    <w:basedOn w:val="Normal"/>
    <w:link w:val="EndnoteTextChar"/>
    <w:uiPriority w:val="99"/>
    <w:semiHidden/>
    <w:unhideWhenUsed/>
    <w:rsid w:val="00335592"/>
    <w:rPr>
      <w:sz w:val="20"/>
      <w:szCs w:val="20"/>
    </w:rPr>
  </w:style>
  <w:style w:type="character" w:customStyle="1" w:styleId="EndnoteTextChar">
    <w:name w:val="Endnote Text Char"/>
    <w:basedOn w:val="DefaultParagraphFont"/>
    <w:link w:val="EndnoteText"/>
    <w:uiPriority w:val="99"/>
    <w:semiHidden/>
    <w:rsid w:val="00335592"/>
    <w:rPr>
      <w:rFonts w:ascii="Calibri" w:eastAsia="Calibri" w:hAnsi="Calibri" w:cs="Calibri"/>
      <w:kern w:val="0"/>
      <w:sz w:val="20"/>
      <w:szCs w:val="20"/>
      <w:lang w:bidi="en-US"/>
      <w14:ligatures w14:val="none"/>
    </w:rPr>
  </w:style>
  <w:style w:type="character" w:styleId="EndnoteReference">
    <w:name w:val="endnote reference"/>
    <w:basedOn w:val="DefaultParagraphFont"/>
    <w:uiPriority w:val="99"/>
    <w:semiHidden/>
    <w:unhideWhenUsed/>
    <w:rsid w:val="00335592"/>
    <w:rPr>
      <w:vertAlign w:val="superscript"/>
    </w:rPr>
  </w:style>
  <w:style w:type="paragraph" w:styleId="FootnoteText">
    <w:name w:val="footnote text"/>
    <w:basedOn w:val="Normal"/>
    <w:link w:val="FootnoteTextChar"/>
    <w:uiPriority w:val="99"/>
    <w:semiHidden/>
    <w:unhideWhenUsed/>
    <w:rsid w:val="003060C2"/>
    <w:rPr>
      <w:sz w:val="20"/>
      <w:szCs w:val="20"/>
    </w:rPr>
  </w:style>
  <w:style w:type="character" w:customStyle="1" w:styleId="FootnoteTextChar">
    <w:name w:val="Footnote Text Char"/>
    <w:basedOn w:val="DefaultParagraphFont"/>
    <w:link w:val="FootnoteText"/>
    <w:uiPriority w:val="99"/>
    <w:semiHidden/>
    <w:rsid w:val="003060C2"/>
    <w:rPr>
      <w:rFonts w:ascii="Calibri" w:eastAsia="Calibri" w:hAnsi="Calibri" w:cs="Calibri"/>
      <w:kern w:val="0"/>
      <w:sz w:val="20"/>
      <w:szCs w:val="20"/>
      <w:lang w:bidi="en-US"/>
      <w14:ligatures w14:val="none"/>
    </w:rPr>
  </w:style>
  <w:style w:type="character" w:styleId="FootnoteReference">
    <w:name w:val="footnote reference"/>
    <w:basedOn w:val="DefaultParagraphFont"/>
    <w:uiPriority w:val="99"/>
    <w:semiHidden/>
    <w:unhideWhenUsed/>
    <w:rsid w:val="003060C2"/>
    <w:rPr>
      <w:vertAlign w:val="superscript"/>
    </w:rPr>
  </w:style>
  <w:style w:type="paragraph" w:styleId="NoSpacing">
    <w:name w:val="No Spacing"/>
    <w:uiPriority w:val="1"/>
    <w:qFormat/>
    <w:rsid w:val="00420C25"/>
    <w:pPr>
      <w:spacing w:after="0" w:line="240" w:lineRule="auto"/>
    </w:pPr>
    <w:rPr>
      <w:sz w:val="22"/>
      <w:szCs w:val="22"/>
    </w:rPr>
  </w:style>
  <w:style w:type="table" w:styleId="TableGridLight">
    <w:name w:val="Grid Table Light"/>
    <w:basedOn w:val="TableNormal"/>
    <w:uiPriority w:val="40"/>
    <w:rsid w:val="00420C25"/>
    <w:pPr>
      <w:spacing w:after="0" w:line="240" w:lineRule="auto"/>
    </w:pPr>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CA6F4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TableParagraph">
    <w:name w:val="Table Paragraph"/>
    <w:basedOn w:val="Normal"/>
    <w:uiPriority w:val="1"/>
    <w:qFormat/>
    <w:rsid w:val="00E5529C"/>
  </w:style>
  <w:style w:type="character" w:styleId="Mention">
    <w:name w:val="Mention"/>
    <w:basedOn w:val="DefaultParagraphFont"/>
    <w:uiPriority w:val="99"/>
    <w:unhideWhenUsed/>
    <w:rsid w:val="00900E71"/>
    <w:rPr>
      <w:color w:val="2B579A"/>
      <w:shd w:val="clear" w:color="auto" w:fill="E1DFDD"/>
    </w:rPr>
  </w:style>
  <w:style w:type="paragraph" w:customStyle="1" w:styleId="paragraph">
    <w:name w:val="paragraph"/>
    <w:basedOn w:val="Normal"/>
    <w:rsid w:val="0035641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356418"/>
  </w:style>
  <w:style w:type="character" w:customStyle="1" w:styleId="eop">
    <w:name w:val="eop"/>
    <w:basedOn w:val="DefaultParagraphFont"/>
    <w:rsid w:val="00356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8549">
      <w:bodyDiv w:val="1"/>
      <w:marLeft w:val="0"/>
      <w:marRight w:val="0"/>
      <w:marTop w:val="0"/>
      <w:marBottom w:val="0"/>
      <w:divBdr>
        <w:top w:val="none" w:sz="0" w:space="0" w:color="auto"/>
        <w:left w:val="none" w:sz="0" w:space="0" w:color="auto"/>
        <w:bottom w:val="none" w:sz="0" w:space="0" w:color="auto"/>
        <w:right w:val="none" w:sz="0" w:space="0" w:color="auto"/>
      </w:divBdr>
    </w:div>
    <w:div w:id="218830503">
      <w:bodyDiv w:val="1"/>
      <w:marLeft w:val="0"/>
      <w:marRight w:val="0"/>
      <w:marTop w:val="0"/>
      <w:marBottom w:val="0"/>
      <w:divBdr>
        <w:top w:val="none" w:sz="0" w:space="0" w:color="auto"/>
        <w:left w:val="none" w:sz="0" w:space="0" w:color="auto"/>
        <w:bottom w:val="none" w:sz="0" w:space="0" w:color="auto"/>
        <w:right w:val="none" w:sz="0" w:space="0" w:color="auto"/>
      </w:divBdr>
    </w:div>
    <w:div w:id="316766361">
      <w:bodyDiv w:val="1"/>
      <w:marLeft w:val="0"/>
      <w:marRight w:val="0"/>
      <w:marTop w:val="0"/>
      <w:marBottom w:val="0"/>
      <w:divBdr>
        <w:top w:val="none" w:sz="0" w:space="0" w:color="auto"/>
        <w:left w:val="none" w:sz="0" w:space="0" w:color="auto"/>
        <w:bottom w:val="none" w:sz="0" w:space="0" w:color="auto"/>
        <w:right w:val="none" w:sz="0" w:space="0" w:color="auto"/>
      </w:divBdr>
      <w:divsChild>
        <w:div w:id="1152329581">
          <w:marLeft w:val="734"/>
          <w:marRight w:val="0"/>
          <w:marTop w:val="0"/>
          <w:marBottom w:val="120"/>
          <w:divBdr>
            <w:top w:val="none" w:sz="0" w:space="0" w:color="auto"/>
            <w:left w:val="none" w:sz="0" w:space="0" w:color="auto"/>
            <w:bottom w:val="none" w:sz="0" w:space="0" w:color="auto"/>
            <w:right w:val="none" w:sz="0" w:space="0" w:color="auto"/>
          </w:divBdr>
        </w:div>
        <w:div w:id="2039966141">
          <w:marLeft w:val="734"/>
          <w:marRight w:val="0"/>
          <w:marTop w:val="0"/>
          <w:marBottom w:val="120"/>
          <w:divBdr>
            <w:top w:val="none" w:sz="0" w:space="0" w:color="auto"/>
            <w:left w:val="none" w:sz="0" w:space="0" w:color="auto"/>
            <w:bottom w:val="none" w:sz="0" w:space="0" w:color="auto"/>
            <w:right w:val="none" w:sz="0" w:space="0" w:color="auto"/>
          </w:divBdr>
        </w:div>
      </w:divsChild>
    </w:div>
    <w:div w:id="321350586">
      <w:bodyDiv w:val="1"/>
      <w:marLeft w:val="0"/>
      <w:marRight w:val="0"/>
      <w:marTop w:val="0"/>
      <w:marBottom w:val="0"/>
      <w:divBdr>
        <w:top w:val="none" w:sz="0" w:space="0" w:color="auto"/>
        <w:left w:val="none" w:sz="0" w:space="0" w:color="auto"/>
        <w:bottom w:val="none" w:sz="0" w:space="0" w:color="auto"/>
        <w:right w:val="none" w:sz="0" w:space="0" w:color="auto"/>
      </w:divBdr>
    </w:div>
    <w:div w:id="429399740">
      <w:bodyDiv w:val="1"/>
      <w:marLeft w:val="0"/>
      <w:marRight w:val="0"/>
      <w:marTop w:val="0"/>
      <w:marBottom w:val="0"/>
      <w:divBdr>
        <w:top w:val="none" w:sz="0" w:space="0" w:color="auto"/>
        <w:left w:val="none" w:sz="0" w:space="0" w:color="auto"/>
        <w:bottom w:val="none" w:sz="0" w:space="0" w:color="auto"/>
        <w:right w:val="none" w:sz="0" w:space="0" w:color="auto"/>
      </w:divBdr>
      <w:divsChild>
        <w:div w:id="1024941820">
          <w:marLeft w:val="734"/>
          <w:marRight w:val="0"/>
          <w:marTop w:val="0"/>
          <w:marBottom w:val="120"/>
          <w:divBdr>
            <w:top w:val="none" w:sz="0" w:space="0" w:color="auto"/>
            <w:left w:val="none" w:sz="0" w:space="0" w:color="auto"/>
            <w:bottom w:val="none" w:sz="0" w:space="0" w:color="auto"/>
            <w:right w:val="none" w:sz="0" w:space="0" w:color="auto"/>
          </w:divBdr>
        </w:div>
        <w:div w:id="1199396074">
          <w:marLeft w:val="734"/>
          <w:marRight w:val="0"/>
          <w:marTop w:val="0"/>
          <w:marBottom w:val="120"/>
          <w:divBdr>
            <w:top w:val="none" w:sz="0" w:space="0" w:color="auto"/>
            <w:left w:val="none" w:sz="0" w:space="0" w:color="auto"/>
            <w:bottom w:val="none" w:sz="0" w:space="0" w:color="auto"/>
            <w:right w:val="none" w:sz="0" w:space="0" w:color="auto"/>
          </w:divBdr>
        </w:div>
        <w:div w:id="1720129109">
          <w:marLeft w:val="734"/>
          <w:marRight w:val="0"/>
          <w:marTop w:val="0"/>
          <w:marBottom w:val="120"/>
          <w:divBdr>
            <w:top w:val="none" w:sz="0" w:space="0" w:color="auto"/>
            <w:left w:val="none" w:sz="0" w:space="0" w:color="auto"/>
            <w:bottom w:val="none" w:sz="0" w:space="0" w:color="auto"/>
            <w:right w:val="none" w:sz="0" w:space="0" w:color="auto"/>
          </w:divBdr>
        </w:div>
      </w:divsChild>
    </w:div>
    <w:div w:id="520238759">
      <w:bodyDiv w:val="1"/>
      <w:marLeft w:val="0"/>
      <w:marRight w:val="0"/>
      <w:marTop w:val="0"/>
      <w:marBottom w:val="0"/>
      <w:divBdr>
        <w:top w:val="none" w:sz="0" w:space="0" w:color="auto"/>
        <w:left w:val="none" w:sz="0" w:space="0" w:color="auto"/>
        <w:bottom w:val="none" w:sz="0" w:space="0" w:color="auto"/>
        <w:right w:val="none" w:sz="0" w:space="0" w:color="auto"/>
      </w:divBdr>
    </w:div>
    <w:div w:id="611592230">
      <w:bodyDiv w:val="1"/>
      <w:marLeft w:val="0"/>
      <w:marRight w:val="0"/>
      <w:marTop w:val="0"/>
      <w:marBottom w:val="0"/>
      <w:divBdr>
        <w:top w:val="none" w:sz="0" w:space="0" w:color="auto"/>
        <w:left w:val="none" w:sz="0" w:space="0" w:color="auto"/>
        <w:bottom w:val="none" w:sz="0" w:space="0" w:color="auto"/>
        <w:right w:val="none" w:sz="0" w:space="0" w:color="auto"/>
      </w:divBdr>
      <w:divsChild>
        <w:div w:id="152186447">
          <w:marLeft w:val="0"/>
          <w:marRight w:val="0"/>
          <w:marTop w:val="0"/>
          <w:marBottom w:val="0"/>
          <w:divBdr>
            <w:top w:val="none" w:sz="0" w:space="0" w:color="auto"/>
            <w:left w:val="none" w:sz="0" w:space="0" w:color="auto"/>
            <w:bottom w:val="none" w:sz="0" w:space="0" w:color="auto"/>
            <w:right w:val="none" w:sz="0" w:space="0" w:color="auto"/>
          </w:divBdr>
        </w:div>
        <w:div w:id="1490712551">
          <w:marLeft w:val="0"/>
          <w:marRight w:val="0"/>
          <w:marTop w:val="0"/>
          <w:marBottom w:val="0"/>
          <w:divBdr>
            <w:top w:val="none" w:sz="0" w:space="0" w:color="auto"/>
            <w:left w:val="none" w:sz="0" w:space="0" w:color="auto"/>
            <w:bottom w:val="none" w:sz="0" w:space="0" w:color="auto"/>
            <w:right w:val="none" w:sz="0" w:space="0" w:color="auto"/>
          </w:divBdr>
        </w:div>
      </w:divsChild>
    </w:div>
    <w:div w:id="707267302">
      <w:bodyDiv w:val="1"/>
      <w:marLeft w:val="0"/>
      <w:marRight w:val="0"/>
      <w:marTop w:val="0"/>
      <w:marBottom w:val="0"/>
      <w:divBdr>
        <w:top w:val="none" w:sz="0" w:space="0" w:color="auto"/>
        <w:left w:val="none" w:sz="0" w:space="0" w:color="auto"/>
        <w:bottom w:val="none" w:sz="0" w:space="0" w:color="auto"/>
        <w:right w:val="none" w:sz="0" w:space="0" w:color="auto"/>
      </w:divBdr>
    </w:div>
    <w:div w:id="955673023">
      <w:bodyDiv w:val="1"/>
      <w:marLeft w:val="0"/>
      <w:marRight w:val="0"/>
      <w:marTop w:val="0"/>
      <w:marBottom w:val="0"/>
      <w:divBdr>
        <w:top w:val="none" w:sz="0" w:space="0" w:color="auto"/>
        <w:left w:val="none" w:sz="0" w:space="0" w:color="auto"/>
        <w:bottom w:val="none" w:sz="0" w:space="0" w:color="auto"/>
        <w:right w:val="none" w:sz="0" w:space="0" w:color="auto"/>
      </w:divBdr>
      <w:divsChild>
        <w:div w:id="1568489962">
          <w:marLeft w:val="734"/>
          <w:marRight w:val="0"/>
          <w:marTop w:val="0"/>
          <w:marBottom w:val="120"/>
          <w:divBdr>
            <w:top w:val="none" w:sz="0" w:space="0" w:color="auto"/>
            <w:left w:val="none" w:sz="0" w:space="0" w:color="auto"/>
            <w:bottom w:val="none" w:sz="0" w:space="0" w:color="auto"/>
            <w:right w:val="none" w:sz="0" w:space="0" w:color="auto"/>
          </w:divBdr>
        </w:div>
        <w:div w:id="1766338670">
          <w:marLeft w:val="734"/>
          <w:marRight w:val="0"/>
          <w:marTop w:val="0"/>
          <w:marBottom w:val="120"/>
          <w:divBdr>
            <w:top w:val="none" w:sz="0" w:space="0" w:color="auto"/>
            <w:left w:val="none" w:sz="0" w:space="0" w:color="auto"/>
            <w:bottom w:val="none" w:sz="0" w:space="0" w:color="auto"/>
            <w:right w:val="none" w:sz="0" w:space="0" w:color="auto"/>
          </w:divBdr>
        </w:div>
        <w:div w:id="1861115535">
          <w:marLeft w:val="734"/>
          <w:marRight w:val="0"/>
          <w:marTop w:val="0"/>
          <w:marBottom w:val="120"/>
          <w:divBdr>
            <w:top w:val="none" w:sz="0" w:space="0" w:color="auto"/>
            <w:left w:val="none" w:sz="0" w:space="0" w:color="auto"/>
            <w:bottom w:val="none" w:sz="0" w:space="0" w:color="auto"/>
            <w:right w:val="none" w:sz="0" w:space="0" w:color="auto"/>
          </w:divBdr>
        </w:div>
      </w:divsChild>
    </w:div>
    <w:div w:id="1107581070">
      <w:bodyDiv w:val="1"/>
      <w:marLeft w:val="0"/>
      <w:marRight w:val="0"/>
      <w:marTop w:val="0"/>
      <w:marBottom w:val="0"/>
      <w:divBdr>
        <w:top w:val="none" w:sz="0" w:space="0" w:color="auto"/>
        <w:left w:val="none" w:sz="0" w:space="0" w:color="auto"/>
        <w:bottom w:val="none" w:sz="0" w:space="0" w:color="auto"/>
        <w:right w:val="none" w:sz="0" w:space="0" w:color="auto"/>
      </w:divBdr>
    </w:div>
    <w:div w:id="1143546525">
      <w:bodyDiv w:val="1"/>
      <w:marLeft w:val="0"/>
      <w:marRight w:val="0"/>
      <w:marTop w:val="0"/>
      <w:marBottom w:val="0"/>
      <w:divBdr>
        <w:top w:val="none" w:sz="0" w:space="0" w:color="auto"/>
        <w:left w:val="none" w:sz="0" w:space="0" w:color="auto"/>
        <w:bottom w:val="none" w:sz="0" w:space="0" w:color="auto"/>
        <w:right w:val="none" w:sz="0" w:space="0" w:color="auto"/>
      </w:divBdr>
      <w:divsChild>
        <w:div w:id="288322913">
          <w:marLeft w:val="0"/>
          <w:marRight w:val="0"/>
          <w:marTop w:val="0"/>
          <w:marBottom w:val="0"/>
          <w:divBdr>
            <w:top w:val="none" w:sz="0" w:space="0" w:color="auto"/>
            <w:left w:val="none" w:sz="0" w:space="0" w:color="auto"/>
            <w:bottom w:val="none" w:sz="0" w:space="0" w:color="auto"/>
            <w:right w:val="none" w:sz="0" w:space="0" w:color="auto"/>
          </w:divBdr>
        </w:div>
        <w:div w:id="302928880">
          <w:marLeft w:val="0"/>
          <w:marRight w:val="0"/>
          <w:marTop w:val="0"/>
          <w:marBottom w:val="0"/>
          <w:divBdr>
            <w:top w:val="none" w:sz="0" w:space="0" w:color="auto"/>
            <w:left w:val="none" w:sz="0" w:space="0" w:color="auto"/>
            <w:bottom w:val="none" w:sz="0" w:space="0" w:color="auto"/>
            <w:right w:val="none" w:sz="0" w:space="0" w:color="auto"/>
          </w:divBdr>
        </w:div>
        <w:div w:id="333342919">
          <w:marLeft w:val="0"/>
          <w:marRight w:val="0"/>
          <w:marTop w:val="0"/>
          <w:marBottom w:val="0"/>
          <w:divBdr>
            <w:top w:val="none" w:sz="0" w:space="0" w:color="auto"/>
            <w:left w:val="none" w:sz="0" w:space="0" w:color="auto"/>
            <w:bottom w:val="none" w:sz="0" w:space="0" w:color="auto"/>
            <w:right w:val="none" w:sz="0" w:space="0" w:color="auto"/>
          </w:divBdr>
        </w:div>
        <w:div w:id="920724775">
          <w:marLeft w:val="0"/>
          <w:marRight w:val="0"/>
          <w:marTop w:val="0"/>
          <w:marBottom w:val="0"/>
          <w:divBdr>
            <w:top w:val="none" w:sz="0" w:space="0" w:color="auto"/>
            <w:left w:val="none" w:sz="0" w:space="0" w:color="auto"/>
            <w:bottom w:val="none" w:sz="0" w:space="0" w:color="auto"/>
            <w:right w:val="none" w:sz="0" w:space="0" w:color="auto"/>
          </w:divBdr>
        </w:div>
        <w:div w:id="1042168568">
          <w:marLeft w:val="0"/>
          <w:marRight w:val="0"/>
          <w:marTop w:val="0"/>
          <w:marBottom w:val="0"/>
          <w:divBdr>
            <w:top w:val="none" w:sz="0" w:space="0" w:color="auto"/>
            <w:left w:val="none" w:sz="0" w:space="0" w:color="auto"/>
            <w:bottom w:val="none" w:sz="0" w:space="0" w:color="auto"/>
            <w:right w:val="none" w:sz="0" w:space="0" w:color="auto"/>
          </w:divBdr>
        </w:div>
        <w:div w:id="1145972347">
          <w:marLeft w:val="0"/>
          <w:marRight w:val="0"/>
          <w:marTop w:val="0"/>
          <w:marBottom w:val="0"/>
          <w:divBdr>
            <w:top w:val="none" w:sz="0" w:space="0" w:color="auto"/>
            <w:left w:val="none" w:sz="0" w:space="0" w:color="auto"/>
            <w:bottom w:val="none" w:sz="0" w:space="0" w:color="auto"/>
            <w:right w:val="none" w:sz="0" w:space="0" w:color="auto"/>
          </w:divBdr>
        </w:div>
        <w:div w:id="1810170980">
          <w:marLeft w:val="0"/>
          <w:marRight w:val="0"/>
          <w:marTop w:val="0"/>
          <w:marBottom w:val="0"/>
          <w:divBdr>
            <w:top w:val="none" w:sz="0" w:space="0" w:color="auto"/>
            <w:left w:val="none" w:sz="0" w:space="0" w:color="auto"/>
            <w:bottom w:val="none" w:sz="0" w:space="0" w:color="auto"/>
            <w:right w:val="none" w:sz="0" w:space="0" w:color="auto"/>
          </w:divBdr>
        </w:div>
        <w:div w:id="2109961060">
          <w:marLeft w:val="0"/>
          <w:marRight w:val="0"/>
          <w:marTop w:val="0"/>
          <w:marBottom w:val="0"/>
          <w:divBdr>
            <w:top w:val="none" w:sz="0" w:space="0" w:color="auto"/>
            <w:left w:val="none" w:sz="0" w:space="0" w:color="auto"/>
            <w:bottom w:val="none" w:sz="0" w:space="0" w:color="auto"/>
            <w:right w:val="none" w:sz="0" w:space="0" w:color="auto"/>
          </w:divBdr>
        </w:div>
      </w:divsChild>
    </w:div>
    <w:div w:id="1646814950">
      <w:bodyDiv w:val="1"/>
      <w:marLeft w:val="0"/>
      <w:marRight w:val="0"/>
      <w:marTop w:val="0"/>
      <w:marBottom w:val="0"/>
      <w:divBdr>
        <w:top w:val="none" w:sz="0" w:space="0" w:color="auto"/>
        <w:left w:val="none" w:sz="0" w:space="0" w:color="auto"/>
        <w:bottom w:val="none" w:sz="0" w:space="0" w:color="auto"/>
        <w:right w:val="none" w:sz="0" w:space="0" w:color="auto"/>
      </w:divBdr>
    </w:div>
    <w:div w:id="1757164906">
      <w:bodyDiv w:val="1"/>
      <w:marLeft w:val="0"/>
      <w:marRight w:val="0"/>
      <w:marTop w:val="0"/>
      <w:marBottom w:val="0"/>
      <w:divBdr>
        <w:top w:val="none" w:sz="0" w:space="0" w:color="auto"/>
        <w:left w:val="none" w:sz="0" w:space="0" w:color="auto"/>
        <w:bottom w:val="none" w:sz="0" w:space="0" w:color="auto"/>
        <w:right w:val="none" w:sz="0" w:space="0" w:color="auto"/>
      </w:divBdr>
    </w:div>
    <w:div w:id="205129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40.org/?gad_source=1&amp;gclid=Cj0KCQjwk6SwBhDPARIsAJ59Gwe6S1u3F6B3-6MjOgpB_gv4FH-hCYcP-jW6jpJY--Xg8ROh7kicmkAaAs6wEALw_wcB" TargetMode="External"/><Relationship Id="rId18" Type="http://schemas.openxmlformats.org/officeDocument/2006/relationships/hyperlink" Target="https://www.miami.gov/files/4e5f26f7-2622-4c90-834a-eaaa6aa3321e/Miami-Forever-Carbon-Neutral-FULL.pdf" TargetMode="External"/><Relationship Id="rId26" Type="http://schemas.openxmlformats.org/officeDocument/2006/relationships/hyperlink" Target="mailto:Conor.Jackman@fema.dhs.gov" TargetMode="External"/><Relationship Id="rId3" Type="http://schemas.openxmlformats.org/officeDocument/2006/relationships/customXml" Target="../customXml/item3.xml"/><Relationship Id="rId21" Type="http://schemas.openxmlformats.org/officeDocument/2006/relationships/hyperlink" Target="https://www.miami.gov/files/4e5f26f7-2622-4c90-834a-eaaa6aa3321e/Miami-Forever-Carbon-Neutral-FULL.pdf" TargetMode="External"/><Relationship Id="rId7" Type="http://schemas.openxmlformats.org/officeDocument/2006/relationships/settings" Target="settings.xml"/><Relationship Id="rId12" Type="http://schemas.openxmlformats.org/officeDocument/2006/relationships/hyperlink" Target="https://www.miami.gov/files/4e5f26f7-2622-4c90-834a-eaaa6aa3321e/Miami-Forever-Carbon-Neutral-FULL.pdf" TargetMode="External"/><Relationship Id="rId17" Type="http://schemas.openxmlformats.org/officeDocument/2006/relationships/hyperlink" Target="https://www.miami.gov/files/sharedassets/public/v/1/miami-forever-climate-ready-2020-strategy.pdf" TargetMode="External"/><Relationship Id="rId25" Type="http://schemas.openxmlformats.org/officeDocument/2006/relationships/hyperlink" Target="mailto:Anthony.Spivey@deo.myflorida.com" TargetMode="External"/><Relationship Id="rId2" Type="http://schemas.openxmlformats.org/officeDocument/2006/relationships/customXml" Target="../customXml/item2.xml"/><Relationship Id="rId16" Type="http://schemas.openxmlformats.org/officeDocument/2006/relationships/hyperlink" Target="https://www.epa.gov/system/files/documents/2024-03/southeast-florida-priority-climate-action-plan.pdf" TargetMode="External"/><Relationship Id="rId20" Type="http://schemas.openxmlformats.org/officeDocument/2006/relationships/hyperlink" Target="https://www.miami.gov/files/4e5f26f7-2622-4c90-834a-eaaa6aa3321e/Miami-Forever-Carbon-Neutral-FULL.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gov/system/files/documents/2024-03/southeast-florida-priority-climate-action-plan.pdf" TargetMode="External"/><Relationship Id="rId24" Type="http://schemas.openxmlformats.org/officeDocument/2006/relationships/hyperlink" Target="mailto:ki.harvey@hq.dhs.gov" TargetMode="External"/><Relationship Id="rId5" Type="http://schemas.openxmlformats.org/officeDocument/2006/relationships/numbering" Target="numbering.xml"/><Relationship Id="rId15" Type="http://schemas.openxmlformats.org/officeDocument/2006/relationships/hyperlink" Target="https://www.miami.gov/files/4e5f26f7-2622-4c90-834a-eaaa6aa3321e/Miami-Forever-Carbon-Neutral-FULL.pdf" TargetMode="External"/><Relationship Id="rId23" Type="http://schemas.openxmlformats.org/officeDocument/2006/relationships/hyperlink" Target="https://www.miami.gov/files/sharedassets/public/v/1/miami-forever-climate-ready-2020-strategy.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miami.gov/files/sharedassets/public/v/1/miami-forever-climate-ready-2020-strategy.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ami.gov/files/sharedassets/public/v/1/miami-forever-climate-ready-2020-strategy.pdf" TargetMode="External"/><Relationship Id="rId22" Type="http://schemas.openxmlformats.org/officeDocument/2006/relationships/hyperlink" Target="https://www.miami.gov/files/4e5f26f7-2622-4c90-834a-eaaa6aa3321e/Miami-Forever-Carbon-Neutral-FULL.pdf" TargetMode="External"/><Relationship Id="rId27" Type="http://schemas.openxmlformats.org/officeDocument/2006/relationships/hyperlink" Target="mailto:Anthony.Spivey@deo.myflorida.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AB8A60FA7EEB41A71708AE1F73E818" ma:contentTypeVersion="6" ma:contentTypeDescription="Create a new document." ma:contentTypeScope="" ma:versionID="20bd1db857114118ba340667648d00e3">
  <xsd:schema xmlns:xsd="http://www.w3.org/2001/XMLSchema" xmlns:xs="http://www.w3.org/2001/XMLSchema" xmlns:p="http://schemas.microsoft.com/office/2006/metadata/properties" xmlns:ns2="6f4be08e-411c-46b5-96d9-21b09ce1a814" xmlns:ns3="36d56cdf-b6ba-4bb9-8577-55ab7af95163" targetNamespace="http://schemas.microsoft.com/office/2006/metadata/properties" ma:root="true" ma:fieldsID="ddf47222c14bb288c0ca0418ff98a8d3" ns2:_="" ns3:_="">
    <xsd:import namespace="6f4be08e-411c-46b5-96d9-21b09ce1a814"/>
    <xsd:import namespace="36d56cdf-b6ba-4bb9-8577-55ab7af9516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be08e-411c-46b5-96d9-21b09ce1a8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d56cdf-b6ba-4bb9-8577-55ab7af9516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A9D350-366C-4A74-B261-3287212CF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be08e-411c-46b5-96d9-21b09ce1a814"/>
    <ds:schemaRef ds:uri="36d56cdf-b6ba-4bb9-8577-55ab7af95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ADC750-A13B-440C-B21E-27312740A5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7F4C34-F02D-445D-B537-7B0CC2C7ABC1}">
  <ds:schemaRefs>
    <ds:schemaRef ds:uri="http://schemas.openxmlformats.org/officeDocument/2006/bibliography"/>
  </ds:schemaRefs>
</ds:datastoreItem>
</file>

<file path=customXml/itemProps4.xml><?xml version="1.0" encoding="utf-8"?>
<ds:datastoreItem xmlns:ds="http://schemas.openxmlformats.org/officeDocument/2006/customXml" ds:itemID="{CAD002C8-5692-4579-A13E-6228F18F53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12185</Words>
  <Characters>69460</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81483</CharactersWithSpaces>
  <SharedDoc>false</SharedDoc>
  <HLinks>
    <vt:vector size="102" baseType="variant">
      <vt:variant>
        <vt:i4>5701751</vt:i4>
      </vt:variant>
      <vt:variant>
        <vt:i4>48</vt:i4>
      </vt:variant>
      <vt:variant>
        <vt:i4>0</vt:i4>
      </vt:variant>
      <vt:variant>
        <vt:i4>5</vt:i4>
      </vt:variant>
      <vt:variant>
        <vt:lpwstr>mailto:Anthony.Spivey@deo.myflorida.com</vt:lpwstr>
      </vt:variant>
      <vt:variant>
        <vt:lpwstr/>
      </vt:variant>
      <vt:variant>
        <vt:i4>1769531</vt:i4>
      </vt:variant>
      <vt:variant>
        <vt:i4>45</vt:i4>
      </vt:variant>
      <vt:variant>
        <vt:i4>0</vt:i4>
      </vt:variant>
      <vt:variant>
        <vt:i4>5</vt:i4>
      </vt:variant>
      <vt:variant>
        <vt:lpwstr>mailto:Conor.Jackman@fema.dhs.gov</vt:lpwstr>
      </vt:variant>
      <vt:variant>
        <vt:lpwstr/>
      </vt:variant>
      <vt:variant>
        <vt:i4>5701751</vt:i4>
      </vt:variant>
      <vt:variant>
        <vt:i4>42</vt:i4>
      </vt:variant>
      <vt:variant>
        <vt:i4>0</vt:i4>
      </vt:variant>
      <vt:variant>
        <vt:i4>5</vt:i4>
      </vt:variant>
      <vt:variant>
        <vt:lpwstr>mailto:Anthony.Spivey@deo.myflorida.com</vt:lpwstr>
      </vt:variant>
      <vt:variant>
        <vt:lpwstr/>
      </vt:variant>
      <vt:variant>
        <vt:i4>2490397</vt:i4>
      </vt:variant>
      <vt:variant>
        <vt:i4>39</vt:i4>
      </vt:variant>
      <vt:variant>
        <vt:i4>0</vt:i4>
      </vt:variant>
      <vt:variant>
        <vt:i4>5</vt:i4>
      </vt:variant>
      <vt:variant>
        <vt:lpwstr>mailto:ki.harvey@hq.dhs.gov</vt:lpwstr>
      </vt:variant>
      <vt:variant>
        <vt:lpwstr/>
      </vt:variant>
      <vt:variant>
        <vt:i4>589835</vt:i4>
      </vt:variant>
      <vt:variant>
        <vt:i4>36</vt:i4>
      </vt:variant>
      <vt:variant>
        <vt:i4>0</vt:i4>
      </vt:variant>
      <vt:variant>
        <vt:i4>5</vt:i4>
      </vt:variant>
      <vt:variant>
        <vt:lpwstr>https://www.miami.gov/files/sharedassets/public/v/1/miami-forever-climate-ready-2020-strategy.pdf</vt:lpwstr>
      </vt:variant>
      <vt:variant>
        <vt:lpwstr/>
      </vt:variant>
      <vt:variant>
        <vt:i4>2949246</vt:i4>
      </vt:variant>
      <vt:variant>
        <vt:i4>33</vt:i4>
      </vt:variant>
      <vt:variant>
        <vt:i4>0</vt:i4>
      </vt:variant>
      <vt:variant>
        <vt:i4>5</vt:i4>
      </vt:variant>
      <vt:variant>
        <vt:lpwstr>https://www.miami.gov/files/4e5f26f7-2622-4c90-834a-eaaa6aa3321e/Miami-Forever-Carbon-Neutral-FULL.pdf</vt:lpwstr>
      </vt:variant>
      <vt:variant>
        <vt:lpwstr/>
      </vt:variant>
      <vt:variant>
        <vt:i4>2949246</vt:i4>
      </vt:variant>
      <vt:variant>
        <vt:i4>30</vt:i4>
      </vt:variant>
      <vt:variant>
        <vt:i4>0</vt:i4>
      </vt:variant>
      <vt:variant>
        <vt:i4>5</vt:i4>
      </vt:variant>
      <vt:variant>
        <vt:lpwstr>https://www.miami.gov/files/4e5f26f7-2622-4c90-834a-eaaa6aa3321e/Miami-Forever-Carbon-Neutral-FULL.pdf</vt:lpwstr>
      </vt:variant>
      <vt:variant>
        <vt:lpwstr/>
      </vt:variant>
      <vt:variant>
        <vt:i4>2949246</vt:i4>
      </vt:variant>
      <vt:variant>
        <vt:i4>27</vt:i4>
      </vt:variant>
      <vt:variant>
        <vt:i4>0</vt:i4>
      </vt:variant>
      <vt:variant>
        <vt:i4>5</vt:i4>
      </vt:variant>
      <vt:variant>
        <vt:lpwstr>https://www.miami.gov/files/4e5f26f7-2622-4c90-834a-eaaa6aa3321e/Miami-Forever-Carbon-Neutral-FULL.pdf</vt:lpwstr>
      </vt:variant>
      <vt:variant>
        <vt:lpwstr/>
      </vt:variant>
      <vt:variant>
        <vt:i4>589835</vt:i4>
      </vt:variant>
      <vt:variant>
        <vt:i4>24</vt:i4>
      </vt:variant>
      <vt:variant>
        <vt:i4>0</vt:i4>
      </vt:variant>
      <vt:variant>
        <vt:i4>5</vt:i4>
      </vt:variant>
      <vt:variant>
        <vt:lpwstr>https://www.miami.gov/files/sharedassets/public/v/1/miami-forever-climate-ready-2020-strategy.pdf</vt:lpwstr>
      </vt:variant>
      <vt:variant>
        <vt:lpwstr/>
      </vt:variant>
      <vt:variant>
        <vt:i4>2949246</vt:i4>
      </vt:variant>
      <vt:variant>
        <vt:i4>21</vt:i4>
      </vt:variant>
      <vt:variant>
        <vt:i4>0</vt:i4>
      </vt:variant>
      <vt:variant>
        <vt:i4>5</vt:i4>
      </vt:variant>
      <vt:variant>
        <vt:lpwstr>https://www.miami.gov/files/4e5f26f7-2622-4c90-834a-eaaa6aa3321e/Miami-Forever-Carbon-Neutral-FULL.pdf</vt:lpwstr>
      </vt:variant>
      <vt:variant>
        <vt:lpwstr/>
      </vt:variant>
      <vt:variant>
        <vt:i4>589835</vt:i4>
      </vt:variant>
      <vt:variant>
        <vt:i4>18</vt:i4>
      </vt:variant>
      <vt:variant>
        <vt:i4>0</vt:i4>
      </vt:variant>
      <vt:variant>
        <vt:i4>5</vt:i4>
      </vt:variant>
      <vt:variant>
        <vt:lpwstr>https://www.miami.gov/files/sharedassets/public/v/1/miami-forever-climate-ready-2020-strategy.pdf</vt:lpwstr>
      </vt:variant>
      <vt:variant>
        <vt:lpwstr/>
      </vt:variant>
      <vt:variant>
        <vt:i4>589906</vt:i4>
      </vt:variant>
      <vt:variant>
        <vt:i4>15</vt:i4>
      </vt:variant>
      <vt:variant>
        <vt:i4>0</vt:i4>
      </vt:variant>
      <vt:variant>
        <vt:i4>5</vt:i4>
      </vt:variant>
      <vt:variant>
        <vt:lpwstr>https://www.epa.gov/system/files/documents/2024-03/southeast-florida-priority-climate-action-plan.pdf</vt:lpwstr>
      </vt:variant>
      <vt:variant>
        <vt:lpwstr/>
      </vt:variant>
      <vt:variant>
        <vt:i4>2949246</vt:i4>
      </vt:variant>
      <vt:variant>
        <vt:i4>12</vt:i4>
      </vt:variant>
      <vt:variant>
        <vt:i4>0</vt:i4>
      </vt:variant>
      <vt:variant>
        <vt:i4>5</vt:i4>
      </vt:variant>
      <vt:variant>
        <vt:lpwstr>https://www.miami.gov/files/4e5f26f7-2622-4c90-834a-eaaa6aa3321e/Miami-Forever-Carbon-Neutral-FULL.pdf</vt:lpwstr>
      </vt:variant>
      <vt:variant>
        <vt:lpwstr/>
      </vt:variant>
      <vt:variant>
        <vt:i4>589835</vt:i4>
      </vt:variant>
      <vt:variant>
        <vt:i4>9</vt:i4>
      </vt:variant>
      <vt:variant>
        <vt:i4>0</vt:i4>
      </vt:variant>
      <vt:variant>
        <vt:i4>5</vt:i4>
      </vt:variant>
      <vt:variant>
        <vt:lpwstr>https://www.miami.gov/files/sharedassets/public/v/1/miami-forever-climate-ready-2020-strategy.pdf</vt:lpwstr>
      </vt:variant>
      <vt:variant>
        <vt:lpwstr/>
      </vt:variant>
      <vt:variant>
        <vt:i4>786545</vt:i4>
      </vt:variant>
      <vt:variant>
        <vt:i4>6</vt:i4>
      </vt:variant>
      <vt:variant>
        <vt:i4>0</vt:i4>
      </vt:variant>
      <vt:variant>
        <vt:i4>5</vt:i4>
      </vt:variant>
      <vt:variant>
        <vt:lpwstr>https://www.c40.org/?gad_source=1&amp;gclid=Cj0KCQjwk6SwBhDPARIsAJ59Gwe6S1u3F6B3-6MjOgpB_gv4FH-hCYcP-jW6jpJY--Xg8ROh7kicmkAaAs6wEALw_wcB</vt:lpwstr>
      </vt:variant>
      <vt:variant>
        <vt:lpwstr/>
      </vt:variant>
      <vt:variant>
        <vt:i4>2949246</vt:i4>
      </vt:variant>
      <vt:variant>
        <vt:i4>3</vt:i4>
      </vt:variant>
      <vt:variant>
        <vt:i4>0</vt:i4>
      </vt:variant>
      <vt:variant>
        <vt:i4>5</vt:i4>
      </vt:variant>
      <vt:variant>
        <vt:lpwstr>https://www.miami.gov/files/4e5f26f7-2622-4c90-834a-eaaa6aa3321e/Miami-Forever-Carbon-Neutral-FULL.pdf</vt:lpwstr>
      </vt:variant>
      <vt:variant>
        <vt:lpwstr/>
      </vt:variant>
      <vt:variant>
        <vt:i4>589906</vt:i4>
      </vt:variant>
      <vt:variant>
        <vt:i4>0</vt:i4>
      </vt:variant>
      <vt:variant>
        <vt:i4>0</vt:i4>
      </vt:variant>
      <vt:variant>
        <vt:i4>5</vt:i4>
      </vt:variant>
      <vt:variant>
        <vt:lpwstr>https://www.epa.gov/system/files/documents/2024-03/southeast-florida-priority-climate-action-plan.pdf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Brubaker, Sonia</dc:creator>
  <cp:keywords/>
  <dc:description/>
  <cp:lastModifiedBy>Reinoso, Carol</cp:lastModifiedBy>
  <cp:revision>2</cp:revision>
  <dcterms:created xsi:type="dcterms:W3CDTF">2024-04-02T00:36:00Z</dcterms:created>
  <dcterms:modified xsi:type="dcterms:W3CDTF">2024-04-02T00:36:00Z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0x010100BFAB8A60FA7EEB41A71708AE1F73E818</vt:lpwstr>
  </property>
</Properties>
</file>