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B6D3A" w14:textId="1B9A0AA1" w:rsidR="00595598" w:rsidRDefault="00595598" w:rsidP="00595598">
      <w:pPr>
        <w:pStyle w:val="Heading1"/>
        <w:jc w:val="center"/>
      </w:pPr>
      <w:r>
        <w:t>Technical Appendix</w:t>
      </w:r>
    </w:p>
    <w:p w14:paraId="11C5DC0A" w14:textId="0361325A" w:rsidR="00595598" w:rsidRDefault="00406A38" w:rsidP="00DB48D3">
      <w:pPr>
        <w:pStyle w:val="Heading2"/>
      </w:pPr>
      <w:r>
        <w:t>Overall Documentation</w:t>
      </w:r>
    </w:p>
    <w:p w14:paraId="23B7AF7B" w14:textId="3FC79083" w:rsidR="00C3099C" w:rsidRDefault="0039033A" w:rsidP="00C3099C">
      <w:pPr>
        <w:pStyle w:val="Heading3"/>
      </w:pPr>
      <w:r>
        <w:t>Tool Used</w:t>
      </w:r>
    </w:p>
    <w:p w14:paraId="7FB4BA4D" w14:textId="1AAD1C16" w:rsidR="00A1441F" w:rsidRPr="00627C6F" w:rsidRDefault="001E54D5" w:rsidP="005F33EE">
      <w:pPr>
        <w:pStyle w:val="NoSpacing"/>
        <w:rPr>
          <w:sz w:val="22"/>
          <w:szCs w:val="22"/>
        </w:rPr>
      </w:pPr>
      <w:r w:rsidRPr="005F33EE">
        <w:rPr>
          <w:sz w:val="22"/>
          <w:szCs w:val="22"/>
        </w:rPr>
        <w:t xml:space="preserve">City of Miami utilized ICLEI </w:t>
      </w:r>
      <w:proofErr w:type="spellStart"/>
      <w:r w:rsidRPr="005F33EE">
        <w:rPr>
          <w:sz w:val="22"/>
          <w:szCs w:val="22"/>
        </w:rPr>
        <w:t>Clear</w:t>
      </w:r>
      <w:r w:rsidR="00043EC5" w:rsidRPr="005F33EE">
        <w:rPr>
          <w:sz w:val="22"/>
          <w:szCs w:val="22"/>
        </w:rPr>
        <w:t>path</w:t>
      </w:r>
      <w:proofErr w:type="spellEnd"/>
      <w:r w:rsidR="00043EC5" w:rsidRPr="005F33EE">
        <w:rPr>
          <w:sz w:val="22"/>
          <w:szCs w:val="22"/>
        </w:rPr>
        <w:t xml:space="preserve"> software for conducting GHG inventories as well as forecasting </w:t>
      </w:r>
      <w:r w:rsidR="00BF30EA" w:rsidRPr="005F33EE">
        <w:rPr>
          <w:sz w:val="22"/>
          <w:szCs w:val="22"/>
        </w:rPr>
        <w:t xml:space="preserve">business as usual scenarios and modelling impact of GHG reduction measures. </w:t>
      </w:r>
      <w:r w:rsidR="00E57963" w:rsidRPr="005F33EE">
        <w:rPr>
          <w:sz w:val="22"/>
          <w:szCs w:val="22"/>
        </w:rPr>
        <w:t xml:space="preserve">For this grant, we utilized the “Forecast and Planning Wizard” </w:t>
      </w:r>
      <w:r w:rsidR="00E72A83" w:rsidRPr="005F33EE">
        <w:rPr>
          <w:sz w:val="22"/>
          <w:szCs w:val="22"/>
        </w:rPr>
        <w:t xml:space="preserve">and the predeveloped calculators to determine impact. </w:t>
      </w:r>
    </w:p>
    <w:p w14:paraId="2BCC521B" w14:textId="1453A5F9" w:rsidR="008D4BD6" w:rsidRDefault="00B34B90" w:rsidP="00DB48D3">
      <w:pPr>
        <w:pStyle w:val="Heading3"/>
      </w:pPr>
      <w:r>
        <w:t>Business as Usual Scenario</w:t>
      </w:r>
    </w:p>
    <w:p w14:paraId="5B2391A6" w14:textId="69B14B23" w:rsidR="008D4BD6" w:rsidRPr="008D4BD6" w:rsidRDefault="008D4BD6" w:rsidP="00DB48D3">
      <w:pPr>
        <w:pStyle w:val="Heading4"/>
      </w:pPr>
      <w:r w:rsidRPr="008D4BD6">
        <w:t>Baseline</w:t>
      </w:r>
    </w:p>
    <w:p w14:paraId="24434C22" w14:textId="38B0786F" w:rsidR="00DA5940" w:rsidRPr="005F33EE" w:rsidRDefault="007455FD" w:rsidP="005F33EE">
      <w:pPr>
        <w:pStyle w:val="NoSpacing"/>
        <w:rPr>
          <w:sz w:val="22"/>
          <w:szCs w:val="22"/>
        </w:rPr>
      </w:pPr>
      <w:r w:rsidRPr="005F33EE">
        <w:rPr>
          <w:sz w:val="22"/>
          <w:szCs w:val="22"/>
        </w:rPr>
        <w:t xml:space="preserve">City of Miami used its 2019 GHG inventory as the baseline scenario for </w:t>
      </w:r>
      <w:r w:rsidR="00B538A2" w:rsidRPr="005F33EE">
        <w:rPr>
          <w:sz w:val="22"/>
          <w:szCs w:val="22"/>
        </w:rPr>
        <w:t>its business</w:t>
      </w:r>
      <w:r w:rsidR="00A50499">
        <w:rPr>
          <w:sz w:val="22"/>
          <w:szCs w:val="22"/>
        </w:rPr>
        <w:t>-</w:t>
      </w:r>
      <w:r w:rsidR="00B538A2" w:rsidRPr="005F33EE">
        <w:rPr>
          <w:sz w:val="22"/>
          <w:szCs w:val="22"/>
        </w:rPr>
        <w:t>as</w:t>
      </w:r>
      <w:r w:rsidR="00A50499">
        <w:rPr>
          <w:sz w:val="22"/>
          <w:szCs w:val="22"/>
        </w:rPr>
        <w:t>-</w:t>
      </w:r>
      <w:r w:rsidR="00B538A2" w:rsidRPr="005F33EE">
        <w:rPr>
          <w:sz w:val="22"/>
          <w:szCs w:val="22"/>
        </w:rPr>
        <w:t>usual</w:t>
      </w:r>
      <w:r w:rsidR="00A50499">
        <w:rPr>
          <w:sz w:val="22"/>
          <w:szCs w:val="22"/>
        </w:rPr>
        <w:t xml:space="preserve"> (BAU)</w:t>
      </w:r>
      <w:r w:rsidR="00B538A2" w:rsidRPr="005F33EE">
        <w:rPr>
          <w:sz w:val="22"/>
          <w:szCs w:val="22"/>
        </w:rPr>
        <w:t xml:space="preserve"> scenario. The 2019 inventory was conducted using the </w:t>
      </w:r>
      <w:r w:rsidR="004C3E0E" w:rsidRPr="005F33EE">
        <w:rPr>
          <w:sz w:val="22"/>
          <w:szCs w:val="22"/>
        </w:rPr>
        <w:t>Global Protocol for Community-scale Greenhouse Gas Inventories (GPC) BASIC framework and the</w:t>
      </w:r>
      <w:r w:rsidR="004136A0" w:rsidRPr="005F33EE">
        <w:rPr>
          <w:sz w:val="22"/>
          <w:szCs w:val="22"/>
        </w:rPr>
        <w:t xml:space="preserve"> global warming potentials (GWP) established in</w:t>
      </w:r>
      <w:r w:rsidR="004C3E0E" w:rsidRPr="005F33EE">
        <w:rPr>
          <w:sz w:val="22"/>
          <w:szCs w:val="22"/>
        </w:rPr>
        <w:t xml:space="preserve"> IPCC 5</w:t>
      </w:r>
      <w:r w:rsidR="004C3E0E" w:rsidRPr="005F33EE">
        <w:rPr>
          <w:sz w:val="22"/>
          <w:szCs w:val="22"/>
          <w:vertAlign w:val="superscript"/>
        </w:rPr>
        <w:t>th</w:t>
      </w:r>
      <w:r w:rsidR="004C3E0E" w:rsidRPr="005F33EE">
        <w:rPr>
          <w:sz w:val="22"/>
          <w:szCs w:val="22"/>
        </w:rPr>
        <w:t xml:space="preserve"> </w:t>
      </w:r>
      <w:r w:rsidR="004136A0" w:rsidRPr="005F33EE">
        <w:rPr>
          <w:sz w:val="22"/>
          <w:szCs w:val="22"/>
        </w:rPr>
        <w:t>Assessment Report.</w:t>
      </w:r>
    </w:p>
    <w:p w14:paraId="6D7802B6" w14:textId="77777777" w:rsidR="00610E73" w:rsidRDefault="00610E73" w:rsidP="005F33EE">
      <w:pPr>
        <w:pStyle w:val="NoSpacing"/>
        <w:rPr>
          <w:sz w:val="22"/>
          <w:szCs w:val="22"/>
        </w:rPr>
      </w:pPr>
    </w:p>
    <w:p w14:paraId="4EA0B439" w14:textId="29902C4B" w:rsidR="003B00DC" w:rsidRPr="005F33EE" w:rsidRDefault="007C764D" w:rsidP="005F33EE">
      <w:pPr>
        <w:pStyle w:val="NoSpacing"/>
        <w:rPr>
          <w:sz w:val="22"/>
          <w:szCs w:val="22"/>
        </w:rPr>
      </w:pPr>
      <w:r w:rsidRPr="005F33EE">
        <w:rPr>
          <w:sz w:val="22"/>
          <w:szCs w:val="22"/>
        </w:rPr>
        <w:t xml:space="preserve">City of Miami has only modeled </w:t>
      </w:r>
      <w:r w:rsidR="00652D9B" w:rsidRPr="005F33EE">
        <w:rPr>
          <w:sz w:val="22"/>
          <w:szCs w:val="22"/>
        </w:rPr>
        <w:t xml:space="preserve">a </w:t>
      </w:r>
      <w:r w:rsidR="00A50499">
        <w:rPr>
          <w:sz w:val="22"/>
          <w:szCs w:val="22"/>
        </w:rPr>
        <w:t>BAU</w:t>
      </w:r>
      <w:r w:rsidR="00652D9B" w:rsidRPr="005F33EE">
        <w:rPr>
          <w:sz w:val="22"/>
          <w:szCs w:val="22"/>
        </w:rPr>
        <w:t xml:space="preserve"> scenario and associated GHG reductions to residential electricity as that is the only GHG-emitting </w:t>
      </w:r>
      <w:r w:rsidR="00561235" w:rsidRPr="005F33EE">
        <w:rPr>
          <w:sz w:val="22"/>
          <w:szCs w:val="22"/>
        </w:rPr>
        <w:t>source that will be impacted by the proposed programs. The Miami Climate Ready Homes Program Suite targets emissions in the residential sector</w:t>
      </w:r>
      <w:r w:rsidR="009D6B86" w:rsidRPr="005F33EE">
        <w:rPr>
          <w:sz w:val="22"/>
          <w:szCs w:val="22"/>
        </w:rPr>
        <w:t xml:space="preserve"> and focuses on electricity </w:t>
      </w:r>
      <w:r w:rsidR="002F3387" w:rsidRPr="005F33EE">
        <w:rPr>
          <w:sz w:val="22"/>
          <w:szCs w:val="22"/>
        </w:rPr>
        <w:t>use reduction or generation of electricity from carbon-free sources. Natural gas is a small proportion of residential sector emissions (</w:t>
      </w:r>
      <w:r w:rsidR="006241F7">
        <w:rPr>
          <w:sz w:val="22"/>
          <w:szCs w:val="22"/>
        </w:rPr>
        <w:t>5</w:t>
      </w:r>
      <w:r w:rsidR="002F3387" w:rsidRPr="005F33EE">
        <w:rPr>
          <w:sz w:val="22"/>
          <w:szCs w:val="22"/>
        </w:rPr>
        <w:t xml:space="preserve">%) and is mostly associated with cooking. </w:t>
      </w:r>
      <w:r w:rsidR="00C9436A">
        <w:rPr>
          <w:sz w:val="22"/>
          <w:szCs w:val="22"/>
        </w:rPr>
        <w:t xml:space="preserve">This projection does not include impact from any </w:t>
      </w:r>
      <w:r w:rsidR="00863133">
        <w:rPr>
          <w:sz w:val="22"/>
          <w:szCs w:val="22"/>
        </w:rPr>
        <w:t xml:space="preserve">large-scale GHG reducing initiatives </w:t>
      </w:r>
      <w:r w:rsidR="00477DE4">
        <w:rPr>
          <w:sz w:val="22"/>
          <w:szCs w:val="22"/>
        </w:rPr>
        <w:t xml:space="preserve">or non-CPRG federal incentives </w:t>
      </w:r>
      <w:r w:rsidR="00863133">
        <w:rPr>
          <w:sz w:val="22"/>
          <w:szCs w:val="22"/>
        </w:rPr>
        <w:t>as none were active in the City of Miami at the time of the inventory.</w:t>
      </w:r>
    </w:p>
    <w:p w14:paraId="7C902A04" w14:textId="77777777" w:rsidR="00610E73" w:rsidRDefault="00610E73" w:rsidP="005F33EE">
      <w:pPr>
        <w:pStyle w:val="NoSpacing"/>
        <w:rPr>
          <w:sz w:val="22"/>
          <w:szCs w:val="22"/>
        </w:rPr>
      </w:pPr>
    </w:p>
    <w:p w14:paraId="1F1F5E94" w14:textId="01F5DA13" w:rsidR="007C764D" w:rsidRPr="005F33EE" w:rsidRDefault="00305276" w:rsidP="005F33EE">
      <w:pPr>
        <w:pStyle w:val="NoSpacing"/>
        <w:rPr>
          <w:sz w:val="22"/>
          <w:szCs w:val="22"/>
        </w:rPr>
      </w:pPr>
      <w:r w:rsidRPr="005F33EE">
        <w:rPr>
          <w:sz w:val="22"/>
          <w:szCs w:val="22"/>
        </w:rPr>
        <w:t>In 2019, residential electr</w:t>
      </w:r>
      <w:r w:rsidR="00732084" w:rsidRPr="005F33EE">
        <w:rPr>
          <w:sz w:val="22"/>
          <w:szCs w:val="22"/>
        </w:rPr>
        <w:t xml:space="preserve">icity accounted for </w:t>
      </w:r>
      <w:r w:rsidR="00FB084F" w:rsidRPr="00F036D2">
        <w:rPr>
          <w:sz w:val="22"/>
          <w:szCs w:val="22"/>
        </w:rPr>
        <w:t>2,149,121</w:t>
      </w:r>
      <w:r w:rsidR="00732084" w:rsidRPr="00F036D2">
        <w:rPr>
          <w:sz w:val="22"/>
          <w:szCs w:val="22"/>
        </w:rPr>
        <w:t xml:space="preserve"> MWh</w:t>
      </w:r>
      <w:r w:rsidR="00732084" w:rsidRPr="005F33EE">
        <w:rPr>
          <w:sz w:val="22"/>
          <w:szCs w:val="22"/>
        </w:rPr>
        <w:t xml:space="preserve"> of electricity usage and</w:t>
      </w:r>
      <w:r w:rsidR="00F235E7">
        <w:rPr>
          <w:sz w:val="22"/>
          <w:szCs w:val="22"/>
        </w:rPr>
        <w:t xml:space="preserve"> </w:t>
      </w:r>
      <w:r w:rsidR="00F235E7" w:rsidRPr="00F235E7">
        <w:rPr>
          <w:sz w:val="22"/>
          <w:szCs w:val="22"/>
        </w:rPr>
        <w:t>6</w:t>
      </w:r>
      <w:r w:rsidR="00F036D2">
        <w:rPr>
          <w:sz w:val="22"/>
          <w:szCs w:val="22"/>
        </w:rPr>
        <w:t>51,569</w:t>
      </w:r>
      <w:r w:rsidR="00F235E7">
        <w:rPr>
          <w:sz w:val="22"/>
          <w:szCs w:val="22"/>
        </w:rPr>
        <w:t xml:space="preserve"> </w:t>
      </w:r>
      <w:r w:rsidR="00C55C33" w:rsidRPr="005F33EE">
        <w:rPr>
          <w:sz w:val="22"/>
          <w:szCs w:val="22"/>
        </w:rPr>
        <w:t>MT of CO</w:t>
      </w:r>
      <w:r w:rsidR="00C55C33" w:rsidRPr="008A2821">
        <w:rPr>
          <w:sz w:val="22"/>
          <w:szCs w:val="22"/>
          <w:vertAlign w:val="subscript"/>
        </w:rPr>
        <w:t>2</w:t>
      </w:r>
      <w:r w:rsidR="00C55C33" w:rsidRPr="005F33EE">
        <w:rPr>
          <w:sz w:val="22"/>
          <w:szCs w:val="22"/>
        </w:rPr>
        <w:t>e.</w:t>
      </w:r>
      <w:r w:rsidR="003B00DC" w:rsidRPr="005F33EE">
        <w:rPr>
          <w:sz w:val="22"/>
          <w:szCs w:val="22"/>
        </w:rPr>
        <w:t xml:space="preserve"> Electricity use data was received directly from the only electricity utility that serves the City of Miami, Florida Power and Light</w:t>
      </w:r>
      <w:r w:rsidR="00784667" w:rsidRPr="005F33EE">
        <w:rPr>
          <w:sz w:val="22"/>
          <w:szCs w:val="22"/>
        </w:rPr>
        <w:t xml:space="preserve"> (FPL)</w:t>
      </w:r>
      <w:r w:rsidR="005772F1" w:rsidRPr="005F33EE">
        <w:rPr>
          <w:sz w:val="22"/>
          <w:szCs w:val="22"/>
        </w:rPr>
        <w:t xml:space="preserve">. </w:t>
      </w:r>
      <w:r w:rsidR="00784667" w:rsidRPr="005F33EE">
        <w:rPr>
          <w:sz w:val="22"/>
          <w:szCs w:val="22"/>
        </w:rPr>
        <w:t>CO</w:t>
      </w:r>
      <w:r w:rsidR="00784667" w:rsidRPr="008A2821">
        <w:rPr>
          <w:sz w:val="22"/>
          <w:szCs w:val="22"/>
          <w:vertAlign w:val="subscript"/>
        </w:rPr>
        <w:t>2</w:t>
      </w:r>
      <w:r w:rsidR="00784667" w:rsidRPr="005F33EE">
        <w:rPr>
          <w:sz w:val="22"/>
          <w:szCs w:val="22"/>
        </w:rPr>
        <w:t xml:space="preserve"> emission factor was received from FPL but CH</w:t>
      </w:r>
      <w:r w:rsidR="00784667" w:rsidRPr="008A2821">
        <w:rPr>
          <w:sz w:val="22"/>
          <w:szCs w:val="22"/>
          <w:vertAlign w:val="subscript"/>
        </w:rPr>
        <w:t>4</w:t>
      </w:r>
      <w:r w:rsidR="00784667" w:rsidRPr="005F33EE">
        <w:rPr>
          <w:sz w:val="22"/>
          <w:szCs w:val="22"/>
        </w:rPr>
        <w:t xml:space="preserve"> and </w:t>
      </w:r>
      <w:r w:rsidR="00830C2E" w:rsidRPr="005F33EE">
        <w:rPr>
          <w:sz w:val="22"/>
          <w:szCs w:val="22"/>
        </w:rPr>
        <w:t>N</w:t>
      </w:r>
      <w:r w:rsidR="00830C2E" w:rsidRPr="008A2821">
        <w:rPr>
          <w:sz w:val="22"/>
          <w:szCs w:val="22"/>
          <w:vertAlign w:val="subscript"/>
        </w:rPr>
        <w:t>2</w:t>
      </w:r>
      <w:r w:rsidR="00830C2E" w:rsidRPr="005F33EE">
        <w:rPr>
          <w:sz w:val="22"/>
          <w:szCs w:val="22"/>
        </w:rPr>
        <w:t xml:space="preserve">O were taken from </w:t>
      </w:r>
      <w:proofErr w:type="spellStart"/>
      <w:r w:rsidR="00830C2E" w:rsidRPr="005F33EE">
        <w:rPr>
          <w:sz w:val="22"/>
          <w:szCs w:val="22"/>
        </w:rPr>
        <w:t>eG</w:t>
      </w:r>
      <w:r w:rsidR="00C403B3" w:rsidRPr="005F33EE">
        <w:rPr>
          <w:sz w:val="22"/>
          <w:szCs w:val="22"/>
        </w:rPr>
        <w:t>RID</w:t>
      </w:r>
      <w:proofErr w:type="spellEnd"/>
      <w:r w:rsidR="00830C2E" w:rsidRPr="005F33EE">
        <w:rPr>
          <w:sz w:val="22"/>
          <w:szCs w:val="22"/>
        </w:rPr>
        <w:t>. FPL does not report on CH</w:t>
      </w:r>
      <w:r w:rsidR="00830C2E" w:rsidRPr="008A2821">
        <w:rPr>
          <w:sz w:val="22"/>
          <w:szCs w:val="22"/>
          <w:vertAlign w:val="subscript"/>
        </w:rPr>
        <w:t>4</w:t>
      </w:r>
      <w:r w:rsidR="00830C2E" w:rsidRPr="005F33EE">
        <w:rPr>
          <w:sz w:val="22"/>
          <w:szCs w:val="22"/>
        </w:rPr>
        <w:t xml:space="preserve"> and N</w:t>
      </w:r>
      <w:r w:rsidR="00830C2E" w:rsidRPr="008A2821">
        <w:rPr>
          <w:sz w:val="22"/>
          <w:szCs w:val="22"/>
          <w:vertAlign w:val="subscript"/>
        </w:rPr>
        <w:t>2</w:t>
      </w:r>
      <w:r w:rsidR="00830C2E" w:rsidRPr="005F33EE">
        <w:rPr>
          <w:sz w:val="22"/>
          <w:szCs w:val="22"/>
        </w:rPr>
        <w:t xml:space="preserve">O as they feel their presence in their </w:t>
      </w:r>
      <w:r w:rsidR="00C403B3" w:rsidRPr="005F33EE">
        <w:rPr>
          <w:sz w:val="22"/>
          <w:szCs w:val="22"/>
        </w:rPr>
        <w:t xml:space="preserve">fuel mix is negligible. </w:t>
      </w:r>
    </w:p>
    <w:p w14:paraId="74D6F239" w14:textId="77777777" w:rsidR="00DA5940" w:rsidRDefault="00DA5940" w:rsidP="0018438D">
      <w:pPr>
        <w:pStyle w:val="Default"/>
        <w:rPr>
          <w:sz w:val="23"/>
          <w:szCs w:val="23"/>
        </w:rPr>
      </w:pPr>
    </w:p>
    <w:p w14:paraId="1F3806C3" w14:textId="45FE1D65" w:rsidR="00B07928" w:rsidRDefault="00B07928" w:rsidP="00DB48D3">
      <w:pPr>
        <w:pStyle w:val="Heading4"/>
      </w:pPr>
      <w:r w:rsidRPr="00B07928">
        <w:t>Projection to 2050</w:t>
      </w:r>
    </w:p>
    <w:p w14:paraId="245BEC74" w14:textId="05EF6A09" w:rsidR="00C173B7" w:rsidRPr="00C173B7" w:rsidRDefault="00C173B7" w:rsidP="00C173B7">
      <w:pPr>
        <w:pStyle w:val="Heading6"/>
      </w:pPr>
      <w:r>
        <w:t>Population</w:t>
      </w:r>
    </w:p>
    <w:p w14:paraId="5B8C8ECE" w14:textId="553A78B6" w:rsidR="00DA5940" w:rsidRPr="005F33EE" w:rsidRDefault="005D0DCF" w:rsidP="005F33EE">
      <w:pPr>
        <w:pStyle w:val="NoSpacing"/>
        <w:rPr>
          <w:sz w:val="22"/>
          <w:szCs w:val="22"/>
        </w:rPr>
      </w:pPr>
      <w:r w:rsidRPr="005F33EE">
        <w:rPr>
          <w:sz w:val="22"/>
          <w:szCs w:val="22"/>
        </w:rPr>
        <w:t xml:space="preserve">To scale </w:t>
      </w:r>
      <w:r w:rsidR="00F13564" w:rsidRPr="005F33EE">
        <w:rPr>
          <w:sz w:val="22"/>
          <w:szCs w:val="22"/>
        </w:rPr>
        <w:t xml:space="preserve">energy use </w:t>
      </w:r>
      <w:r w:rsidRPr="005F33EE">
        <w:rPr>
          <w:sz w:val="22"/>
          <w:szCs w:val="22"/>
        </w:rPr>
        <w:t xml:space="preserve">projections to 2050, City of Miami utilized population projections </w:t>
      </w:r>
      <w:r w:rsidR="00962C73" w:rsidRPr="005F33EE">
        <w:rPr>
          <w:sz w:val="22"/>
          <w:szCs w:val="22"/>
        </w:rPr>
        <w:t xml:space="preserve">calculated by the City and approved by the State of Florida in the City’s </w:t>
      </w:r>
      <w:r w:rsidR="006F42A2" w:rsidRPr="005F33EE">
        <w:rPr>
          <w:sz w:val="22"/>
          <w:szCs w:val="22"/>
        </w:rPr>
        <w:t>Municipal Comprehensive</w:t>
      </w:r>
      <w:r w:rsidR="00F95D6D" w:rsidRPr="005F33EE">
        <w:rPr>
          <w:sz w:val="22"/>
          <w:szCs w:val="22"/>
        </w:rPr>
        <w:t xml:space="preserve"> Neighborhood</w:t>
      </w:r>
      <w:r w:rsidR="006F42A2" w:rsidRPr="005F33EE">
        <w:rPr>
          <w:sz w:val="22"/>
          <w:szCs w:val="22"/>
        </w:rPr>
        <w:t xml:space="preserve"> Plan</w:t>
      </w:r>
      <w:r w:rsidR="00E3040A" w:rsidRPr="005F33EE">
        <w:rPr>
          <w:sz w:val="22"/>
          <w:szCs w:val="22"/>
        </w:rPr>
        <w:t>, “Miami: Envisioning 2035/2045</w:t>
      </w:r>
      <w:r w:rsidR="006F42A2" w:rsidRPr="005F33EE">
        <w:rPr>
          <w:sz w:val="22"/>
          <w:szCs w:val="22"/>
        </w:rPr>
        <w:t>.</w:t>
      </w:r>
      <w:r w:rsidR="00E3040A" w:rsidRPr="005F33EE">
        <w:rPr>
          <w:sz w:val="22"/>
          <w:szCs w:val="22"/>
        </w:rPr>
        <w:t xml:space="preserve">” </w:t>
      </w:r>
      <w:r w:rsidR="006F42A2" w:rsidRPr="005F33EE">
        <w:rPr>
          <w:sz w:val="22"/>
          <w:szCs w:val="22"/>
        </w:rPr>
        <w:t xml:space="preserve"> </w:t>
      </w:r>
      <w:r w:rsidR="004A225B" w:rsidRPr="005F33EE">
        <w:rPr>
          <w:sz w:val="22"/>
          <w:szCs w:val="22"/>
        </w:rPr>
        <w:t xml:space="preserve">The population projections for the City of Miami are comprised of data received from the US Census and Miami-Dade County. The City of Miami is the anchor of both Miami-Dade County and the Miami-Fort Lauderdale-Pompano Beach Metropolitan Statistical Area (MSA). </w:t>
      </w:r>
      <w:r w:rsidR="004E77DF" w:rsidRPr="005F33EE">
        <w:rPr>
          <w:sz w:val="22"/>
          <w:szCs w:val="22"/>
        </w:rPr>
        <w:t>T</w:t>
      </w:r>
      <w:r w:rsidR="004A225B" w:rsidRPr="005F33EE">
        <w:rPr>
          <w:sz w:val="22"/>
          <w:szCs w:val="22"/>
        </w:rPr>
        <w:t>he estimated population in the City of Miami in 2020 was 442,241. The population is expected to increase by 86,816, or 19.63%, to 529,057 by 2035 and by 146,566 people, or 33.14%, to 588,807 by 2045.</w:t>
      </w:r>
    </w:p>
    <w:p w14:paraId="0F8454C8" w14:textId="2AA9C23D" w:rsidR="00DA5940" w:rsidRDefault="00611C0D" w:rsidP="0018438D">
      <w:pPr>
        <w:pStyle w:val="Default"/>
        <w:rPr>
          <w:sz w:val="23"/>
          <w:szCs w:val="23"/>
        </w:rPr>
      </w:pPr>
      <w:r>
        <w:rPr>
          <w:noProof/>
        </w:rPr>
        <w:drawing>
          <wp:inline distT="0" distB="0" distL="0" distR="0" wp14:anchorId="4D8D66EA" wp14:editId="1A28F2FF">
            <wp:extent cx="6325870" cy="955675"/>
            <wp:effectExtent l="0" t="0" r="0" b="0"/>
            <wp:docPr id="627520211" name="Picture 1" descr="A close-up of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059707" name="Picture 1" descr="A close-up of numbers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25870" cy="95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B626D" w14:textId="5FCA26EB" w:rsidR="00F576CB" w:rsidRPr="005F33EE" w:rsidRDefault="00F576CB" w:rsidP="005F33EE">
      <w:pPr>
        <w:pStyle w:val="NoSpacing"/>
        <w:rPr>
          <w:sz w:val="22"/>
          <w:szCs w:val="22"/>
        </w:rPr>
      </w:pPr>
      <w:r w:rsidRPr="005F33EE">
        <w:rPr>
          <w:sz w:val="22"/>
          <w:szCs w:val="22"/>
        </w:rPr>
        <w:t xml:space="preserve">To project population for 2050, </w:t>
      </w:r>
      <w:r w:rsidR="00377289" w:rsidRPr="005F33EE">
        <w:rPr>
          <w:sz w:val="22"/>
          <w:szCs w:val="22"/>
        </w:rPr>
        <w:t xml:space="preserve">the City </w:t>
      </w:r>
      <w:r w:rsidR="00B06313" w:rsidRPr="005F33EE">
        <w:rPr>
          <w:sz w:val="22"/>
          <w:szCs w:val="22"/>
        </w:rPr>
        <w:t xml:space="preserve">calculated the population growth rate between 2040 and 2045 </w:t>
      </w:r>
      <w:r w:rsidR="00190111" w:rsidRPr="005F33EE">
        <w:rPr>
          <w:sz w:val="22"/>
          <w:szCs w:val="22"/>
        </w:rPr>
        <w:t>(5.22%)</w:t>
      </w:r>
      <w:r w:rsidR="0082148D" w:rsidRPr="005F33EE">
        <w:rPr>
          <w:sz w:val="22"/>
          <w:szCs w:val="22"/>
        </w:rPr>
        <w:t xml:space="preserve">, </w:t>
      </w:r>
      <w:r w:rsidR="00B8313B" w:rsidRPr="005F33EE">
        <w:rPr>
          <w:sz w:val="22"/>
          <w:szCs w:val="22"/>
        </w:rPr>
        <w:t>determined the annual growth rate (1.044%)</w:t>
      </w:r>
      <w:r w:rsidR="0041108C" w:rsidRPr="005F33EE">
        <w:rPr>
          <w:sz w:val="22"/>
          <w:szCs w:val="22"/>
        </w:rPr>
        <w:t xml:space="preserve">, </w:t>
      </w:r>
      <w:r w:rsidR="004D5185" w:rsidRPr="005F33EE">
        <w:rPr>
          <w:sz w:val="22"/>
          <w:szCs w:val="22"/>
        </w:rPr>
        <w:t xml:space="preserve">assumed a flat growth rate, </w:t>
      </w:r>
      <w:r w:rsidR="0041108C" w:rsidRPr="005F33EE">
        <w:rPr>
          <w:sz w:val="22"/>
          <w:szCs w:val="22"/>
        </w:rPr>
        <w:t>and applied these values to the population growth formula to determine that the projected population in 2050 is 620,191.</w:t>
      </w:r>
    </w:p>
    <w:p w14:paraId="6E8EB320" w14:textId="77777777" w:rsidR="00C173B7" w:rsidRDefault="00C173B7" w:rsidP="0018438D">
      <w:pPr>
        <w:pStyle w:val="Default"/>
        <w:rPr>
          <w:sz w:val="23"/>
          <w:szCs w:val="23"/>
        </w:rPr>
      </w:pPr>
    </w:p>
    <w:p w14:paraId="470B8263" w14:textId="3F300D7C" w:rsidR="00C173B7" w:rsidRDefault="00C173B7" w:rsidP="00C173B7">
      <w:pPr>
        <w:pStyle w:val="Heading6"/>
      </w:pPr>
      <w:r>
        <w:lastRenderedPageBreak/>
        <w:t>Grid Emissions Intensity</w:t>
      </w:r>
    </w:p>
    <w:p w14:paraId="6977445E" w14:textId="43E0FB7A" w:rsidR="00C173B7" w:rsidRDefault="002836AB" w:rsidP="00F43610">
      <w:pPr>
        <w:pStyle w:val="NoSpacing"/>
        <w:rPr>
          <w:sz w:val="22"/>
          <w:szCs w:val="22"/>
        </w:rPr>
      </w:pPr>
      <w:r w:rsidRPr="005F33EE">
        <w:rPr>
          <w:sz w:val="22"/>
          <w:szCs w:val="22"/>
        </w:rPr>
        <w:t xml:space="preserve">To project </w:t>
      </w:r>
      <w:r w:rsidR="001B614E" w:rsidRPr="005F33EE">
        <w:rPr>
          <w:sz w:val="22"/>
          <w:szCs w:val="22"/>
        </w:rPr>
        <w:t xml:space="preserve">changes in </w:t>
      </w:r>
      <w:r w:rsidR="00BB318D" w:rsidRPr="005F33EE">
        <w:rPr>
          <w:sz w:val="22"/>
          <w:szCs w:val="22"/>
        </w:rPr>
        <w:t xml:space="preserve">grid </w:t>
      </w:r>
      <w:r w:rsidR="00C173B7" w:rsidRPr="005F33EE">
        <w:rPr>
          <w:sz w:val="22"/>
          <w:szCs w:val="22"/>
        </w:rPr>
        <w:t>emissions intensity</w:t>
      </w:r>
      <w:r w:rsidR="00BB318D" w:rsidRPr="005F33EE">
        <w:rPr>
          <w:sz w:val="22"/>
          <w:szCs w:val="22"/>
        </w:rPr>
        <w:t xml:space="preserve">, </w:t>
      </w:r>
      <w:r w:rsidR="00377289" w:rsidRPr="005F33EE">
        <w:rPr>
          <w:sz w:val="22"/>
          <w:szCs w:val="22"/>
        </w:rPr>
        <w:t xml:space="preserve">the City </w:t>
      </w:r>
      <w:r w:rsidR="00A81E19" w:rsidRPr="005F33EE">
        <w:rPr>
          <w:sz w:val="22"/>
          <w:szCs w:val="22"/>
        </w:rPr>
        <w:t xml:space="preserve">utilized </w:t>
      </w:r>
      <w:r w:rsidR="001F08EB" w:rsidRPr="005F33EE">
        <w:rPr>
          <w:sz w:val="22"/>
          <w:szCs w:val="22"/>
        </w:rPr>
        <w:t xml:space="preserve">Florida statewide </w:t>
      </w:r>
      <w:r w:rsidR="007A2486" w:rsidRPr="005F33EE">
        <w:rPr>
          <w:sz w:val="22"/>
          <w:szCs w:val="22"/>
        </w:rPr>
        <w:t xml:space="preserve">grid intensity </w:t>
      </w:r>
      <w:r w:rsidR="001F08EB" w:rsidRPr="005F33EE">
        <w:rPr>
          <w:sz w:val="22"/>
          <w:szCs w:val="22"/>
        </w:rPr>
        <w:t xml:space="preserve">projections calculated by NREL. </w:t>
      </w:r>
      <w:r w:rsidR="005B142E" w:rsidRPr="005F33EE">
        <w:rPr>
          <w:sz w:val="22"/>
          <w:szCs w:val="22"/>
        </w:rPr>
        <w:t xml:space="preserve">The Southeast Florida Priority Climate Action Plan (PCAP) used this projection in their BAU </w:t>
      </w:r>
      <w:proofErr w:type="gramStart"/>
      <w:r w:rsidR="005B142E" w:rsidRPr="005F33EE">
        <w:rPr>
          <w:sz w:val="22"/>
          <w:szCs w:val="22"/>
        </w:rPr>
        <w:t>scenario</w:t>
      </w:r>
      <w:proofErr w:type="gramEnd"/>
      <w:r w:rsidR="005B142E" w:rsidRPr="005F33EE">
        <w:rPr>
          <w:sz w:val="22"/>
          <w:szCs w:val="22"/>
        </w:rPr>
        <w:t xml:space="preserve"> so City of Miami utilized this projection as well to </w:t>
      </w:r>
      <w:r w:rsidR="00064364" w:rsidRPr="005F33EE">
        <w:rPr>
          <w:sz w:val="22"/>
          <w:szCs w:val="22"/>
        </w:rPr>
        <w:t xml:space="preserve">stay as aligned as possible. </w:t>
      </w:r>
      <w:r w:rsidR="00021017" w:rsidRPr="005F33EE">
        <w:rPr>
          <w:sz w:val="22"/>
          <w:szCs w:val="22"/>
        </w:rPr>
        <w:t>T</w:t>
      </w:r>
      <w:r w:rsidR="000050E4" w:rsidRPr="005F33EE">
        <w:rPr>
          <w:sz w:val="22"/>
          <w:szCs w:val="22"/>
        </w:rPr>
        <w:t>he City utilized a</w:t>
      </w:r>
      <w:r w:rsidR="00D1461B" w:rsidRPr="005F33EE">
        <w:rPr>
          <w:sz w:val="22"/>
          <w:szCs w:val="22"/>
        </w:rPr>
        <w:t xml:space="preserve">n excel-based tool “State Grid Intensity </w:t>
      </w:r>
      <w:r w:rsidR="00AF7539" w:rsidRPr="005F33EE">
        <w:rPr>
          <w:sz w:val="22"/>
          <w:szCs w:val="22"/>
        </w:rPr>
        <w:t xml:space="preserve">Projections” </w:t>
      </w:r>
      <w:r w:rsidR="00021017" w:rsidRPr="005F33EE">
        <w:rPr>
          <w:sz w:val="22"/>
          <w:szCs w:val="22"/>
        </w:rPr>
        <w:t xml:space="preserve">developed by ICLEI which compiled the </w:t>
      </w:r>
      <w:r w:rsidR="00937882" w:rsidRPr="005F33EE">
        <w:rPr>
          <w:sz w:val="22"/>
          <w:szCs w:val="22"/>
        </w:rPr>
        <w:t xml:space="preserve">NREL </w:t>
      </w:r>
      <w:r w:rsidR="00021017" w:rsidRPr="005F33EE">
        <w:rPr>
          <w:sz w:val="22"/>
          <w:szCs w:val="22"/>
        </w:rPr>
        <w:t>projections</w:t>
      </w:r>
      <w:r w:rsidR="00937882" w:rsidRPr="005F33EE">
        <w:rPr>
          <w:sz w:val="22"/>
          <w:szCs w:val="22"/>
        </w:rPr>
        <w:t xml:space="preserve"> and </w:t>
      </w:r>
      <w:proofErr w:type="spellStart"/>
      <w:r w:rsidR="00937882" w:rsidRPr="005F33EE">
        <w:rPr>
          <w:sz w:val="22"/>
          <w:szCs w:val="22"/>
        </w:rPr>
        <w:t>eGRID</w:t>
      </w:r>
      <w:proofErr w:type="spellEnd"/>
      <w:r w:rsidR="00937882" w:rsidRPr="005F33EE">
        <w:rPr>
          <w:sz w:val="22"/>
          <w:szCs w:val="22"/>
        </w:rPr>
        <w:t xml:space="preserve"> reported MWh/</w:t>
      </w:r>
      <w:proofErr w:type="spellStart"/>
      <w:r w:rsidR="00937882" w:rsidRPr="005F33EE">
        <w:rPr>
          <w:sz w:val="22"/>
          <w:szCs w:val="22"/>
        </w:rPr>
        <w:t>lb</w:t>
      </w:r>
      <w:proofErr w:type="spellEnd"/>
      <w:r w:rsidR="003050D5" w:rsidRPr="005F33EE">
        <w:rPr>
          <w:sz w:val="22"/>
          <w:szCs w:val="22"/>
        </w:rPr>
        <w:t xml:space="preserve"> grid emissions intensity values. </w:t>
      </w:r>
      <w:r w:rsidR="0025283C" w:rsidRPr="005F33EE">
        <w:rPr>
          <w:sz w:val="22"/>
          <w:szCs w:val="22"/>
        </w:rPr>
        <w:t xml:space="preserve">Projected values are reported </w:t>
      </w:r>
      <w:r w:rsidR="005F33EE" w:rsidRPr="005F33EE">
        <w:rPr>
          <w:sz w:val="22"/>
          <w:szCs w:val="22"/>
        </w:rPr>
        <w:t>every</w:t>
      </w:r>
      <w:r w:rsidR="0025283C" w:rsidRPr="005F33EE">
        <w:rPr>
          <w:sz w:val="22"/>
          <w:szCs w:val="22"/>
        </w:rPr>
        <w:t xml:space="preserve"> two year</w:t>
      </w:r>
      <w:r w:rsidR="005F33EE">
        <w:rPr>
          <w:sz w:val="22"/>
          <w:szCs w:val="22"/>
        </w:rPr>
        <w:t>s</w:t>
      </w:r>
      <w:r w:rsidR="0025283C" w:rsidRPr="005F33EE">
        <w:rPr>
          <w:sz w:val="22"/>
          <w:szCs w:val="22"/>
        </w:rPr>
        <w:t xml:space="preserve"> – those values were inputted into the ICLEI forecasting wizard.</w:t>
      </w:r>
    </w:p>
    <w:p w14:paraId="6391AED5" w14:textId="4747D36B" w:rsidR="00DA36F6" w:rsidRDefault="00DA36F6" w:rsidP="00DA36F6">
      <w:pPr>
        <w:pStyle w:val="Heading6"/>
      </w:pPr>
      <w:r>
        <w:t>Table 1.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0"/>
        <w:gridCol w:w="660"/>
        <w:gridCol w:w="660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</w:tblGrid>
      <w:tr w:rsidR="00115774" w:rsidRPr="00C476E5" w14:paraId="3842293F" w14:textId="77777777" w:rsidTr="00115774">
        <w:trPr>
          <w:trHeight w:val="336"/>
        </w:trPr>
        <w:tc>
          <w:tcPr>
            <w:tcW w:w="490" w:type="pc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C9E9EB" w:fill="C9E9EB"/>
            <w:noWrap/>
            <w:vAlign w:val="center"/>
            <w:hideMark/>
          </w:tcPr>
          <w:p w14:paraId="01FBF45F" w14:textId="77777777" w:rsidR="00C476E5" w:rsidRPr="00F76FA5" w:rsidRDefault="00C476E5" w:rsidP="00115774">
            <w:pPr>
              <w:pStyle w:val="NoSpacing"/>
              <w:rPr>
                <w:rFonts w:eastAsia="Times New Roman"/>
                <w:b/>
                <w:bCs/>
                <w:lang w:eastAsia="en-US"/>
              </w:rPr>
            </w:pPr>
            <w:r w:rsidRPr="00F76FA5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Year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DA9CFB" w14:textId="6C7C1429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Pr="00C476E5">
              <w:rPr>
                <w:rFonts w:ascii="Aptos Narrow" w:eastAsia="Times New Roman" w:hAnsi="Aptos Narrow" w:cs="Times New Roman"/>
                <w:lang w:eastAsia="en-US"/>
              </w:rPr>
              <w:t>24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51311" w14:textId="4F23ADF3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Pr="00C476E5">
              <w:rPr>
                <w:rFonts w:ascii="Aptos Narrow" w:eastAsia="Times New Roman" w:hAnsi="Aptos Narrow" w:cs="Times New Roman"/>
                <w:lang w:eastAsia="en-US"/>
              </w:rPr>
              <w:t>26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94167" w14:textId="09680E42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Pr="00C476E5">
              <w:rPr>
                <w:rFonts w:ascii="Aptos Narrow" w:eastAsia="Times New Roman" w:hAnsi="Aptos Narrow" w:cs="Times New Roman"/>
                <w:lang w:eastAsia="en-US"/>
              </w:rPr>
              <w:t>28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ED82C" w14:textId="70C621C2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Pr="00C476E5">
              <w:rPr>
                <w:rFonts w:ascii="Aptos Narrow" w:eastAsia="Times New Roman" w:hAnsi="Aptos Narrow" w:cs="Times New Roman"/>
                <w:lang w:eastAsia="en-US"/>
              </w:rPr>
              <w:t>30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47DBF6" w14:textId="1279383A" w:rsidR="00C476E5" w:rsidRPr="00C476E5" w:rsidRDefault="00775F30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="00C476E5" w:rsidRPr="00C476E5">
              <w:rPr>
                <w:rFonts w:ascii="Aptos Narrow" w:eastAsia="Times New Roman" w:hAnsi="Aptos Narrow" w:cs="Times New Roman"/>
                <w:lang w:eastAsia="en-US"/>
              </w:rPr>
              <w:t>32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E4D40" w14:textId="07ED6160" w:rsidR="00C476E5" w:rsidRPr="00C476E5" w:rsidRDefault="00775F30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="00C476E5" w:rsidRPr="00C476E5">
              <w:rPr>
                <w:rFonts w:ascii="Aptos Narrow" w:eastAsia="Times New Roman" w:hAnsi="Aptos Narrow" w:cs="Times New Roman"/>
                <w:lang w:eastAsia="en-US"/>
              </w:rPr>
              <w:t>34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7664C6" w14:textId="2900F362" w:rsidR="00C476E5" w:rsidRPr="00C476E5" w:rsidRDefault="00775F30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="00C476E5" w:rsidRPr="00C476E5">
              <w:rPr>
                <w:rFonts w:ascii="Aptos Narrow" w:eastAsia="Times New Roman" w:hAnsi="Aptos Narrow" w:cs="Times New Roman"/>
                <w:lang w:eastAsia="en-US"/>
              </w:rPr>
              <w:t>36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4AF36" w14:textId="4DD07258" w:rsidR="00C476E5" w:rsidRPr="00C476E5" w:rsidRDefault="00775F30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="00C476E5" w:rsidRPr="00C476E5">
              <w:rPr>
                <w:rFonts w:ascii="Aptos Narrow" w:eastAsia="Times New Roman" w:hAnsi="Aptos Narrow" w:cs="Times New Roman"/>
                <w:lang w:eastAsia="en-US"/>
              </w:rPr>
              <w:t>38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275B2" w14:textId="391388A8" w:rsidR="00C476E5" w:rsidRPr="00C476E5" w:rsidRDefault="00775F30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="00C476E5" w:rsidRPr="00C476E5">
              <w:rPr>
                <w:rFonts w:ascii="Aptos Narrow" w:eastAsia="Times New Roman" w:hAnsi="Aptos Narrow" w:cs="Times New Roman"/>
                <w:lang w:eastAsia="en-US"/>
              </w:rPr>
              <w:t>40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2A07A7" w14:textId="4B21FCAF" w:rsidR="00C476E5" w:rsidRPr="00C476E5" w:rsidRDefault="00775F30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="00C476E5" w:rsidRPr="00C476E5">
              <w:rPr>
                <w:rFonts w:ascii="Aptos Narrow" w:eastAsia="Times New Roman" w:hAnsi="Aptos Narrow" w:cs="Times New Roman"/>
                <w:lang w:eastAsia="en-US"/>
              </w:rPr>
              <w:t>42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747146" w14:textId="6B638C8C" w:rsidR="00C476E5" w:rsidRPr="00C476E5" w:rsidRDefault="00775F30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="00C476E5" w:rsidRPr="00C476E5">
              <w:rPr>
                <w:rFonts w:ascii="Aptos Narrow" w:eastAsia="Times New Roman" w:hAnsi="Aptos Narrow" w:cs="Times New Roman"/>
                <w:lang w:eastAsia="en-US"/>
              </w:rPr>
              <w:t>44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2A81F1" w14:textId="2775883E" w:rsidR="00C476E5" w:rsidRPr="00C476E5" w:rsidRDefault="00775F30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="00C476E5" w:rsidRPr="00C476E5">
              <w:rPr>
                <w:rFonts w:ascii="Aptos Narrow" w:eastAsia="Times New Roman" w:hAnsi="Aptos Narrow" w:cs="Times New Roman"/>
                <w:lang w:eastAsia="en-US"/>
              </w:rPr>
              <w:t>46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7C988" w14:textId="14E1EC73" w:rsidR="00C476E5" w:rsidRPr="00C476E5" w:rsidRDefault="00775F30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="00C476E5" w:rsidRPr="00C476E5">
              <w:rPr>
                <w:rFonts w:ascii="Aptos Narrow" w:eastAsia="Times New Roman" w:hAnsi="Aptos Narrow" w:cs="Times New Roman"/>
                <w:lang w:eastAsia="en-US"/>
              </w:rPr>
              <w:t>48</w:t>
            </w:r>
          </w:p>
        </w:tc>
        <w:tc>
          <w:tcPr>
            <w:tcW w:w="328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8B04C0" w14:textId="31843A0B" w:rsidR="00C476E5" w:rsidRPr="00C476E5" w:rsidRDefault="00775F30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>
              <w:rPr>
                <w:rFonts w:ascii="Aptos Narrow" w:eastAsia="Times New Roman" w:hAnsi="Aptos Narrow" w:cs="Times New Roman"/>
                <w:lang w:eastAsia="en-US"/>
              </w:rPr>
              <w:t>‘</w:t>
            </w:r>
            <w:r w:rsidR="00C476E5" w:rsidRPr="00C476E5">
              <w:rPr>
                <w:rFonts w:ascii="Aptos Narrow" w:eastAsia="Times New Roman" w:hAnsi="Aptos Narrow" w:cs="Times New Roman"/>
                <w:lang w:eastAsia="en-US"/>
              </w:rPr>
              <w:t>50</w:t>
            </w:r>
          </w:p>
        </w:tc>
      </w:tr>
      <w:tr w:rsidR="00115774" w:rsidRPr="00C476E5" w14:paraId="09DF5BBF" w14:textId="77777777" w:rsidTr="00115774">
        <w:trPr>
          <w:trHeight w:val="995"/>
        </w:trPr>
        <w:tc>
          <w:tcPr>
            <w:tcW w:w="490" w:type="pc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C9E9EB" w:fill="C9E9EB"/>
            <w:vAlign w:val="center"/>
            <w:hideMark/>
          </w:tcPr>
          <w:p w14:paraId="5D352B27" w14:textId="09AA6B29" w:rsidR="00C476E5" w:rsidRPr="00F76FA5" w:rsidRDefault="00C476E5" w:rsidP="00115774">
            <w:pPr>
              <w:pStyle w:val="NoSpacing"/>
              <w:rPr>
                <w:rFonts w:eastAsia="Times New Roman"/>
                <w:b/>
                <w:bCs/>
                <w:lang w:eastAsia="en-US"/>
              </w:rPr>
            </w:pPr>
            <w:r w:rsidRPr="00F76FA5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 xml:space="preserve">Grid Emissions Intensity </w:t>
            </w:r>
            <w:r w:rsidR="00F76FA5" w:rsidRPr="00F76FA5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F76FA5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lbs</w:t>
            </w:r>
            <w:proofErr w:type="spellEnd"/>
            <w:r w:rsidRPr="00F76FA5"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  <w:t>/MWh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56C21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748.887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21C95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642.140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F5DDC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573.951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0CA0A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535.436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B3CB0F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511.847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81C7BB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497.847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D81D24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488.434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E29724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563.170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CD083D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566.874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C1BC91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555.101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6BC731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515.154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C56557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509.091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CD7978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521.834</w:t>
            </w:r>
          </w:p>
        </w:tc>
        <w:tc>
          <w:tcPr>
            <w:tcW w:w="328" w:type="pct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B9D9A5" w14:textId="77777777" w:rsidR="00C476E5" w:rsidRPr="00C476E5" w:rsidRDefault="00C476E5" w:rsidP="00115774">
            <w:pPr>
              <w:pStyle w:val="NoSpacing"/>
              <w:rPr>
                <w:rFonts w:ascii="Aptos Narrow" w:eastAsia="Times New Roman" w:hAnsi="Aptos Narrow" w:cs="Times New Roman"/>
                <w:lang w:eastAsia="en-US"/>
              </w:rPr>
            </w:pPr>
            <w:r w:rsidRPr="00C476E5">
              <w:rPr>
                <w:rFonts w:ascii="Aptos Narrow" w:eastAsia="Times New Roman" w:hAnsi="Aptos Narrow" w:cs="Times New Roman"/>
                <w:lang w:eastAsia="en-US"/>
              </w:rPr>
              <w:t>546.856</w:t>
            </w:r>
          </w:p>
        </w:tc>
      </w:tr>
    </w:tbl>
    <w:p w14:paraId="44636F6D" w14:textId="77777777" w:rsidR="002F7C6D" w:rsidRDefault="002F7C6D" w:rsidP="0018438D">
      <w:pPr>
        <w:pStyle w:val="Default"/>
        <w:rPr>
          <w:b/>
          <w:bCs/>
          <w:sz w:val="23"/>
          <w:szCs w:val="23"/>
        </w:rPr>
      </w:pPr>
    </w:p>
    <w:p w14:paraId="2A354320" w14:textId="1C0FADCC" w:rsidR="005F33EE" w:rsidRDefault="0018438D" w:rsidP="005F33EE">
      <w:pPr>
        <w:pStyle w:val="Heading2"/>
      </w:pPr>
      <w:r>
        <w:t>Measure-Specific Documentation</w:t>
      </w:r>
    </w:p>
    <w:p w14:paraId="48AEE19B" w14:textId="4C80603C" w:rsidR="005F33EE" w:rsidRDefault="00157EDC" w:rsidP="005F33EE">
      <w:pPr>
        <w:pStyle w:val="Heading3"/>
      </w:pPr>
      <w:r>
        <w:t>PCAP Data</w:t>
      </w:r>
    </w:p>
    <w:p w14:paraId="7E90FDF7" w14:textId="2EE6F84A" w:rsidR="005F33EE" w:rsidRDefault="005F33EE" w:rsidP="00D10B0D">
      <w:pPr>
        <w:pStyle w:val="NoSpacing"/>
        <w:rPr>
          <w:sz w:val="22"/>
          <w:szCs w:val="22"/>
        </w:rPr>
      </w:pPr>
      <w:r w:rsidRPr="00157EDC">
        <w:rPr>
          <w:sz w:val="22"/>
          <w:szCs w:val="22"/>
        </w:rPr>
        <w:t xml:space="preserve">City of Miami utilized GHG reduction calculations </w:t>
      </w:r>
      <w:r w:rsidR="009E548E">
        <w:rPr>
          <w:sz w:val="22"/>
          <w:szCs w:val="22"/>
        </w:rPr>
        <w:t xml:space="preserve">from the Southeast Florida Priority Climate Action Plan (PCAP) which were </w:t>
      </w:r>
      <w:r w:rsidRPr="00157EDC">
        <w:rPr>
          <w:sz w:val="22"/>
          <w:szCs w:val="22"/>
        </w:rPr>
        <w:t xml:space="preserve">compiled </w:t>
      </w:r>
      <w:r w:rsidR="00587B1E">
        <w:rPr>
          <w:sz w:val="22"/>
          <w:szCs w:val="22"/>
        </w:rPr>
        <w:t>by a consulting team at WSP</w:t>
      </w:r>
      <w:r w:rsidR="009E548E">
        <w:rPr>
          <w:sz w:val="22"/>
          <w:szCs w:val="22"/>
        </w:rPr>
        <w:t>.</w:t>
      </w:r>
      <w:r w:rsidR="00ED0C01">
        <w:rPr>
          <w:sz w:val="22"/>
          <w:szCs w:val="22"/>
        </w:rPr>
        <w:t xml:space="preserve"> Utilizing </w:t>
      </w:r>
      <w:r w:rsidR="00EF6DFC">
        <w:rPr>
          <w:sz w:val="22"/>
          <w:szCs w:val="22"/>
        </w:rPr>
        <w:t xml:space="preserve">market data, </w:t>
      </w:r>
      <w:r w:rsidR="00E231EB">
        <w:rPr>
          <w:sz w:val="22"/>
          <w:szCs w:val="22"/>
        </w:rPr>
        <w:t>flat energy reduction p</w:t>
      </w:r>
      <w:r w:rsidR="00C45844">
        <w:rPr>
          <w:sz w:val="22"/>
          <w:szCs w:val="22"/>
        </w:rPr>
        <w:t>otentials</w:t>
      </w:r>
      <w:r w:rsidR="00E231EB">
        <w:rPr>
          <w:sz w:val="22"/>
          <w:szCs w:val="22"/>
        </w:rPr>
        <w:t xml:space="preserve"> were calculated for each GHG </w:t>
      </w:r>
      <w:r w:rsidR="00C45844">
        <w:rPr>
          <w:sz w:val="22"/>
          <w:szCs w:val="22"/>
        </w:rPr>
        <w:t>reduction measure</w:t>
      </w:r>
      <w:r w:rsidR="00145686">
        <w:rPr>
          <w:sz w:val="22"/>
          <w:szCs w:val="22"/>
        </w:rPr>
        <w:t xml:space="preserve">. The City of Miami utilized </w:t>
      </w:r>
      <w:r w:rsidR="0038466A">
        <w:rPr>
          <w:sz w:val="22"/>
          <w:szCs w:val="22"/>
        </w:rPr>
        <w:t>their</w:t>
      </w:r>
      <w:r w:rsidR="00145686">
        <w:rPr>
          <w:sz w:val="22"/>
          <w:szCs w:val="22"/>
        </w:rPr>
        <w:t xml:space="preserve"> “Energy Reduction P</w:t>
      </w:r>
      <w:r w:rsidR="00A435F0">
        <w:rPr>
          <w:sz w:val="22"/>
          <w:szCs w:val="22"/>
        </w:rPr>
        <w:t>ercentage</w:t>
      </w:r>
      <w:r w:rsidR="00145686">
        <w:rPr>
          <w:sz w:val="22"/>
          <w:szCs w:val="22"/>
        </w:rPr>
        <w:t>” values where possible</w:t>
      </w:r>
      <w:r w:rsidR="005622D9">
        <w:rPr>
          <w:sz w:val="22"/>
          <w:szCs w:val="22"/>
        </w:rPr>
        <w:t xml:space="preserve"> and applied to our own adoption scenarios. Where not possible, </w:t>
      </w:r>
      <w:r w:rsidR="00A435F0">
        <w:rPr>
          <w:sz w:val="22"/>
          <w:szCs w:val="22"/>
        </w:rPr>
        <w:t>“Electricity Reduction MWh” v</w:t>
      </w:r>
      <w:r w:rsidR="00ED0C01" w:rsidRPr="00157EDC">
        <w:rPr>
          <w:sz w:val="22"/>
          <w:szCs w:val="22"/>
        </w:rPr>
        <w:t xml:space="preserve">alues </w:t>
      </w:r>
      <w:r w:rsidR="00ED0C01">
        <w:rPr>
          <w:sz w:val="22"/>
          <w:szCs w:val="22"/>
        </w:rPr>
        <w:t xml:space="preserve">were </w:t>
      </w:r>
      <w:r w:rsidR="00ED0C01" w:rsidRPr="00157EDC">
        <w:rPr>
          <w:sz w:val="22"/>
          <w:szCs w:val="22"/>
        </w:rPr>
        <w:t xml:space="preserve">scaled to per-unit numbers and then scaled to </w:t>
      </w:r>
      <w:r w:rsidR="00A435F0">
        <w:rPr>
          <w:sz w:val="22"/>
          <w:szCs w:val="22"/>
        </w:rPr>
        <w:t>City of Miami adoption scenarios</w:t>
      </w:r>
      <w:r w:rsidR="00ED0C01" w:rsidRPr="00157EDC">
        <w:rPr>
          <w:sz w:val="22"/>
          <w:szCs w:val="22"/>
        </w:rPr>
        <w:t xml:space="preserve">. </w:t>
      </w:r>
      <w:r w:rsidR="00CB5991">
        <w:rPr>
          <w:sz w:val="22"/>
          <w:szCs w:val="22"/>
        </w:rPr>
        <w:t xml:space="preserve">Specific ICLEI </w:t>
      </w:r>
      <w:proofErr w:type="spellStart"/>
      <w:r w:rsidR="00CB5991">
        <w:rPr>
          <w:sz w:val="22"/>
          <w:szCs w:val="22"/>
        </w:rPr>
        <w:t>Clearpath</w:t>
      </w:r>
      <w:proofErr w:type="spellEnd"/>
      <w:r w:rsidR="00CB5991">
        <w:rPr>
          <w:sz w:val="22"/>
          <w:szCs w:val="22"/>
        </w:rPr>
        <w:t xml:space="preserve"> calculators </w:t>
      </w:r>
      <w:proofErr w:type="gramStart"/>
      <w:r w:rsidR="00CB5991">
        <w:rPr>
          <w:sz w:val="22"/>
          <w:szCs w:val="22"/>
        </w:rPr>
        <w:t>used</w:t>
      </w:r>
      <w:proofErr w:type="gramEnd"/>
      <w:r w:rsidR="00CB5991">
        <w:rPr>
          <w:sz w:val="22"/>
          <w:szCs w:val="22"/>
        </w:rPr>
        <w:t xml:space="preserve"> and inputs are detailed below.</w:t>
      </w:r>
    </w:p>
    <w:p w14:paraId="1B57ACF7" w14:textId="77777777" w:rsidR="00FA6A81" w:rsidRDefault="00FA6A81" w:rsidP="00D10B0D">
      <w:pPr>
        <w:pStyle w:val="NoSpacing"/>
        <w:rPr>
          <w:sz w:val="22"/>
          <w:szCs w:val="22"/>
        </w:rPr>
      </w:pPr>
    </w:p>
    <w:p w14:paraId="4F11A976" w14:textId="24AE984F" w:rsidR="00DB3F85" w:rsidRDefault="00023676" w:rsidP="00FA6A81">
      <w:pPr>
        <w:pStyle w:val="Heading3"/>
      </w:pPr>
      <w:r>
        <w:t xml:space="preserve">GHG Reduction </w:t>
      </w:r>
      <w:r w:rsidR="00041D3E">
        <w:t>Estimate Method</w:t>
      </w:r>
    </w:p>
    <w:p w14:paraId="7CE415EA" w14:textId="451FE91A" w:rsidR="00FC4DF3" w:rsidRDefault="007340F6" w:rsidP="00FC4DF3">
      <w:pPr>
        <w:rPr>
          <w:sz w:val="22"/>
          <w:szCs w:val="22"/>
        </w:rPr>
      </w:pPr>
      <w:r>
        <w:rPr>
          <w:sz w:val="22"/>
          <w:szCs w:val="22"/>
        </w:rPr>
        <w:t xml:space="preserve">To measure the GHG reduction potential of each measure, City of Miami measured the difference in </w:t>
      </w:r>
      <w:r w:rsidR="0053764A">
        <w:rPr>
          <w:sz w:val="22"/>
          <w:szCs w:val="22"/>
        </w:rPr>
        <w:t>CO2e</w:t>
      </w:r>
      <w:r w:rsidR="00D43BB4">
        <w:rPr>
          <w:sz w:val="22"/>
          <w:szCs w:val="22"/>
        </w:rPr>
        <w:t xml:space="preserve"> from the baseline Business As Usual scenario once the measure has been applied.</w:t>
      </w:r>
      <w:r w:rsidR="0077434E">
        <w:rPr>
          <w:sz w:val="22"/>
          <w:szCs w:val="22"/>
        </w:rPr>
        <w:t xml:space="preserve"> GHG reduction potentials were taken from the Southeast Florida PCAP and then modeled using different implementation values based on each climate program in ICLEI </w:t>
      </w:r>
      <w:proofErr w:type="spellStart"/>
      <w:r w:rsidR="0077434E">
        <w:rPr>
          <w:sz w:val="22"/>
          <w:szCs w:val="22"/>
        </w:rPr>
        <w:t>Clearpath</w:t>
      </w:r>
      <w:proofErr w:type="spellEnd"/>
      <w:r w:rsidR="0077434E">
        <w:rPr>
          <w:sz w:val="22"/>
          <w:szCs w:val="22"/>
        </w:rPr>
        <w:t>. This calculator then output estimated reductions in CO</w:t>
      </w:r>
      <w:r w:rsidR="0077434E" w:rsidRPr="00180AC0">
        <w:rPr>
          <w:sz w:val="22"/>
          <w:szCs w:val="22"/>
          <w:vertAlign w:val="subscript"/>
        </w:rPr>
        <w:t>2</w:t>
      </w:r>
      <w:r w:rsidR="0077434E">
        <w:rPr>
          <w:sz w:val="22"/>
          <w:szCs w:val="22"/>
        </w:rPr>
        <w:t>e per year through 2050.</w:t>
      </w:r>
      <w:r w:rsidR="00D43BB4">
        <w:rPr>
          <w:sz w:val="22"/>
          <w:szCs w:val="22"/>
        </w:rPr>
        <w:t xml:space="preserve"> In instances where a measure is present in multiple </w:t>
      </w:r>
      <w:r w:rsidR="000E3D61">
        <w:rPr>
          <w:sz w:val="22"/>
          <w:szCs w:val="22"/>
        </w:rPr>
        <w:t>programs (for example, Keep Safe Miami and</w:t>
      </w:r>
      <w:r w:rsidR="004A15BD">
        <w:rPr>
          <w:sz w:val="22"/>
          <w:szCs w:val="22"/>
        </w:rPr>
        <w:t xml:space="preserve"> Miami Cools) the CO</w:t>
      </w:r>
      <w:r w:rsidR="004A15BD" w:rsidRPr="00817C60">
        <w:rPr>
          <w:sz w:val="22"/>
          <w:szCs w:val="22"/>
          <w:vertAlign w:val="subscript"/>
        </w:rPr>
        <w:t>2</w:t>
      </w:r>
      <w:r w:rsidR="004A15BD">
        <w:rPr>
          <w:sz w:val="22"/>
          <w:szCs w:val="22"/>
        </w:rPr>
        <w:t xml:space="preserve">e reduction for each instance of the measure was calculated and then summed to determine the </w:t>
      </w:r>
      <w:r w:rsidR="00817C60">
        <w:rPr>
          <w:sz w:val="22"/>
          <w:szCs w:val="22"/>
        </w:rPr>
        <w:t>total projected CO</w:t>
      </w:r>
      <w:r w:rsidR="00817C60" w:rsidRPr="00817C60">
        <w:rPr>
          <w:sz w:val="22"/>
          <w:szCs w:val="22"/>
          <w:vertAlign w:val="subscript"/>
        </w:rPr>
        <w:t>2</w:t>
      </w:r>
      <w:r w:rsidR="00817C60">
        <w:rPr>
          <w:sz w:val="22"/>
          <w:szCs w:val="22"/>
        </w:rPr>
        <w:t xml:space="preserve">e reduction potential for each measure as a whole. </w:t>
      </w:r>
      <w:r w:rsidR="002502DA">
        <w:rPr>
          <w:sz w:val="22"/>
          <w:szCs w:val="22"/>
        </w:rPr>
        <w:t xml:space="preserve">City of Miami only evaluated impacts from retrofits, the Miami Clate Ready Homes Program Suite does not </w:t>
      </w:r>
      <w:r w:rsidR="00946E2E">
        <w:rPr>
          <w:sz w:val="22"/>
          <w:szCs w:val="22"/>
        </w:rPr>
        <w:t xml:space="preserve">address new construction. </w:t>
      </w:r>
      <w:r w:rsidR="00920A66">
        <w:rPr>
          <w:sz w:val="22"/>
          <w:szCs w:val="22"/>
        </w:rPr>
        <w:t>Specific values and assumptions are detailed below.</w:t>
      </w:r>
    </w:p>
    <w:p w14:paraId="164AE2B9" w14:textId="471F3E35" w:rsidR="001D0BAB" w:rsidRDefault="001D0BAB" w:rsidP="001D0BAB">
      <w:pPr>
        <w:pStyle w:val="Heading6"/>
        <w:rPr>
          <w:bCs/>
          <w:sz w:val="22"/>
          <w:szCs w:val="22"/>
        </w:rPr>
      </w:pPr>
      <w:r w:rsidRPr="001D0BAB">
        <w:rPr>
          <w:bCs/>
          <w:sz w:val="22"/>
          <w:szCs w:val="22"/>
        </w:rPr>
        <w:t>GHG Reduction Estimate Assumptions</w:t>
      </w:r>
    </w:p>
    <w:p w14:paraId="32A91068" w14:textId="04C548B0" w:rsidR="001D0BAB" w:rsidRPr="001D0BAB" w:rsidRDefault="006F495A" w:rsidP="001D0BAB">
      <w:r w:rsidRPr="00707A60">
        <w:rPr>
          <w:sz w:val="22"/>
          <w:szCs w:val="22"/>
        </w:rPr>
        <w:t>We assumed that GHG reductions were derived from reduced electricity use and improved grid emissions intensity (via NREL Florida projections).</w:t>
      </w:r>
      <w:r w:rsidR="00C803DB">
        <w:rPr>
          <w:sz w:val="22"/>
          <w:szCs w:val="22"/>
        </w:rPr>
        <w:t xml:space="preserve"> See Table 1.</w:t>
      </w:r>
    </w:p>
    <w:p w14:paraId="6086991D" w14:textId="77777777" w:rsidR="001D0BAB" w:rsidRPr="007340F6" w:rsidRDefault="001D0BAB" w:rsidP="00FC4DF3">
      <w:pPr>
        <w:rPr>
          <w:sz w:val="22"/>
          <w:szCs w:val="22"/>
        </w:rPr>
      </w:pPr>
    </w:p>
    <w:p w14:paraId="64E6757E" w14:textId="219E4033" w:rsidR="00FA6A81" w:rsidRDefault="00FA6A81" w:rsidP="00FA6A81">
      <w:pPr>
        <w:pStyle w:val="Heading3"/>
      </w:pPr>
      <w:r>
        <w:t>Inputs and Assumptions</w:t>
      </w:r>
    </w:p>
    <w:p w14:paraId="20CB4474" w14:textId="26282BFD" w:rsidR="005A6A9E" w:rsidRDefault="005A6A9E" w:rsidP="005A6A9E">
      <w:pPr>
        <w:pStyle w:val="Heading6"/>
      </w:pPr>
      <w:r>
        <w:t>Generally Applied Assumptions</w:t>
      </w:r>
    </w:p>
    <w:p w14:paraId="7F0A67AE" w14:textId="40EE709B" w:rsidR="005B3401" w:rsidRPr="00B25BE0" w:rsidRDefault="00DB55A5" w:rsidP="00920A66">
      <w:pPr>
        <w:rPr>
          <w:rStyle w:val="SubtleEmphasis"/>
          <w:i w:val="0"/>
          <w:iCs w:val="0"/>
          <w:color w:val="auto"/>
          <w:sz w:val="22"/>
          <w:szCs w:val="22"/>
        </w:rPr>
      </w:pPr>
      <w:r w:rsidRPr="00C53476">
        <w:rPr>
          <w:sz w:val="22"/>
          <w:szCs w:val="22"/>
        </w:rPr>
        <w:t xml:space="preserve">To determine GHG reduction impact of each GHG reduction measure, City of Miami developed implementation </w:t>
      </w:r>
      <w:r w:rsidR="005C4612" w:rsidRPr="00C53476">
        <w:rPr>
          <w:sz w:val="22"/>
          <w:szCs w:val="22"/>
        </w:rPr>
        <w:t>scenarios for each of the three programs: Keep Safe Miami</w:t>
      </w:r>
      <w:r w:rsidR="00E20B5C" w:rsidRPr="00C53476">
        <w:rPr>
          <w:sz w:val="22"/>
          <w:szCs w:val="22"/>
        </w:rPr>
        <w:t xml:space="preserve"> (KS)</w:t>
      </w:r>
      <w:r w:rsidR="005C4612" w:rsidRPr="00C53476">
        <w:rPr>
          <w:sz w:val="22"/>
          <w:szCs w:val="22"/>
        </w:rPr>
        <w:t xml:space="preserve">, the Homeownership </w:t>
      </w:r>
      <w:r w:rsidR="005C4612" w:rsidRPr="00C53476">
        <w:rPr>
          <w:sz w:val="22"/>
          <w:szCs w:val="22"/>
        </w:rPr>
        <w:lastRenderedPageBreak/>
        <w:t>Preservation Program</w:t>
      </w:r>
      <w:r w:rsidR="00E20B5C" w:rsidRPr="00C53476">
        <w:rPr>
          <w:sz w:val="22"/>
          <w:szCs w:val="22"/>
        </w:rPr>
        <w:t xml:space="preserve"> (HPP)</w:t>
      </w:r>
      <w:r w:rsidR="005C4612" w:rsidRPr="00C53476">
        <w:rPr>
          <w:sz w:val="22"/>
          <w:szCs w:val="22"/>
        </w:rPr>
        <w:t>, and Miami Cools</w:t>
      </w:r>
      <w:r w:rsidR="00E20B5C" w:rsidRPr="00C53476">
        <w:rPr>
          <w:sz w:val="22"/>
          <w:szCs w:val="22"/>
        </w:rPr>
        <w:t xml:space="preserve"> (MC)</w:t>
      </w:r>
      <w:r w:rsidR="005C4612" w:rsidRPr="00C53476">
        <w:rPr>
          <w:sz w:val="22"/>
          <w:szCs w:val="22"/>
        </w:rPr>
        <w:t xml:space="preserve">. </w:t>
      </w:r>
      <w:r w:rsidR="00090AC7" w:rsidRPr="00C53476">
        <w:rPr>
          <w:sz w:val="22"/>
          <w:szCs w:val="22"/>
        </w:rPr>
        <w:t xml:space="preserve">According to the American Community Survey </w:t>
      </w:r>
      <w:r w:rsidR="00BB531A" w:rsidRPr="00C53476">
        <w:rPr>
          <w:sz w:val="22"/>
          <w:szCs w:val="22"/>
        </w:rPr>
        <w:t>(Table B25001) City of Miami ha</w:t>
      </w:r>
      <w:r w:rsidR="00F90300" w:rsidRPr="00C53476">
        <w:rPr>
          <w:sz w:val="22"/>
          <w:szCs w:val="22"/>
        </w:rPr>
        <w:t xml:space="preserve">d 228,213 housing units in </w:t>
      </w:r>
      <w:r w:rsidR="00335C93" w:rsidRPr="00C53476">
        <w:rPr>
          <w:sz w:val="22"/>
          <w:szCs w:val="22"/>
        </w:rPr>
        <w:t xml:space="preserve">2022. </w:t>
      </w:r>
      <w:r w:rsidR="006C4CFF">
        <w:rPr>
          <w:sz w:val="22"/>
          <w:szCs w:val="22"/>
        </w:rPr>
        <w:t xml:space="preserve">A study conducted by Construction Coverage </w:t>
      </w:r>
      <w:r w:rsidR="00F075E1">
        <w:rPr>
          <w:sz w:val="22"/>
          <w:szCs w:val="22"/>
        </w:rPr>
        <w:t xml:space="preserve">reported that </w:t>
      </w:r>
      <w:r w:rsidR="00EB0385">
        <w:rPr>
          <w:sz w:val="22"/>
          <w:szCs w:val="22"/>
        </w:rPr>
        <w:t xml:space="preserve">in 2023 </w:t>
      </w:r>
      <w:r w:rsidR="00F075E1">
        <w:rPr>
          <w:sz w:val="22"/>
          <w:szCs w:val="22"/>
        </w:rPr>
        <w:t xml:space="preserve">48.4% </w:t>
      </w:r>
      <w:r w:rsidR="00EB0385">
        <w:rPr>
          <w:sz w:val="22"/>
          <w:szCs w:val="22"/>
        </w:rPr>
        <w:t xml:space="preserve">of existing housing units </w:t>
      </w:r>
      <w:r w:rsidR="00D178AE">
        <w:rPr>
          <w:sz w:val="22"/>
          <w:szCs w:val="22"/>
        </w:rPr>
        <w:t xml:space="preserve">in the Miami-Fort Lauderdale- </w:t>
      </w:r>
      <w:r w:rsidR="004E5F07">
        <w:rPr>
          <w:sz w:val="22"/>
          <w:szCs w:val="22"/>
        </w:rPr>
        <w:t>Pompano</w:t>
      </w:r>
      <w:r w:rsidR="00D178AE">
        <w:rPr>
          <w:sz w:val="22"/>
          <w:szCs w:val="22"/>
        </w:rPr>
        <w:t xml:space="preserve"> Beach MSA </w:t>
      </w:r>
      <w:r w:rsidR="00EB0385">
        <w:rPr>
          <w:sz w:val="22"/>
          <w:szCs w:val="22"/>
        </w:rPr>
        <w:t>were in multi-family buildings a</w:t>
      </w:r>
      <w:r w:rsidR="003A0986">
        <w:rPr>
          <w:sz w:val="22"/>
          <w:szCs w:val="22"/>
        </w:rPr>
        <w:t xml:space="preserve">nd 51.6% </w:t>
      </w:r>
      <w:r w:rsidR="00C013CB">
        <w:rPr>
          <w:sz w:val="22"/>
          <w:szCs w:val="22"/>
        </w:rPr>
        <w:t xml:space="preserve">were single-family </w:t>
      </w:r>
      <w:r w:rsidR="00C17628">
        <w:rPr>
          <w:sz w:val="22"/>
          <w:szCs w:val="22"/>
        </w:rPr>
        <w:t>residences.</w:t>
      </w:r>
      <w:r w:rsidR="0080288D">
        <w:rPr>
          <w:rStyle w:val="FootnoteReference"/>
          <w:sz w:val="22"/>
          <w:szCs w:val="22"/>
        </w:rPr>
        <w:footnoteReference w:id="2"/>
      </w:r>
      <w:r w:rsidR="00C17628">
        <w:rPr>
          <w:sz w:val="22"/>
          <w:szCs w:val="22"/>
        </w:rPr>
        <w:t xml:space="preserve"> </w:t>
      </w:r>
      <w:r w:rsidR="00033626">
        <w:rPr>
          <w:sz w:val="22"/>
          <w:szCs w:val="22"/>
        </w:rPr>
        <w:t xml:space="preserve">We applied these percentages to </w:t>
      </w:r>
      <w:r w:rsidR="00FC044B">
        <w:rPr>
          <w:sz w:val="22"/>
          <w:szCs w:val="22"/>
        </w:rPr>
        <w:t xml:space="preserve">City of Miami’s total housing units </w:t>
      </w:r>
      <w:r w:rsidR="00551722">
        <w:rPr>
          <w:sz w:val="22"/>
          <w:szCs w:val="22"/>
        </w:rPr>
        <w:t xml:space="preserve">to </w:t>
      </w:r>
      <w:r w:rsidR="001436E8">
        <w:rPr>
          <w:sz w:val="22"/>
          <w:szCs w:val="22"/>
        </w:rPr>
        <w:t>approximate how many housing units are in multifamily buildings (</w:t>
      </w:r>
      <w:r w:rsidR="004F2877">
        <w:rPr>
          <w:sz w:val="22"/>
          <w:szCs w:val="22"/>
        </w:rPr>
        <w:t xml:space="preserve">110,455) and how many are </w:t>
      </w:r>
      <w:r w:rsidR="00751187">
        <w:rPr>
          <w:sz w:val="22"/>
          <w:szCs w:val="22"/>
        </w:rPr>
        <w:t>single-family residences (117,758).</w:t>
      </w:r>
      <w:r w:rsidR="00A72D1B">
        <w:rPr>
          <w:sz w:val="22"/>
          <w:szCs w:val="22"/>
        </w:rPr>
        <w:t xml:space="preserve"> </w:t>
      </w:r>
      <w:r w:rsidR="00392733">
        <w:rPr>
          <w:sz w:val="22"/>
          <w:szCs w:val="22"/>
        </w:rPr>
        <w:t xml:space="preserve">Through this grant we intend to complete 100 projects per program over the 5 year grant period. </w:t>
      </w:r>
      <w:r w:rsidR="00796803">
        <w:rPr>
          <w:sz w:val="22"/>
          <w:szCs w:val="22"/>
        </w:rPr>
        <w:t xml:space="preserve">We </w:t>
      </w:r>
      <w:r w:rsidR="00C17B58">
        <w:rPr>
          <w:sz w:val="22"/>
          <w:szCs w:val="22"/>
        </w:rPr>
        <w:t xml:space="preserve">intend for these projects to have a geographic spread across the City will 20 projects per program </w:t>
      </w:r>
      <w:r w:rsidR="00D058D1">
        <w:rPr>
          <w:sz w:val="22"/>
          <w:szCs w:val="22"/>
        </w:rPr>
        <w:t xml:space="preserve">being completed in each of the City’s 5 districts each year over the </w:t>
      </w:r>
      <w:r w:rsidR="00B25BE0">
        <w:rPr>
          <w:sz w:val="22"/>
          <w:szCs w:val="22"/>
        </w:rPr>
        <w:t>period of the grant.</w:t>
      </w:r>
      <w:r w:rsidR="00B82025">
        <w:rPr>
          <w:sz w:val="22"/>
          <w:szCs w:val="22"/>
        </w:rPr>
        <w:t xml:space="preserve"> </w:t>
      </w:r>
      <w:r w:rsidR="00A16B37">
        <w:rPr>
          <w:sz w:val="22"/>
          <w:szCs w:val="22"/>
        </w:rPr>
        <w:t xml:space="preserve">The Keep Safe Miami program </w:t>
      </w:r>
      <w:r w:rsidR="004D2924">
        <w:rPr>
          <w:sz w:val="22"/>
          <w:szCs w:val="22"/>
        </w:rPr>
        <w:t>targets building</w:t>
      </w:r>
      <w:r w:rsidR="00885FB0">
        <w:rPr>
          <w:sz w:val="22"/>
          <w:szCs w:val="22"/>
        </w:rPr>
        <w:t>s</w:t>
      </w:r>
      <w:r w:rsidR="004D2924">
        <w:rPr>
          <w:sz w:val="22"/>
          <w:szCs w:val="22"/>
        </w:rPr>
        <w:t xml:space="preserve"> with 4-20 units </w:t>
      </w:r>
      <w:r w:rsidR="00C466EA">
        <w:rPr>
          <w:sz w:val="22"/>
          <w:szCs w:val="22"/>
        </w:rPr>
        <w:t>so w</w:t>
      </w:r>
      <w:r w:rsidR="000F481C">
        <w:rPr>
          <w:sz w:val="22"/>
          <w:szCs w:val="22"/>
        </w:rPr>
        <w:t>e used a 20 unit building to evaluate impact.</w:t>
      </w:r>
      <w:r w:rsidR="00885FB0">
        <w:rPr>
          <w:sz w:val="22"/>
          <w:szCs w:val="22"/>
        </w:rPr>
        <w:t xml:space="preserve"> The Miami Cools program addresses </w:t>
      </w:r>
      <w:r w:rsidR="007A3B6A">
        <w:rPr>
          <w:sz w:val="22"/>
          <w:szCs w:val="22"/>
        </w:rPr>
        <w:t xml:space="preserve">efficiency on a per unit basis </w:t>
      </w:r>
      <w:r w:rsidR="007F7C74">
        <w:rPr>
          <w:sz w:val="22"/>
          <w:szCs w:val="22"/>
        </w:rPr>
        <w:t>and therefore will assume 4 units per multifamily housing building.</w:t>
      </w:r>
    </w:p>
    <w:p w14:paraId="2F012E54" w14:textId="16BD0429" w:rsidR="00685F35" w:rsidRPr="002660ED" w:rsidRDefault="00685F35" w:rsidP="00685F35">
      <w:pPr>
        <w:spacing w:after="0"/>
        <w:rPr>
          <w:rStyle w:val="SubtleEmphasis"/>
        </w:rPr>
      </w:pPr>
      <w:r w:rsidRPr="002660ED">
        <w:rPr>
          <w:rStyle w:val="SubtleEmphasis"/>
        </w:rPr>
        <w:t xml:space="preserve">Table </w:t>
      </w:r>
      <w:r w:rsidR="00DA36F6">
        <w:rPr>
          <w:rStyle w:val="SubtleEmphasis"/>
        </w:rPr>
        <w:t>2a</w:t>
      </w:r>
      <w:r w:rsidRPr="002660ED">
        <w:rPr>
          <w:rStyle w:val="SubtleEmphasi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7"/>
        <w:gridCol w:w="2488"/>
        <w:gridCol w:w="2488"/>
        <w:gridCol w:w="2489"/>
      </w:tblGrid>
      <w:tr w:rsidR="00685F35" w14:paraId="1E4402EA" w14:textId="77777777">
        <w:tc>
          <w:tcPr>
            <w:tcW w:w="2487" w:type="dxa"/>
          </w:tcPr>
          <w:p w14:paraId="5B5B22AF" w14:textId="77777777" w:rsidR="00685F35" w:rsidRPr="00920A66" w:rsidRDefault="00685F35">
            <w:pPr>
              <w:rPr>
                <w:i/>
                <w:iCs/>
                <w:sz w:val="22"/>
                <w:szCs w:val="22"/>
              </w:rPr>
            </w:pPr>
            <w:r w:rsidRPr="00920A66">
              <w:rPr>
                <w:i/>
                <w:iCs/>
                <w:sz w:val="22"/>
                <w:szCs w:val="22"/>
              </w:rPr>
              <w:t>Program</w:t>
            </w:r>
          </w:p>
        </w:tc>
        <w:tc>
          <w:tcPr>
            <w:tcW w:w="2488" w:type="dxa"/>
          </w:tcPr>
          <w:p w14:paraId="524E6911" w14:textId="77777777" w:rsidR="00685F35" w:rsidRPr="00920A66" w:rsidRDefault="00685F35">
            <w:pPr>
              <w:rPr>
                <w:b/>
                <w:bCs/>
                <w:sz w:val="22"/>
                <w:szCs w:val="22"/>
              </w:rPr>
            </w:pPr>
            <w:r w:rsidRPr="00920A66">
              <w:rPr>
                <w:b/>
                <w:bCs/>
                <w:sz w:val="22"/>
                <w:szCs w:val="22"/>
              </w:rPr>
              <w:t>Keep Safe Miami (KS)</w:t>
            </w:r>
          </w:p>
        </w:tc>
        <w:tc>
          <w:tcPr>
            <w:tcW w:w="2488" w:type="dxa"/>
          </w:tcPr>
          <w:p w14:paraId="252194AF" w14:textId="77777777" w:rsidR="00685F35" w:rsidRPr="00920A66" w:rsidRDefault="00685F35">
            <w:pPr>
              <w:rPr>
                <w:b/>
                <w:bCs/>
                <w:sz w:val="22"/>
                <w:szCs w:val="22"/>
              </w:rPr>
            </w:pPr>
            <w:r w:rsidRPr="00920A66">
              <w:rPr>
                <w:b/>
                <w:bCs/>
                <w:sz w:val="22"/>
                <w:szCs w:val="22"/>
              </w:rPr>
              <w:t>Homeownership Preservation Program (HPP)</w:t>
            </w:r>
          </w:p>
        </w:tc>
        <w:tc>
          <w:tcPr>
            <w:tcW w:w="2489" w:type="dxa"/>
          </w:tcPr>
          <w:p w14:paraId="1451B972" w14:textId="77777777" w:rsidR="00685F35" w:rsidRPr="00920A66" w:rsidRDefault="00685F35">
            <w:pPr>
              <w:rPr>
                <w:b/>
                <w:bCs/>
                <w:sz w:val="22"/>
                <w:szCs w:val="22"/>
              </w:rPr>
            </w:pPr>
            <w:r w:rsidRPr="00920A66">
              <w:rPr>
                <w:b/>
                <w:bCs/>
                <w:sz w:val="22"/>
                <w:szCs w:val="22"/>
              </w:rPr>
              <w:t>Miami Cools (MC)</w:t>
            </w:r>
          </w:p>
        </w:tc>
      </w:tr>
      <w:tr w:rsidR="00FB50F6" w14:paraId="6DE7331A" w14:textId="77777777">
        <w:tc>
          <w:tcPr>
            <w:tcW w:w="2487" w:type="dxa"/>
          </w:tcPr>
          <w:p w14:paraId="2E4FAA70" w14:textId="6DA04F68" w:rsidR="00FB50F6" w:rsidRPr="00920A66" w:rsidRDefault="00FB50F6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Implementation Total</w:t>
            </w:r>
          </w:p>
        </w:tc>
        <w:tc>
          <w:tcPr>
            <w:tcW w:w="2488" w:type="dxa"/>
          </w:tcPr>
          <w:p w14:paraId="414A5611" w14:textId="7ABFE6B1" w:rsidR="00FB50F6" w:rsidRPr="00FB50F6" w:rsidRDefault="00FB50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multifamily buildings</w:t>
            </w:r>
            <w:r w:rsidR="003F6246">
              <w:rPr>
                <w:sz w:val="22"/>
                <w:szCs w:val="22"/>
              </w:rPr>
              <w:t xml:space="preserve"> / </w:t>
            </w:r>
            <w:r w:rsidR="007432B1">
              <w:rPr>
                <w:sz w:val="22"/>
                <w:szCs w:val="22"/>
              </w:rPr>
              <w:t>2,000</w:t>
            </w:r>
            <w:r w:rsidR="00B644DD">
              <w:rPr>
                <w:sz w:val="22"/>
                <w:szCs w:val="22"/>
              </w:rPr>
              <w:t xml:space="preserve"> housing units</w:t>
            </w:r>
          </w:p>
        </w:tc>
        <w:tc>
          <w:tcPr>
            <w:tcW w:w="2488" w:type="dxa"/>
          </w:tcPr>
          <w:p w14:paraId="5BD499AC" w14:textId="278DC017" w:rsidR="00FB50F6" w:rsidRPr="00CD431F" w:rsidRDefault="00CD431F">
            <w:pPr>
              <w:rPr>
                <w:sz w:val="22"/>
                <w:szCs w:val="22"/>
              </w:rPr>
            </w:pPr>
            <w:r w:rsidRPr="00CD431F">
              <w:rPr>
                <w:sz w:val="22"/>
                <w:szCs w:val="22"/>
              </w:rPr>
              <w:t>100 single-family homes</w:t>
            </w:r>
            <w:r w:rsidR="00B644DD">
              <w:rPr>
                <w:sz w:val="22"/>
                <w:szCs w:val="22"/>
              </w:rPr>
              <w:t>/housing units</w:t>
            </w:r>
          </w:p>
        </w:tc>
        <w:tc>
          <w:tcPr>
            <w:tcW w:w="2489" w:type="dxa"/>
          </w:tcPr>
          <w:p w14:paraId="5D7DAD8A" w14:textId="386DCFCD" w:rsidR="00FB50F6" w:rsidRPr="00CD431F" w:rsidRDefault="00CD431F">
            <w:pPr>
              <w:rPr>
                <w:sz w:val="22"/>
                <w:szCs w:val="22"/>
              </w:rPr>
            </w:pPr>
            <w:r w:rsidRPr="00CD431F">
              <w:rPr>
                <w:sz w:val="22"/>
                <w:szCs w:val="22"/>
              </w:rPr>
              <w:t>50 single-family homes</w:t>
            </w:r>
            <w:r w:rsidR="00F91947">
              <w:rPr>
                <w:sz w:val="22"/>
                <w:szCs w:val="22"/>
              </w:rPr>
              <w:t>/housing units</w:t>
            </w:r>
          </w:p>
          <w:p w14:paraId="061850FA" w14:textId="558C834D" w:rsidR="00B644DD" w:rsidRPr="00B644DD" w:rsidRDefault="00CD431F">
            <w:pPr>
              <w:rPr>
                <w:sz w:val="22"/>
                <w:szCs w:val="22"/>
              </w:rPr>
            </w:pPr>
            <w:r w:rsidRPr="00CD431F">
              <w:rPr>
                <w:sz w:val="22"/>
                <w:szCs w:val="22"/>
              </w:rPr>
              <w:t>50 multifamily buildings</w:t>
            </w:r>
            <w:r w:rsidR="00B644DD">
              <w:rPr>
                <w:sz w:val="22"/>
                <w:szCs w:val="22"/>
              </w:rPr>
              <w:t xml:space="preserve"> / 200 housing units</w:t>
            </w:r>
          </w:p>
        </w:tc>
      </w:tr>
      <w:tr w:rsidR="00685F35" w14:paraId="387CF3D1" w14:textId="77777777">
        <w:tc>
          <w:tcPr>
            <w:tcW w:w="2487" w:type="dxa"/>
          </w:tcPr>
          <w:p w14:paraId="32307CD6" w14:textId="77777777" w:rsidR="00685F35" w:rsidRPr="00920A66" w:rsidRDefault="00685F35">
            <w:pPr>
              <w:rPr>
                <w:i/>
                <w:iCs/>
                <w:sz w:val="22"/>
                <w:szCs w:val="22"/>
              </w:rPr>
            </w:pPr>
            <w:r w:rsidRPr="00920A66">
              <w:rPr>
                <w:i/>
                <w:iCs/>
                <w:sz w:val="22"/>
                <w:szCs w:val="22"/>
              </w:rPr>
              <w:t>Implementation Rate</w:t>
            </w:r>
          </w:p>
        </w:tc>
        <w:tc>
          <w:tcPr>
            <w:tcW w:w="2488" w:type="dxa"/>
          </w:tcPr>
          <w:p w14:paraId="40DFB1D4" w14:textId="0DD792AD" w:rsidR="00685F35" w:rsidRDefault="007432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350A8E">
              <w:rPr>
                <w:sz w:val="22"/>
                <w:szCs w:val="22"/>
              </w:rPr>
              <w:t xml:space="preserve"> housing</w:t>
            </w:r>
            <w:r w:rsidR="00685F35" w:rsidRPr="00920A66">
              <w:rPr>
                <w:sz w:val="22"/>
                <w:szCs w:val="22"/>
              </w:rPr>
              <w:t xml:space="preserve"> units per year</w:t>
            </w:r>
          </w:p>
          <w:p w14:paraId="0931EF91" w14:textId="57F7A530" w:rsidR="00F91947" w:rsidRPr="00920A66" w:rsidRDefault="00AC1E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</w:t>
            </w:r>
            <w:r w:rsidR="007C5A3F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% of total housing</w:t>
            </w:r>
          </w:p>
        </w:tc>
        <w:tc>
          <w:tcPr>
            <w:tcW w:w="2488" w:type="dxa"/>
          </w:tcPr>
          <w:p w14:paraId="327FB18F" w14:textId="77777777" w:rsidR="00685F35" w:rsidRDefault="00350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685F35" w:rsidRPr="00920A66">
              <w:rPr>
                <w:sz w:val="22"/>
                <w:szCs w:val="22"/>
              </w:rPr>
              <w:t xml:space="preserve"> housing units per year</w:t>
            </w:r>
          </w:p>
          <w:p w14:paraId="5BC04EA3" w14:textId="371EFACE" w:rsidR="00350A8E" w:rsidRPr="00920A66" w:rsidRDefault="005928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0.009% of total housing</w:t>
            </w:r>
          </w:p>
        </w:tc>
        <w:tc>
          <w:tcPr>
            <w:tcW w:w="2489" w:type="dxa"/>
          </w:tcPr>
          <w:p w14:paraId="224B76D9" w14:textId="77777777" w:rsidR="00685F35" w:rsidRDefault="00874D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housing units per year</w:t>
            </w:r>
          </w:p>
          <w:p w14:paraId="7B95AF8F" w14:textId="38934E8E" w:rsidR="00592858" w:rsidRPr="00920A66" w:rsidRDefault="007E0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0.02% of total housing</w:t>
            </w:r>
          </w:p>
        </w:tc>
      </w:tr>
    </w:tbl>
    <w:p w14:paraId="7BE42A38" w14:textId="77777777" w:rsidR="009110F9" w:rsidRDefault="009110F9" w:rsidP="00CA04EA">
      <w:pPr>
        <w:spacing w:after="0"/>
        <w:rPr>
          <w:rStyle w:val="SubtleEmphasis"/>
        </w:rPr>
      </w:pPr>
    </w:p>
    <w:p w14:paraId="2CA25DF0" w14:textId="764287AF" w:rsidR="00685F35" w:rsidRPr="00CA04EA" w:rsidRDefault="00CA04EA" w:rsidP="00CA04EA">
      <w:pPr>
        <w:spacing w:after="0"/>
        <w:rPr>
          <w:rStyle w:val="SubtleEmphasis"/>
        </w:rPr>
      </w:pPr>
      <w:r w:rsidRPr="00CA04EA">
        <w:rPr>
          <w:rStyle w:val="SubtleEmphasis"/>
        </w:rPr>
        <w:t xml:space="preserve">Table </w:t>
      </w:r>
      <w:r w:rsidR="00DA36F6">
        <w:rPr>
          <w:rStyle w:val="SubtleEmphasis"/>
        </w:rPr>
        <w:t>2b</w:t>
      </w:r>
      <w:r w:rsidRPr="00CA04EA">
        <w:rPr>
          <w:rStyle w:val="SubtleEmphasi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7"/>
        <w:gridCol w:w="3317"/>
        <w:gridCol w:w="3318"/>
      </w:tblGrid>
      <w:tr w:rsidR="00903E9A" w14:paraId="273BF2FD" w14:textId="77777777">
        <w:tc>
          <w:tcPr>
            <w:tcW w:w="3317" w:type="dxa"/>
          </w:tcPr>
          <w:p w14:paraId="65B25443" w14:textId="595EB19B" w:rsidR="00903E9A" w:rsidRPr="00920A66" w:rsidRDefault="007F446B">
            <w:pPr>
              <w:rPr>
                <w:b/>
                <w:bCs/>
                <w:sz w:val="22"/>
                <w:szCs w:val="22"/>
              </w:rPr>
            </w:pPr>
            <w:r w:rsidRPr="00920A66">
              <w:rPr>
                <w:b/>
                <w:bCs/>
                <w:sz w:val="22"/>
                <w:szCs w:val="22"/>
              </w:rPr>
              <w:t>Housing</w:t>
            </w:r>
          </w:p>
        </w:tc>
        <w:tc>
          <w:tcPr>
            <w:tcW w:w="3317" w:type="dxa"/>
          </w:tcPr>
          <w:p w14:paraId="05577F7C" w14:textId="684CFE43" w:rsidR="00903E9A" w:rsidRPr="00920A66" w:rsidRDefault="00903E9A">
            <w:pPr>
              <w:rPr>
                <w:b/>
                <w:bCs/>
                <w:sz w:val="22"/>
                <w:szCs w:val="22"/>
              </w:rPr>
            </w:pPr>
            <w:r w:rsidRPr="00920A66">
              <w:rPr>
                <w:b/>
                <w:bCs/>
                <w:sz w:val="22"/>
                <w:szCs w:val="22"/>
              </w:rPr>
              <w:t>Value</w:t>
            </w:r>
          </w:p>
        </w:tc>
        <w:tc>
          <w:tcPr>
            <w:tcW w:w="3318" w:type="dxa"/>
          </w:tcPr>
          <w:p w14:paraId="08C2762B" w14:textId="790EE6D5" w:rsidR="00903E9A" w:rsidRPr="00920A66" w:rsidRDefault="00903E9A">
            <w:pPr>
              <w:rPr>
                <w:b/>
                <w:bCs/>
                <w:sz w:val="22"/>
                <w:szCs w:val="22"/>
              </w:rPr>
            </w:pPr>
            <w:r w:rsidRPr="00920A66">
              <w:rPr>
                <w:b/>
                <w:bCs/>
                <w:sz w:val="22"/>
                <w:szCs w:val="22"/>
              </w:rPr>
              <w:t>Percentage of total units</w:t>
            </w:r>
          </w:p>
        </w:tc>
      </w:tr>
      <w:tr w:rsidR="00CA04EA" w14:paraId="1D20B2F1" w14:textId="77777777">
        <w:tc>
          <w:tcPr>
            <w:tcW w:w="3317" w:type="dxa"/>
          </w:tcPr>
          <w:p w14:paraId="0DF7AD00" w14:textId="77777777" w:rsidR="00CA04EA" w:rsidRPr="00920A66" w:rsidRDefault="00CA04EA">
            <w:pPr>
              <w:rPr>
                <w:sz w:val="22"/>
                <w:szCs w:val="22"/>
              </w:rPr>
            </w:pPr>
            <w:r w:rsidRPr="00920A66">
              <w:rPr>
                <w:sz w:val="22"/>
                <w:szCs w:val="22"/>
              </w:rPr>
              <w:t>Total housing units</w:t>
            </w:r>
          </w:p>
        </w:tc>
        <w:tc>
          <w:tcPr>
            <w:tcW w:w="3317" w:type="dxa"/>
          </w:tcPr>
          <w:p w14:paraId="71B491DE" w14:textId="77777777" w:rsidR="00CA04EA" w:rsidRPr="00920A66" w:rsidRDefault="00CA04EA">
            <w:pPr>
              <w:rPr>
                <w:sz w:val="22"/>
                <w:szCs w:val="22"/>
              </w:rPr>
            </w:pPr>
            <w:r w:rsidRPr="00920A66">
              <w:rPr>
                <w:sz w:val="22"/>
                <w:szCs w:val="22"/>
              </w:rPr>
              <w:t>228,213</w:t>
            </w:r>
          </w:p>
        </w:tc>
        <w:tc>
          <w:tcPr>
            <w:tcW w:w="3318" w:type="dxa"/>
          </w:tcPr>
          <w:p w14:paraId="374CECAE" w14:textId="77777777" w:rsidR="00CA04EA" w:rsidRPr="00920A66" w:rsidRDefault="00CA04EA">
            <w:pPr>
              <w:rPr>
                <w:sz w:val="22"/>
                <w:szCs w:val="22"/>
              </w:rPr>
            </w:pPr>
            <w:r w:rsidRPr="00920A66">
              <w:rPr>
                <w:sz w:val="22"/>
                <w:szCs w:val="22"/>
              </w:rPr>
              <w:t>100%</w:t>
            </w:r>
          </w:p>
        </w:tc>
      </w:tr>
      <w:tr w:rsidR="00CA04EA" w14:paraId="57119A04" w14:textId="77777777">
        <w:tc>
          <w:tcPr>
            <w:tcW w:w="3317" w:type="dxa"/>
          </w:tcPr>
          <w:p w14:paraId="0A7D9854" w14:textId="77777777" w:rsidR="00CA04EA" w:rsidRPr="00920A66" w:rsidRDefault="00CA04EA">
            <w:pPr>
              <w:rPr>
                <w:sz w:val="22"/>
                <w:szCs w:val="22"/>
              </w:rPr>
            </w:pPr>
            <w:r w:rsidRPr="00920A66">
              <w:rPr>
                <w:sz w:val="22"/>
                <w:szCs w:val="22"/>
              </w:rPr>
              <w:t>Multifamily housing units</w:t>
            </w:r>
          </w:p>
        </w:tc>
        <w:tc>
          <w:tcPr>
            <w:tcW w:w="3317" w:type="dxa"/>
          </w:tcPr>
          <w:p w14:paraId="0F497AA7" w14:textId="77777777" w:rsidR="00CA04EA" w:rsidRPr="00920A66" w:rsidRDefault="00CA04EA">
            <w:pPr>
              <w:rPr>
                <w:sz w:val="22"/>
                <w:szCs w:val="22"/>
              </w:rPr>
            </w:pPr>
            <w:r w:rsidRPr="00920A66">
              <w:rPr>
                <w:sz w:val="22"/>
                <w:szCs w:val="22"/>
              </w:rPr>
              <w:t>110,455</w:t>
            </w:r>
          </w:p>
        </w:tc>
        <w:tc>
          <w:tcPr>
            <w:tcW w:w="3318" w:type="dxa"/>
          </w:tcPr>
          <w:p w14:paraId="10F30B9F" w14:textId="77777777" w:rsidR="00CA04EA" w:rsidRPr="00920A66" w:rsidRDefault="00CA04EA">
            <w:pPr>
              <w:rPr>
                <w:sz w:val="22"/>
                <w:szCs w:val="22"/>
              </w:rPr>
            </w:pPr>
            <w:r w:rsidRPr="00920A66">
              <w:rPr>
                <w:sz w:val="22"/>
                <w:szCs w:val="22"/>
              </w:rPr>
              <w:t>48.4%</w:t>
            </w:r>
          </w:p>
        </w:tc>
      </w:tr>
      <w:tr w:rsidR="00CA04EA" w14:paraId="36A38AEA" w14:textId="77777777">
        <w:tc>
          <w:tcPr>
            <w:tcW w:w="3317" w:type="dxa"/>
          </w:tcPr>
          <w:p w14:paraId="594E81B0" w14:textId="77777777" w:rsidR="00CA04EA" w:rsidRPr="00920A66" w:rsidRDefault="00CA04EA">
            <w:pPr>
              <w:rPr>
                <w:sz w:val="22"/>
                <w:szCs w:val="22"/>
              </w:rPr>
            </w:pPr>
            <w:r w:rsidRPr="00920A66">
              <w:rPr>
                <w:sz w:val="22"/>
                <w:szCs w:val="22"/>
              </w:rPr>
              <w:t>Single family housing units</w:t>
            </w:r>
          </w:p>
        </w:tc>
        <w:tc>
          <w:tcPr>
            <w:tcW w:w="3317" w:type="dxa"/>
          </w:tcPr>
          <w:p w14:paraId="33D22EE8" w14:textId="77777777" w:rsidR="00CA04EA" w:rsidRPr="00920A66" w:rsidRDefault="00CA04EA">
            <w:pPr>
              <w:rPr>
                <w:sz w:val="22"/>
                <w:szCs w:val="22"/>
              </w:rPr>
            </w:pPr>
            <w:r w:rsidRPr="00920A66">
              <w:rPr>
                <w:sz w:val="22"/>
                <w:szCs w:val="22"/>
              </w:rPr>
              <w:t>117,758</w:t>
            </w:r>
          </w:p>
        </w:tc>
        <w:tc>
          <w:tcPr>
            <w:tcW w:w="3318" w:type="dxa"/>
          </w:tcPr>
          <w:p w14:paraId="215E3853" w14:textId="77777777" w:rsidR="00CA04EA" w:rsidRPr="00920A66" w:rsidRDefault="00CA04EA">
            <w:pPr>
              <w:rPr>
                <w:sz w:val="22"/>
                <w:szCs w:val="22"/>
              </w:rPr>
            </w:pPr>
            <w:r w:rsidRPr="00920A66">
              <w:rPr>
                <w:sz w:val="22"/>
                <w:szCs w:val="22"/>
              </w:rPr>
              <w:t>51.6%</w:t>
            </w:r>
          </w:p>
        </w:tc>
      </w:tr>
    </w:tbl>
    <w:p w14:paraId="2026F217" w14:textId="79E325DF" w:rsidR="006E059B" w:rsidRPr="00C53476" w:rsidRDefault="005D30D0" w:rsidP="00A3479D">
      <w:pPr>
        <w:spacing w:before="240"/>
        <w:rPr>
          <w:sz w:val="22"/>
          <w:szCs w:val="22"/>
        </w:rPr>
      </w:pPr>
      <w:r w:rsidRPr="00C53476">
        <w:rPr>
          <w:sz w:val="22"/>
          <w:szCs w:val="22"/>
        </w:rPr>
        <w:t xml:space="preserve">Anticipated </w:t>
      </w:r>
      <w:r w:rsidR="002660ED" w:rsidRPr="00C53476">
        <w:rPr>
          <w:sz w:val="22"/>
          <w:szCs w:val="22"/>
        </w:rPr>
        <w:t xml:space="preserve">energy savings per </w:t>
      </w:r>
      <w:r w:rsidR="002B11CC" w:rsidRPr="00C53476">
        <w:rPr>
          <w:sz w:val="22"/>
          <w:szCs w:val="22"/>
        </w:rPr>
        <w:t xml:space="preserve">measure were calculated for the Southeast Florida PCAP </w:t>
      </w:r>
      <w:r w:rsidR="0080427A" w:rsidRPr="00C53476">
        <w:rPr>
          <w:sz w:val="22"/>
          <w:szCs w:val="22"/>
        </w:rPr>
        <w:t xml:space="preserve">and those values were utilized </w:t>
      </w:r>
      <w:r w:rsidR="00A43ED6" w:rsidRPr="00C53476">
        <w:rPr>
          <w:sz w:val="22"/>
          <w:szCs w:val="22"/>
        </w:rPr>
        <w:t>for GHG emission reduction calculations</w:t>
      </w:r>
      <w:r w:rsidR="00D0336E" w:rsidRPr="00C53476">
        <w:rPr>
          <w:sz w:val="22"/>
          <w:szCs w:val="22"/>
        </w:rPr>
        <w:t xml:space="preserve">, see Table </w:t>
      </w:r>
      <w:r w:rsidR="00EA5A7F">
        <w:rPr>
          <w:sz w:val="22"/>
          <w:szCs w:val="22"/>
        </w:rPr>
        <w:t>3</w:t>
      </w:r>
      <w:r w:rsidR="00A43ED6" w:rsidRPr="00C53476">
        <w:rPr>
          <w:sz w:val="22"/>
          <w:szCs w:val="22"/>
        </w:rPr>
        <w:t xml:space="preserve">. </w:t>
      </w:r>
      <w:r w:rsidR="00AE627A" w:rsidRPr="00C53476">
        <w:rPr>
          <w:sz w:val="22"/>
          <w:szCs w:val="22"/>
        </w:rPr>
        <w:t xml:space="preserve">In addition, the Southeast Florida PCAP established a 10kW </w:t>
      </w:r>
      <w:r w:rsidR="00D0336E" w:rsidRPr="00C53476">
        <w:rPr>
          <w:sz w:val="22"/>
          <w:szCs w:val="22"/>
        </w:rPr>
        <w:t>solar install as the baseline size for solar photovoltaic installations.</w:t>
      </w:r>
    </w:p>
    <w:p w14:paraId="406BE135" w14:textId="79E46DC3" w:rsidR="002660ED" w:rsidRPr="002660ED" w:rsidRDefault="002660ED" w:rsidP="002660ED">
      <w:pPr>
        <w:spacing w:after="0"/>
        <w:rPr>
          <w:rStyle w:val="SubtleEmphasis"/>
        </w:rPr>
      </w:pPr>
      <w:r w:rsidRPr="002660ED">
        <w:rPr>
          <w:rStyle w:val="SubtleEmphasis"/>
        </w:rPr>
        <w:t xml:space="preserve">Table </w:t>
      </w:r>
      <w:r w:rsidR="00DA36F6">
        <w:rPr>
          <w:rStyle w:val="SubtleEmphasis"/>
        </w:rPr>
        <w:t>3</w:t>
      </w:r>
      <w:r w:rsidRPr="002660ED">
        <w:rPr>
          <w:rStyle w:val="SubtleEmphasi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6"/>
        <w:gridCol w:w="834"/>
        <w:gridCol w:w="968"/>
        <w:gridCol w:w="878"/>
        <w:gridCol w:w="993"/>
        <w:gridCol w:w="926"/>
        <w:gridCol w:w="949"/>
        <w:gridCol w:w="815"/>
        <w:gridCol w:w="850"/>
        <w:gridCol w:w="749"/>
        <w:gridCol w:w="774"/>
      </w:tblGrid>
      <w:tr w:rsidR="0023322A" w14:paraId="146C33B4" w14:textId="77777777" w:rsidTr="0023322A">
        <w:tc>
          <w:tcPr>
            <w:tcW w:w="756" w:type="dxa"/>
          </w:tcPr>
          <w:p w14:paraId="681557AF" w14:textId="77777777" w:rsidR="0023322A" w:rsidRPr="00860080" w:rsidRDefault="0023322A" w:rsidP="005E34FA">
            <w:pPr>
              <w:rPr>
                <w:b/>
                <w:bCs/>
              </w:rPr>
            </w:pPr>
          </w:p>
        </w:tc>
        <w:tc>
          <w:tcPr>
            <w:tcW w:w="898" w:type="dxa"/>
          </w:tcPr>
          <w:p w14:paraId="426F2227" w14:textId="220D0213" w:rsidR="0023322A" w:rsidRPr="00860080" w:rsidRDefault="0023322A" w:rsidP="005E34FA">
            <w:pPr>
              <w:rPr>
                <w:b/>
                <w:bCs/>
              </w:rPr>
            </w:pPr>
            <w:r w:rsidRPr="00860080">
              <w:rPr>
                <w:b/>
                <w:bCs/>
              </w:rPr>
              <w:t>R-01</w:t>
            </w:r>
          </w:p>
        </w:tc>
        <w:tc>
          <w:tcPr>
            <w:tcW w:w="1000" w:type="dxa"/>
          </w:tcPr>
          <w:p w14:paraId="3C7E0A49" w14:textId="0354A2ED" w:rsidR="0023322A" w:rsidRPr="00860080" w:rsidRDefault="0023322A" w:rsidP="005E34FA">
            <w:pPr>
              <w:rPr>
                <w:b/>
                <w:bCs/>
              </w:rPr>
            </w:pPr>
            <w:r w:rsidRPr="00860080">
              <w:rPr>
                <w:b/>
                <w:bCs/>
              </w:rPr>
              <w:t>R-02</w:t>
            </w:r>
          </w:p>
        </w:tc>
        <w:tc>
          <w:tcPr>
            <w:tcW w:w="933" w:type="dxa"/>
          </w:tcPr>
          <w:p w14:paraId="4A5D5D5F" w14:textId="093878C9" w:rsidR="0023322A" w:rsidRPr="00860080" w:rsidRDefault="0023322A" w:rsidP="005E34FA">
            <w:pPr>
              <w:rPr>
                <w:b/>
                <w:bCs/>
              </w:rPr>
            </w:pPr>
            <w:r w:rsidRPr="00860080">
              <w:rPr>
                <w:b/>
                <w:bCs/>
              </w:rPr>
              <w:t>R-03</w:t>
            </w:r>
          </w:p>
        </w:tc>
        <w:tc>
          <w:tcPr>
            <w:tcW w:w="1020" w:type="dxa"/>
          </w:tcPr>
          <w:p w14:paraId="7AD3F0F5" w14:textId="2C0478EB" w:rsidR="0023322A" w:rsidRPr="00860080" w:rsidRDefault="0023322A" w:rsidP="005E34FA">
            <w:pPr>
              <w:rPr>
                <w:b/>
                <w:bCs/>
              </w:rPr>
            </w:pPr>
            <w:r w:rsidRPr="00860080">
              <w:rPr>
                <w:b/>
                <w:bCs/>
              </w:rPr>
              <w:t>R-04</w:t>
            </w:r>
            <w:r>
              <w:rPr>
                <w:b/>
                <w:bCs/>
              </w:rPr>
              <w:t>a</w:t>
            </w:r>
          </w:p>
        </w:tc>
        <w:tc>
          <w:tcPr>
            <w:tcW w:w="926" w:type="dxa"/>
          </w:tcPr>
          <w:p w14:paraId="29DB6BA4" w14:textId="5C8D0A51" w:rsidR="0023322A" w:rsidRPr="00860080" w:rsidRDefault="0023322A" w:rsidP="005E34FA">
            <w:pPr>
              <w:rPr>
                <w:b/>
                <w:bCs/>
              </w:rPr>
            </w:pPr>
            <w:r>
              <w:rPr>
                <w:b/>
                <w:bCs/>
              </w:rPr>
              <w:t>R-04b</w:t>
            </w:r>
          </w:p>
        </w:tc>
        <w:tc>
          <w:tcPr>
            <w:tcW w:w="970" w:type="dxa"/>
          </w:tcPr>
          <w:p w14:paraId="2FCFD2FA" w14:textId="0F2C1983" w:rsidR="0023322A" w:rsidRPr="00860080" w:rsidRDefault="0023322A" w:rsidP="005E34FA">
            <w:pPr>
              <w:rPr>
                <w:b/>
                <w:bCs/>
              </w:rPr>
            </w:pPr>
            <w:r w:rsidRPr="00860080">
              <w:rPr>
                <w:b/>
                <w:bCs/>
              </w:rPr>
              <w:t>R-05</w:t>
            </w:r>
          </w:p>
        </w:tc>
        <w:tc>
          <w:tcPr>
            <w:tcW w:w="872" w:type="dxa"/>
          </w:tcPr>
          <w:p w14:paraId="52DD90EB" w14:textId="32AF68D3" w:rsidR="0023322A" w:rsidRPr="00860080" w:rsidRDefault="0023322A" w:rsidP="005E34FA">
            <w:pPr>
              <w:rPr>
                <w:b/>
                <w:bCs/>
              </w:rPr>
            </w:pPr>
            <w:r w:rsidRPr="00860080">
              <w:rPr>
                <w:b/>
                <w:bCs/>
              </w:rPr>
              <w:t>R-06</w:t>
            </w:r>
          </w:p>
        </w:tc>
        <w:tc>
          <w:tcPr>
            <w:tcW w:w="894" w:type="dxa"/>
          </w:tcPr>
          <w:p w14:paraId="190D67E2" w14:textId="39020587" w:rsidR="0023322A" w:rsidRPr="00860080" w:rsidRDefault="0023322A" w:rsidP="005E34FA">
            <w:pPr>
              <w:rPr>
                <w:b/>
                <w:bCs/>
              </w:rPr>
            </w:pPr>
            <w:r w:rsidRPr="00860080">
              <w:rPr>
                <w:b/>
                <w:bCs/>
              </w:rPr>
              <w:t>R-07</w:t>
            </w:r>
          </w:p>
        </w:tc>
        <w:tc>
          <w:tcPr>
            <w:tcW w:w="830" w:type="dxa"/>
          </w:tcPr>
          <w:p w14:paraId="3256FAC8" w14:textId="53764B0B" w:rsidR="0023322A" w:rsidRPr="00860080" w:rsidRDefault="0023322A" w:rsidP="005E34FA">
            <w:pPr>
              <w:rPr>
                <w:b/>
                <w:bCs/>
              </w:rPr>
            </w:pPr>
            <w:r w:rsidRPr="00860080">
              <w:rPr>
                <w:b/>
                <w:bCs/>
              </w:rPr>
              <w:t>R-08</w:t>
            </w:r>
          </w:p>
        </w:tc>
        <w:tc>
          <w:tcPr>
            <w:tcW w:w="853" w:type="dxa"/>
          </w:tcPr>
          <w:p w14:paraId="4DDF8E8A" w14:textId="3042ECAD" w:rsidR="0023322A" w:rsidRPr="00860080" w:rsidRDefault="0023322A" w:rsidP="005E34FA">
            <w:pPr>
              <w:rPr>
                <w:b/>
                <w:bCs/>
              </w:rPr>
            </w:pPr>
            <w:r w:rsidRPr="00860080">
              <w:rPr>
                <w:b/>
                <w:bCs/>
              </w:rPr>
              <w:t>R-09</w:t>
            </w:r>
          </w:p>
        </w:tc>
      </w:tr>
      <w:tr w:rsidR="0023322A" w14:paraId="6CFE9887" w14:textId="77777777" w:rsidTr="0023322A">
        <w:tc>
          <w:tcPr>
            <w:tcW w:w="756" w:type="dxa"/>
          </w:tcPr>
          <w:p w14:paraId="38C62121" w14:textId="4890C9CC" w:rsidR="0023322A" w:rsidRPr="00E757B5" w:rsidRDefault="0023322A" w:rsidP="005E34FA">
            <w:pPr>
              <w:rPr>
                <w:i/>
                <w:iCs/>
              </w:rPr>
            </w:pPr>
            <w:r w:rsidRPr="00E757B5">
              <w:rPr>
                <w:i/>
                <w:iCs/>
              </w:rPr>
              <w:t>Programs</w:t>
            </w:r>
          </w:p>
        </w:tc>
        <w:tc>
          <w:tcPr>
            <w:tcW w:w="898" w:type="dxa"/>
          </w:tcPr>
          <w:p w14:paraId="160845A1" w14:textId="0562C256" w:rsidR="0023322A" w:rsidRDefault="0023322A" w:rsidP="005E34FA">
            <w:r>
              <w:t>KS, MC</w:t>
            </w:r>
          </w:p>
        </w:tc>
        <w:tc>
          <w:tcPr>
            <w:tcW w:w="1000" w:type="dxa"/>
          </w:tcPr>
          <w:p w14:paraId="5663DEAB" w14:textId="7702F671" w:rsidR="0023322A" w:rsidRDefault="0023322A" w:rsidP="005E34FA">
            <w:r>
              <w:t>KS, HPP</w:t>
            </w:r>
          </w:p>
        </w:tc>
        <w:tc>
          <w:tcPr>
            <w:tcW w:w="933" w:type="dxa"/>
          </w:tcPr>
          <w:p w14:paraId="50623444" w14:textId="3A30EDD0" w:rsidR="0023322A" w:rsidRDefault="0023322A" w:rsidP="005E34FA">
            <w:r>
              <w:t>KS, MC</w:t>
            </w:r>
          </w:p>
        </w:tc>
        <w:tc>
          <w:tcPr>
            <w:tcW w:w="1020" w:type="dxa"/>
          </w:tcPr>
          <w:p w14:paraId="627BEEFD" w14:textId="0878D7A9" w:rsidR="0023322A" w:rsidRDefault="0023322A" w:rsidP="005E34FA">
            <w:r>
              <w:t>KS, HPP, MC</w:t>
            </w:r>
          </w:p>
        </w:tc>
        <w:tc>
          <w:tcPr>
            <w:tcW w:w="926" w:type="dxa"/>
          </w:tcPr>
          <w:p w14:paraId="01F46854" w14:textId="3A956A35" w:rsidR="0023322A" w:rsidRDefault="0023322A" w:rsidP="005E34FA">
            <w:r>
              <w:t>KS, HPP</w:t>
            </w:r>
          </w:p>
        </w:tc>
        <w:tc>
          <w:tcPr>
            <w:tcW w:w="970" w:type="dxa"/>
          </w:tcPr>
          <w:p w14:paraId="478C5B64" w14:textId="0F992A32" w:rsidR="0023322A" w:rsidRDefault="0023322A" w:rsidP="005E34FA">
            <w:r>
              <w:t>KS, HPP</w:t>
            </w:r>
          </w:p>
        </w:tc>
        <w:tc>
          <w:tcPr>
            <w:tcW w:w="872" w:type="dxa"/>
          </w:tcPr>
          <w:p w14:paraId="6E9AF25A" w14:textId="1A6084B5" w:rsidR="0023322A" w:rsidRDefault="0023322A" w:rsidP="005E34FA">
            <w:r>
              <w:t>KS</w:t>
            </w:r>
          </w:p>
        </w:tc>
        <w:tc>
          <w:tcPr>
            <w:tcW w:w="894" w:type="dxa"/>
          </w:tcPr>
          <w:p w14:paraId="49505D88" w14:textId="3EFFB835" w:rsidR="0023322A" w:rsidRDefault="0023322A" w:rsidP="005E34FA">
            <w:r>
              <w:t>KS</w:t>
            </w:r>
          </w:p>
        </w:tc>
        <w:tc>
          <w:tcPr>
            <w:tcW w:w="830" w:type="dxa"/>
          </w:tcPr>
          <w:p w14:paraId="2B21078B" w14:textId="1117C4A0" w:rsidR="0023322A" w:rsidRDefault="0023322A" w:rsidP="005E34FA">
            <w:r>
              <w:t>KS</w:t>
            </w:r>
          </w:p>
        </w:tc>
        <w:tc>
          <w:tcPr>
            <w:tcW w:w="853" w:type="dxa"/>
          </w:tcPr>
          <w:p w14:paraId="2D2B30DF" w14:textId="45199223" w:rsidR="0023322A" w:rsidRDefault="0023322A" w:rsidP="005E34FA">
            <w:r>
              <w:t>KS, MC</w:t>
            </w:r>
          </w:p>
        </w:tc>
      </w:tr>
      <w:tr w:rsidR="0023322A" w14:paraId="72419AF1" w14:textId="77777777" w:rsidTr="0023322A">
        <w:tc>
          <w:tcPr>
            <w:tcW w:w="756" w:type="dxa"/>
          </w:tcPr>
          <w:p w14:paraId="095A3ABB" w14:textId="76811B00" w:rsidR="0023322A" w:rsidRPr="00E757B5" w:rsidRDefault="00E25FF8" w:rsidP="005E34FA">
            <w:pPr>
              <w:rPr>
                <w:i/>
                <w:iCs/>
              </w:rPr>
            </w:pPr>
            <w:r w:rsidRPr="00E757B5">
              <w:rPr>
                <w:i/>
                <w:iCs/>
              </w:rPr>
              <w:t>Savings</w:t>
            </w:r>
          </w:p>
        </w:tc>
        <w:tc>
          <w:tcPr>
            <w:tcW w:w="898" w:type="dxa"/>
          </w:tcPr>
          <w:p w14:paraId="2DC18C62" w14:textId="690BEB99" w:rsidR="0023322A" w:rsidRDefault="0023322A" w:rsidP="005E34FA">
            <w:r>
              <w:t>11%</w:t>
            </w:r>
          </w:p>
        </w:tc>
        <w:tc>
          <w:tcPr>
            <w:tcW w:w="1000" w:type="dxa"/>
          </w:tcPr>
          <w:p w14:paraId="7533528E" w14:textId="1C2A0FDA" w:rsidR="0023322A" w:rsidRDefault="0023322A" w:rsidP="005E34FA">
            <w:r>
              <w:t>10kW/ install</w:t>
            </w:r>
          </w:p>
        </w:tc>
        <w:tc>
          <w:tcPr>
            <w:tcW w:w="933" w:type="dxa"/>
          </w:tcPr>
          <w:p w14:paraId="4CF31250" w14:textId="288E89EF" w:rsidR="0023322A" w:rsidRDefault="0023322A" w:rsidP="005E34FA">
            <w:r>
              <w:t>4.5%</w:t>
            </w:r>
          </w:p>
        </w:tc>
        <w:tc>
          <w:tcPr>
            <w:tcW w:w="1020" w:type="dxa"/>
          </w:tcPr>
          <w:p w14:paraId="2412634D" w14:textId="2743F73D" w:rsidR="0023322A" w:rsidRDefault="0023322A" w:rsidP="005E34FA">
            <w:r>
              <w:t>118.26 kWh/ home/ year</w:t>
            </w:r>
          </w:p>
        </w:tc>
        <w:tc>
          <w:tcPr>
            <w:tcW w:w="926" w:type="dxa"/>
          </w:tcPr>
          <w:p w14:paraId="5481232B" w14:textId="47867E90" w:rsidR="0023322A" w:rsidRDefault="0023322A" w:rsidP="005E34FA">
            <w:r w:rsidRPr="000330F0">
              <w:t>295.66</w:t>
            </w:r>
            <w:r>
              <w:t xml:space="preserve"> kWh/ home/ year</w:t>
            </w:r>
          </w:p>
        </w:tc>
        <w:tc>
          <w:tcPr>
            <w:tcW w:w="970" w:type="dxa"/>
          </w:tcPr>
          <w:p w14:paraId="70784B73" w14:textId="5ECAD035" w:rsidR="0023322A" w:rsidRDefault="0023322A" w:rsidP="005E34FA">
            <w:r>
              <w:t>168.3 kWh/ home/ year</w:t>
            </w:r>
          </w:p>
        </w:tc>
        <w:tc>
          <w:tcPr>
            <w:tcW w:w="872" w:type="dxa"/>
          </w:tcPr>
          <w:p w14:paraId="51F369BF" w14:textId="6E683329" w:rsidR="0023322A" w:rsidRDefault="0023322A" w:rsidP="005E34FA">
            <w:r>
              <w:t>12%</w:t>
            </w:r>
          </w:p>
        </w:tc>
        <w:tc>
          <w:tcPr>
            <w:tcW w:w="894" w:type="dxa"/>
          </w:tcPr>
          <w:p w14:paraId="022C9EAE" w14:textId="62C1F866" w:rsidR="0023322A" w:rsidRDefault="0023322A" w:rsidP="005E34FA">
            <w:r>
              <w:t>6.9%</w:t>
            </w:r>
          </w:p>
        </w:tc>
        <w:tc>
          <w:tcPr>
            <w:tcW w:w="830" w:type="dxa"/>
          </w:tcPr>
          <w:p w14:paraId="04D027F8" w14:textId="09F3C36D" w:rsidR="0023322A" w:rsidRDefault="0023322A" w:rsidP="005E34FA">
            <w:r>
              <w:t>7%</w:t>
            </w:r>
          </w:p>
        </w:tc>
        <w:tc>
          <w:tcPr>
            <w:tcW w:w="853" w:type="dxa"/>
          </w:tcPr>
          <w:p w14:paraId="409A15C2" w14:textId="67235458" w:rsidR="0023322A" w:rsidRDefault="0023322A" w:rsidP="005E34FA">
            <w:r>
              <w:t>2%</w:t>
            </w:r>
          </w:p>
        </w:tc>
      </w:tr>
    </w:tbl>
    <w:p w14:paraId="21D5D316" w14:textId="77777777" w:rsidR="005E34FA" w:rsidRDefault="005E34FA" w:rsidP="005E34FA"/>
    <w:p w14:paraId="7E50EA2C" w14:textId="1FB878C2" w:rsidR="000206F8" w:rsidRDefault="00474DDC" w:rsidP="00474DDC">
      <w:pPr>
        <w:pStyle w:val="Heading6"/>
      </w:pPr>
      <w:r>
        <w:t>Measure-Specific Inputs and Assumptions</w:t>
      </w:r>
    </w:p>
    <w:p w14:paraId="2B55A400" w14:textId="512E7525" w:rsidR="0018438D" w:rsidRPr="00707A60" w:rsidRDefault="002B26A5" w:rsidP="0018438D">
      <w:pPr>
        <w:pStyle w:val="Default"/>
        <w:rPr>
          <w:rFonts w:asciiTheme="minorHAnsi" w:hAnsiTheme="minorHAnsi"/>
          <w:b/>
          <w:sz w:val="22"/>
          <w:szCs w:val="22"/>
        </w:rPr>
      </w:pPr>
      <w:r w:rsidRPr="00707A60">
        <w:rPr>
          <w:rFonts w:asciiTheme="minorHAnsi" w:hAnsiTheme="minorHAnsi"/>
          <w:b/>
          <w:sz w:val="22"/>
          <w:szCs w:val="22"/>
        </w:rPr>
        <w:t>R-</w:t>
      </w:r>
      <w:r w:rsidR="0073691A" w:rsidRPr="00707A60">
        <w:rPr>
          <w:rFonts w:asciiTheme="minorHAnsi" w:hAnsiTheme="minorHAnsi"/>
          <w:b/>
          <w:sz w:val="22"/>
          <w:szCs w:val="22"/>
        </w:rPr>
        <w:t>0</w:t>
      </w:r>
      <w:r w:rsidRPr="00707A60">
        <w:rPr>
          <w:rFonts w:asciiTheme="minorHAnsi" w:hAnsiTheme="minorHAnsi"/>
          <w:b/>
          <w:sz w:val="22"/>
          <w:szCs w:val="22"/>
        </w:rPr>
        <w:t>1</w:t>
      </w:r>
      <w:r w:rsidR="0073691A" w:rsidRPr="00707A60">
        <w:rPr>
          <w:rFonts w:asciiTheme="minorHAnsi" w:hAnsiTheme="minorHAnsi"/>
          <w:sz w:val="22"/>
          <w:szCs w:val="22"/>
        </w:rPr>
        <w:t xml:space="preserve"> </w:t>
      </w:r>
      <w:r w:rsidR="0073691A" w:rsidRPr="00707A60">
        <w:rPr>
          <w:rFonts w:asciiTheme="minorHAnsi" w:hAnsiTheme="minorHAnsi"/>
          <w:b/>
          <w:sz w:val="22"/>
          <w:szCs w:val="22"/>
        </w:rPr>
        <w:t>Residential Heat Pump or High-Efficiency A/C Retrofits and Commissioning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6"/>
        <w:gridCol w:w="4976"/>
      </w:tblGrid>
      <w:tr w:rsidR="00541158" w:rsidRPr="00707A60" w14:paraId="5A6D8609" w14:textId="77777777" w:rsidTr="00541158">
        <w:tc>
          <w:tcPr>
            <w:tcW w:w="4976" w:type="dxa"/>
          </w:tcPr>
          <w:p w14:paraId="5A702947" w14:textId="490DA622" w:rsidR="00541158" w:rsidRPr="00707A60" w:rsidRDefault="00541158" w:rsidP="0018438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Models/Tools Used</w:t>
            </w:r>
          </w:p>
        </w:tc>
        <w:tc>
          <w:tcPr>
            <w:tcW w:w="4976" w:type="dxa"/>
          </w:tcPr>
          <w:p w14:paraId="1BEC7C69" w14:textId="08FBEB64" w:rsidR="00541158" w:rsidRPr="00707A60" w:rsidRDefault="00621BE2" w:rsidP="0018438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ICLEI </w:t>
            </w:r>
            <w:proofErr w:type="spellStart"/>
            <w:r w:rsidRPr="00707A60">
              <w:rPr>
                <w:rFonts w:asciiTheme="minorHAnsi" w:hAnsiTheme="minorHAnsi"/>
                <w:sz w:val="22"/>
                <w:szCs w:val="22"/>
              </w:rPr>
              <w:t>Clearpath</w:t>
            </w:r>
            <w:proofErr w:type="spellEnd"/>
            <w:r w:rsidRPr="00707A6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10A9D" w:rsidRPr="00707A60">
              <w:rPr>
                <w:rFonts w:asciiTheme="minorHAnsi" w:hAnsiTheme="minorHAnsi"/>
                <w:sz w:val="22"/>
                <w:szCs w:val="22"/>
              </w:rPr>
              <w:t>Planning and Forecast Wizard tool</w:t>
            </w:r>
            <w:r w:rsidR="00372176" w:rsidRPr="00707A60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880256">
              <w:rPr>
                <w:rFonts w:asciiTheme="minorHAnsi" w:hAnsiTheme="minorHAnsi"/>
                <w:sz w:val="22"/>
                <w:szCs w:val="22"/>
              </w:rPr>
              <w:t>“</w:t>
            </w:r>
            <w:r w:rsidR="00372176" w:rsidRPr="00707A60">
              <w:rPr>
                <w:rFonts w:asciiTheme="minorHAnsi" w:hAnsiTheme="minorHAnsi"/>
                <w:sz w:val="22"/>
                <w:szCs w:val="22"/>
              </w:rPr>
              <w:t>High Impact Action - Residential Electrification And Efficiency</w:t>
            </w:r>
            <w:r w:rsidR="00880256">
              <w:rPr>
                <w:rFonts w:asciiTheme="minorHAnsi" w:hAnsiTheme="minorHAnsi"/>
                <w:sz w:val="22"/>
                <w:szCs w:val="22"/>
              </w:rPr>
              <w:t>”</w:t>
            </w:r>
            <w:r w:rsidR="00372176" w:rsidRPr="00707A60">
              <w:rPr>
                <w:rFonts w:asciiTheme="minorHAnsi" w:hAnsiTheme="minorHAnsi"/>
                <w:sz w:val="22"/>
                <w:szCs w:val="22"/>
              </w:rPr>
              <w:t xml:space="preserve"> calculator.</w:t>
            </w:r>
            <w:r w:rsidR="000C7F7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87DAA">
              <w:rPr>
                <w:rFonts w:asciiTheme="minorHAnsi" w:hAnsiTheme="minorHAnsi"/>
                <w:sz w:val="22"/>
                <w:szCs w:val="22"/>
              </w:rPr>
              <w:t>This calculator asks for energy use in baseline year (2019)</w:t>
            </w:r>
            <w:r w:rsidR="00EC1CCC">
              <w:rPr>
                <w:rFonts w:asciiTheme="minorHAnsi" w:hAnsiTheme="minorHAnsi"/>
                <w:sz w:val="22"/>
                <w:szCs w:val="22"/>
              </w:rPr>
              <w:t>, “p</w:t>
            </w:r>
            <w:r w:rsidR="00EC1CCC" w:rsidRPr="00EC1CCC">
              <w:rPr>
                <w:rFonts w:asciiTheme="minorHAnsi" w:hAnsiTheme="minorHAnsi"/>
                <w:sz w:val="22"/>
                <w:szCs w:val="22"/>
              </w:rPr>
              <w:t>ercent of existing housing units receiving efficiency retrofit per year</w:t>
            </w:r>
            <w:r w:rsidR="00EC1CCC">
              <w:rPr>
                <w:rFonts w:asciiTheme="minorHAnsi" w:hAnsiTheme="minorHAnsi"/>
                <w:sz w:val="22"/>
                <w:szCs w:val="22"/>
              </w:rPr>
              <w:t>,” and “</w:t>
            </w:r>
            <w:r w:rsidR="0089627B">
              <w:rPr>
                <w:rFonts w:asciiTheme="minorHAnsi" w:hAnsiTheme="minorHAnsi"/>
                <w:sz w:val="22"/>
                <w:szCs w:val="22"/>
              </w:rPr>
              <w:t>s</w:t>
            </w:r>
            <w:r w:rsidR="0089627B" w:rsidRPr="0089627B">
              <w:rPr>
                <w:rFonts w:asciiTheme="minorHAnsi" w:hAnsiTheme="minorHAnsi"/>
                <w:sz w:val="22"/>
                <w:szCs w:val="22"/>
              </w:rPr>
              <w:t>avings from efficiency retrofit of existing buildings</w:t>
            </w:r>
            <w:r w:rsidR="0089627B"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541158" w:rsidRPr="00707A60" w14:paraId="456169E4" w14:textId="77777777" w:rsidTr="00541158">
        <w:tc>
          <w:tcPr>
            <w:tcW w:w="4976" w:type="dxa"/>
          </w:tcPr>
          <w:p w14:paraId="36BBE275" w14:textId="62C7B51C" w:rsidR="00541158" w:rsidRPr="00707A60" w:rsidRDefault="00541158" w:rsidP="0018438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t>Measure Implementation Assumptions</w:t>
            </w:r>
          </w:p>
        </w:tc>
        <w:tc>
          <w:tcPr>
            <w:tcW w:w="4976" w:type="dxa"/>
          </w:tcPr>
          <w:p w14:paraId="60EB7E84" w14:textId="575429BB" w:rsidR="003A494E" w:rsidRPr="00707A60" w:rsidRDefault="00FC1FC7" w:rsidP="0018438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Applied the implementation values for both KS and MC. </w:t>
            </w:r>
            <w:r w:rsidR="006458BB">
              <w:rPr>
                <w:rFonts w:asciiTheme="minorHAnsi" w:hAnsiTheme="minorHAnsi"/>
                <w:sz w:val="22"/>
                <w:szCs w:val="22"/>
              </w:rPr>
              <w:t xml:space="preserve">See Table </w:t>
            </w:r>
            <w:r w:rsidR="007643F4">
              <w:rPr>
                <w:rFonts w:asciiTheme="minorHAnsi" w:hAnsiTheme="minorHAnsi"/>
                <w:sz w:val="22"/>
                <w:szCs w:val="22"/>
              </w:rPr>
              <w:t>2a</w:t>
            </w:r>
            <w:r w:rsidR="006458BB">
              <w:rPr>
                <w:rFonts w:asciiTheme="minorHAnsi" w:hAnsiTheme="minorHAnsi"/>
                <w:sz w:val="22"/>
                <w:szCs w:val="22"/>
              </w:rPr>
              <w:t>.</w:t>
            </w:r>
            <w:r w:rsidR="00087ECB">
              <w:rPr>
                <w:rFonts w:asciiTheme="minorHAnsi" w:hAnsiTheme="minorHAnsi"/>
                <w:sz w:val="22"/>
                <w:szCs w:val="22"/>
              </w:rPr>
              <w:t xml:space="preserve"> We modeled that the measures were implemented from 202</w:t>
            </w:r>
            <w:r w:rsidR="00620DE6">
              <w:rPr>
                <w:rFonts w:asciiTheme="minorHAnsi" w:hAnsiTheme="minorHAnsi"/>
                <w:sz w:val="22"/>
                <w:szCs w:val="22"/>
              </w:rPr>
              <w:t>6</w:t>
            </w:r>
            <w:r w:rsidR="00087ECB">
              <w:rPr>
                <w:rFonts w:asciiTheme="minorHAnsi" w:hAnsiTheme="minorHAnsi"/>
                <w:sz w:val="22"/>
                <w:szCs w:val="22"/>
              </w:rPr>
              <w:t xml:space="preserve"> to 20</w:t>
            </w:r>
            <w:r w:rsidR="008F774E">
              <w:rPr>
                <w:rFonts w:asciiTheme="minorHAnsi" w:hAnsiTheme="minorHAnsi"/>
                <w:sz w:val="22"/>
                <w:szCs w:val="22"/>
              </w:rPr>
              <w:t>30</w:t>
            </w:r>
            <w:r w:rsidR="006E5DDE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541158" w:rsidRPr="00707A60" w14:paraId="3D671F65" w14:textId="77777777" w:rsidTr="00541158">
        <w:tc>
          <w:tcPr>
            <w:tcW w:w="4976" w:type="dxa"/>
          </w:tcPr>
          <w:p w14:paraId="161446C3" w14:textId="766F4697" w:rsidR="00541158" w:rsidRPr="00707A60" w:rsidRDefault="00541158" w:rsidP="0018438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t>Reference Case Scenario (GHG Emissions or Activity Level)</w:t>
            </w:r>
          </w:p>
        </w:tc>
        <w:tc>
          <w:tcPr>
            <w:tcW w:w="4976" w:type="dxa"/>
          </w:tcPr>
          <w:p w14:paraId="22EB7152" w14:textId="009C7B40" w:rsidR="007838AB" w:rsidRPr="00707A60" w:rsidRDefault="00F60AF6" w:rsidP="0018438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The BAU scenario used </w:t>
            </w:r>
            <w:r w:rsidR="0038132D" w:rsidRPr="00707A60">
              <w:rPr>
                <w:rFonts w:asciiTheme="minorHAnsi" w:hAnsiTheme="minorHAnsi"/>
                <w:sz w:val="22"/>
                <w:szCs w:val="22"/>
              </w:rPr>
              <w:t xml:space="preserve">projects 2019 Residential Electricity Use </w:t>
            </w:r>
            <w:r w:rsidR="001E19D2" w:rsidRPr="00707A60">
              <w:rPr>
                <w:rFonts w:asciiTheme="minorHAnsi" w:hAnsiTheme="minorHAnsi"/>
                <w:sz w:val="22"/>
                <w:szCs w:val="22"/>
              </w:rPr>
              <w:t xml:space="preserve">values </w:t>
            </w:r>
            <w:r w:rsidR="0073495E" w:rsidRPr="00707A60">
              <w:rPr>
                <w:rFonts w:asciiTheme="minorHAnsi" w:hAnsiTheme="minorHAnsi"/>
                <w:sz w:val="22"/>
                <w:szCs w:val="22"/>
              </w:rPr>
              <w:t xml:space="preserve">out </w:t>
            </w:r>
            <w:r w:rsidR="001E19D2" w:rsidRPr="00707A60">
              <w:rPr>
                <w:rFonts w:asciiTheme="minorHAnsi" w:hAnsiTheme="minorHAnsi"/>
                <w:sz w:val="22"/>
                <w:szCs w:val="22"/>
              </w:rPr>
              <w:t>to 2050</w:t>
            </w:r>
            <w:r w:rsidR="008411D9">
              <w:rPr>
                <w:rFonts w:asciiTheme="minorHAnsi" w:hAnsiTheme="minorHAnsi"/>
                <w:sz w:val="22"/>
                <w:szCs w:val="22"/>
              </w:rPr>
              <w:t>. Residential energy use scaled with population and is no</w:t>
            </w:r>
            <w:r w:rsidR="00E5333A">
              <w:rPr>
                <w:rFonts w:asciiTheme="minorHAnsi" w:hAnsiTheme="minorHAnsi"/>
                <w:sz w:val="22"/>
                <w:szCs w:val="22"/>
              </w:rPr>
              <w:t>t influenced by other GHG reduction programs.</w:t>
            </w:r>
          </w:p>
        </w:tc>
      </w:tr>
      <w:tr w:rsidR="00541158" w:rsidRPr="00707A60" w14:paraId="5151E81C" w14:textId="77777777" w:rsidTr="00541158">
        <w:tc>
          <w:tcPr>
            <w:tcW w:w="4976" w:type="dxa"/>
          </w:tcPr>
          <w:p w14:paraId="382C3FE8" w14:textId="5071538D" w:rsidR="00541158" w:rsidRPr="00707A60" w:rsidRDefault="00541158" w:rsidP="00541158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t>Measure-Specific Activity Data</w:t>
            </w:r>
          </w:p>
        </w:tc>
        <w:tc>
          <w:tcPr>
            <w:tcW w:w="4976" w:type="dxa"/>
          </w:tcPr>
          <w:p w14:paraId="149C756F" w14:textId="08F9A6B4" w:rsidR="00A9463D" w:rsidRPr="00707A60" w:rsidRDefault="00761E56" w:rsidP="0018438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Using values calculated by the PCAP, we assumed R-01 measures equated to a 11.3% energy savings per </w:t>
            </w:r>
            <w:r w:rsidR="00611921">
              <w:rPr>
                <w:rFonts w:asciiTheme="minorHAnsi" w:hAnsiTheme="minorHAnsi"/>
                <w:sz w:val="22"/>
                <w:szCs w:val="22"/>
              </w:rPr>
              <w:t xml:space="preserve">housing </w:t>
            </w:r>
            <w:r w:rsidR="008D0A14">
              <w:rPr>
                <w:rFonts w:asciiTheme="minorHAnsi" w:hAnsiTheme="minorHAnsi"/>
                <w:sz w:val="22"/>
                <w:szCs w:val="22"/>
              </w:rPr>
              <w:t>unit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installed.</w:t>
            </w:r>
            <w:r w:rsidR="00AF0F1C">
              <w:rPr>
                <w:rFonts w:asciiTheme="minorHAnsi" w:hAnsiTheme="minorHAnsi"/>
                <w:sz w:val="22"/>
                <w:szCs w:val="22"/>
              </w:rPr>
              <w:t xml:space="preserve"> See Table </w:t>
            </w:r>
            <w:r w:rsidR="00E5333A">
              <w:rPr>
                <w:rFonts w:asciiTheme="minorHAnsi" w:hAnsiTheme="minorHAnsi"/>
                <w:sz w:val="22"/>
                <w:szCs w:val="22"/>
              </w:rPr>
              <w:t>3</w:t>
            </w:r>
            <w:r w:rsidR="00AF0F1C">
              <w:rPr>
                <w:rFonts w:asciiTheme="minorHAnsi" w:hAnsiTheme="minorHAnsi"/>
                <w:sz w:val="22"/>
                <w:szCs w:val="22"/>
              </w:rPr>
              <w:t xml:space="preserve"> and </w:t>
            </w:r>
            <w:r w:rsidR="00611921">
              <w:rPr>
                <w:rFonts w:asciiTheme="minorHAnsi" w:hAnsiTheme="minorHAnsi"/>
                <w:sz w:val="22"/>
                <w:szCs w:val="22"/>
              </w:rPr>
              <w:t>Attachment “</w:t>
            </w:r>
            <w:r w:rsidR="00611921" w:rsidRPr="002B7EA5">
              <w:rPr>
                <w:rFonts w:asciiTheme="minorHAnsi" w:hAnsiTheme="minorHAnsi"/>
                <w:sz w:val="22"/>
                <w:szCs w:val="22"/>
              </w:rPr>
              <w:t>SEFL PCAP Calculations GHG Residential Measures</w:t>
            </w:r>
            <w:r w:rsidR="00611921">
              <w:rPr>
                <w:rFonts w:asciiTheme="minorHAnsi" w:hAnsiTheme="minorHAnsi"/>
                <w:sz w:val="22"/>
                <w:szCs w:val="22"/>
              </w:rPr>
              <w:t>.”</w:t>
            </w:r>
            <w:r w:rsidR="0052729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9463D" w:rsidRPr="00707A60">
              <w:rPr>
                <w:rFonts w:asciiTheme="minorHAnsi" w:hAnsiTheme="minorHAnsi"/>
                <w:sz w:val="22"/>
                <w:szCs w:val="22"/>
              </w:rPr>
              <w:t xml:space="preserve">GHG reduction estimate </w:t>
            </w:r>
            <w:r w:rsidR="00A9463D">
              <w:rPr>
                <w:rFonts w:asciiTheme="minorHAnsi" w:hAnsiTheme="minorHAnsi"/>
                <w:sz w:val="22"/>
                <w:szCs w:val="22"/>
              </w:rPr>
              <w:t>calculated for R-01 with KS and MC implementation rates and then summed.</w:t>
            </w:r>
          </w:p>
        </w:tc>
      </w:tr>
      <w:tr w:rsidR="00541158" w:rsidRPr="00707A60" w14:paraId="7D69F471" w14:textId="77777777" w:rsidTr="00541158">
        <w:tc>
          <w:tcPr>
            <w:tcW w:w="4976" w:type="dxa"/>
          </w:tcPr>
          <w:p w14:paraId="4E424A45" w14:textId="3E3BAA5A" w:rsidR="00541158" w:rsidRPr="00707A60" w:rsidRDefault="00541158" w:rsidP="0018438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t>GHG Emissions Reduced</w:t>
            </w:r>
            <w:r w:rsidR="00456462">
              <w:rPr>
                <w:rFonts w:asciiTheme="minorHAnsi" w:hAnsiTheme="minorHAnsi"/>
                <w:b/>
                <w:sz w:val="22"/>
                <w:szCs w:val="22"/>
              </w:rPr>
              <w:t xml:space="preserve"> (all values in MT CO</w:t>
            </w:r>
            <w:r w:rsidR="00456462" w:rsidRPr="00456462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2</w:t>
            </w:r>
            <w:r w:rsidR="00456462">
              <w:rPr>
                <w:rFonts w:asciiTheme="minorHAnsi" w:hAnsiTheme="minorHAnsi"/>
                <w:b/>
                <w:sz w:val="22"/>
                <w:szCs w:val="22"/>
              </w:rPr>
              <w:t>e)</w:t>
            </w:r>
          </w:p>
        </w:tc>
        <w:tc>
          <w:tcPr>
            <w:tcW w:w="4976" w:type="dxa"/>
          </w:tcPr>
          <w:p w14:paraId="4457A711" w14:textId="5564BE4C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2025-2030:</w:t>
            </w:r>
            <w:r w:rsidR="00456462">
              <w:rPr>
                <w:rFonts w:asciiTheme="minorHAnsi" w:hAnsiTheme="minorHAnsi"/>
                <w:sz w:val="22"/>
                <w:szCs w:val="22"/>
              </w:rPr>
              <w:t xml:space="preserve"> 271.83</w:t>
            </w:r>
          </w:p>
          <w:p w14:paraId="71B105FF" w14:textId="5F1BD0DA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2025-2030:</w:t>
            </w:r>
            <w:r w:rsidR="0045646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03888">
              <w:rPr>
                <w:rFonts w:asciiTheme="minorHAnsi" w:hAnsiTheme="minorHAnsi"/>
                <w:sz w:val="22"/>
                <w:szCs w:val="22"/>
              </w:rPr>
              <w:t>1631</w:t>
            </w:r>
          </w:p>
          <w:p w14:paraId="2F400B23" w14:textId="529544FE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2025-2050:</w:t>
            </w:r>
            <w:r w:rsidR="00C03888">
              <w:rPr>
                <w:rFonts w:asciiTheme="minorHAnsi" w:hAnsiTheme="minorHAnsi"/>
                <w:sz w:val="22"/>
                <w:szCs w:val="22"/>
              </w:rPr>
              <w:t xml:space="preserve"> 355.73</w:t>
            </w:r>
          </w:p>
          <w:p w14:paraId="60281993" w14:textId="78B45965" w:rsidR="009D2BDC" w:rsidRPr="00707A6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2025-2050:</w:t>
            </w:r>
            <w:r w:rsidR="00C03888">
              <w:rPr>
                <w:rFonts w:asciiTheme="minorHAnsi" w:hAnsiTheme="minorHAnsi"/>
                <w:sz w:val="22"/>
                <w:szCs w:val="22"/>
              </w:rPr>
              <w:t xml:space="preserve"> 9249</w:t>
            </w:r>
          </w:p>
        </w:tc>
      </w:tr>
    </w:tbl>
    <w:p w14:paraId="262BCA6F" w14:textId="77777777" w:rsidR="001E22AC" w:rsidRDefault="001E22AC" w:rsidP="00BB48C4"/>
    <w:p w14:paraId="010BD7C1" w14:textId="7421074C" w:rsidR="00B1449F" w:rsidRPr="00707A60" w:rsidRDefault="00B1449F" w:rsidP="00B1449F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07A60">
        <w:rPr>
          <w:rFonts w:asciiTheme="minorHAnsi" w:hAnsiTheme="minorHAnsi"/>
          <w:b/>
          <w:bCs/>
          <w:sz w:val="22"/>
          <w:szCs w:val="22"/>
        </w:rPr>
        <w:t>R-0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07A6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>Solar Photovoltaics (PV)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6"/>
        <w:gridCol w:w="4976"/>
      </w:tblGrid>
      <w:tr w:rsidR="00B1449F" w:rsidRPr="00707A60" w14:paraId="7476AB14" w14:textId="77777777">
        <w:tc>
          <w:tcPr>
            <w:tcW w:w="4976" w:type="dxa"/>
          </w:tcPr>
          <w:p w14:paraId="37E9BF8C" w14:textId="77777777" w:rsidR="00B1449F" w:rsidRPr="00707A60" w:rsidRDefault="00B1449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Models/Tools Used</w:t>
            </w:r>
          </w:p>
        </w:tc>
        <w:tc>
          <w:tcPr>
            <w:tcW w:w="4976" w:type="dxa"/>
          </w:tcPr>
          <w:p w14:paraId="1D66311B" w14:textId="26A98AAA" w:rsidR="00B1449F" w:rsidRPr="00707A60" w:rsidRDefault="00B1449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ICLEI </w:t>
            </w:r>
            <w:proofErr w:type="spellStart"/>
            <w:r w:rsidRPr="00707A60">
              <w:rPr>
                <w:rFonts w:asciiTheme="minorHAnsi" w:hAnsiTheme="minorHAnsi"/>
                <w:sz w:val="22"/>
                <w:szCs w:val="22"/>
              </w:rPr>
              <w:t>Clearpath</w:t>
            </w:r>
            <w:proofErr w:type="spellEnd"/>
            <w:r w:rsidRPr="00707A60">
              <w:rPr>
                <w:rFonts w:asciiTheme="minorHAnsi" w:hAnsiTheme="minorHAnsi"/>
                <w:sz w:val="22"/>
                <w:szCs w:val="22"/>
              </w:rPr>
              <w:t xml:space="preserve"> Planning and Forecast Wizard tool, </w:t>
            </w:r>
            <w:r w:rsidR="00AE31D1">
              <w:rPr>
                <w:rFonts w:asciiTheme="minorHAnsi" w:hAnsiTheme="minorHAnsi"/>
                <w:sz w:val="22"/>
                <w:szCs w:val="22"/>
              </w:rPr>
              <w:t>“Increased Residential Solar Pho</w:t>
            </w:r>
            <w:r w:rsidR="00F411B4">
              <w:rPr>
                <w:rFonts w:asciiTheme="minorHAnsi" w:hAnsiTheme="minorHAnsi"/>
                <w:sz w:val="22"/>
                <w:szCs w:val="22"/>
              </w:rPr>
              <w:t>tovoltaic”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calculator.</w:t>
            </w:r>
            <w:r w:rsidR="002270FC">
              <w:rPr>
                <w:rFonts w:asciiTheme="minorHAnsi" w:hAnsiTheme="minorHAnsi"/>
                <w:sz w:val="22"/>
                <w:szCs w:val="22"/>
              </w:rPr>
              <w:t xml:space="preserve"> We also used the </w:t>
            </w:r>
            <w:proofErr w:type="spellStart"/>
            <w:r w:rsidR="002270FC">
              <w:rPr>
                <w:rFonts w:asciiTheme="minorHAnsi" w:hAnsiTheme="minorHAnsi"/>
                <w:sz w:val="22"/>
                <w:szCs w:val="22"/>
              </w:rPr>
              <w:t>PVWatts</w:t>
            </w:r>
            <w:proofErr w:type="spellEnd"/>
            <w:r w:rsidR="002270FC">
              <w:rPr>
                <w:rFonts w:asciiTheme="minorHAnsi" w:hAnsiTheme="minorHAnsi"/>
                <w:sz w:val="22"/>
                <w:szCs w:val="22"/>
              </w:rPr>
              <w:t xml:space="preserve"> calculator and </w:t>
            </w:r>
            <w:r w:rsidR="00BD395B">
              <w:rPr>
                <w:rFonts w:asciiTheme="minorHAnsi" w:hAnsiTheme="minorHAnsi"/>
                <w:sz w:val="22"/>
                <w:szCs w:val="22"/>
              </w:rPr>
              <w:t xml:space="preserve">Google Environmental Insights Explorer Solar Potential tool to determine </w:t>
            </w:r>
            <w:r w:rsidR="00F813A2">
              <w:rPr>
                <w:rFonts w:asciiTheme="minorHAnsi" w:hAnsiTheme="minorHAnsi"/>
                <w:sz w:val="22"/>
                <w:szCs w:val="22"/>
              </w:rPr>
              <w:t>solar generation potential.</w:t>
            </w:r>
          </w:p>
        </w:tc>
      </w:tr>
      <w:tr w:rsidR="00B1449F" w:rsidRPr="00707A60" w14:paraId="11C9A43D" w14:textId="77777777">
        <w:tc>
          <w:tcPr>
            <w:tcW w:w="4976" w:type="dxa"/>
          </w:tcPr>
          <w:p w14:paraId="078E090B" w14:textId="77777777" w:rsidR="00B1449F" w:rsidRPr="00707A60" w:rsidRDefault="00B1449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 Implementation Assumptions</w:t>
            </w:r>
          </w:p>
        </w:tc>
        <w:tc>
          <w:tcPr>
            <w:tcW w:w="4976" w:type="dxa"/>
          </w:tcPr>
          <w:p w14:paraId="6EFD9853" w14:textId="588742C9" w:rsidR="00B1449F" w:rsidRPr="00707A60" w:rsidRDefault="00B1449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Applied the implementation values for both KS and </w:t>
            </w:r>
            <w:r w:rsidR="008B1D90">
              <w:rPr>
                <w:rFonts w:asciiTheme="minorHAnsi" w:hAnsiTheme="minorHAnsi"/>
                <w:sz w:val="22"/>
                <w:szCs w:val="22"/>
              </w:rPr>
              <w:t>HPP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F11EBA">
              <w:rPr>
                <w:rFonts w:asciiTheme="minorHAnsi" w:hAnsiTheme="minorHAnsi"/>
                <w:sz w:val="22"/>
                <w:szCs w:val="22"/>
              </w:rPr>
              <w:t>See Table 2a. We modeled that the measures were implemented from 202</w:t>
            </w:r>
            <w:r w:rsidR="008F774E">
              <w:rPr>
                <w:rFonts w:asciiTheme="minorHAnsi" w:hAnsiTheme="minorHAnsi"/>
                <w:sz w:val="22"/>
                <w:szCs w:val="22"/>
              </w:rPr>
              <w:t>6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to 2030 only.</w:t>
            </w:r>
          </w:p>
        </w:tc>
      </w:tr>
      <w:tr w:rsidR="00B1449F" w:rsidRPr="00707A60" w14:paraId="51B8C10B" w14:textId="77777777">
        <w:tc>
          <w:tcPr>
            <w:tcW w:w="4976" w:type="dxa"/>
          </w:tcPr>
          <w:p w14:paraId="1D0AD871" w14:textId="77777777" w:rsidR="00B1449F" w:rsidRPr="00707A60" w:rsidRDefault="00B1449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Reference Case Scenario (GHG Emissions or Activity Level)</w:t>
            </w:r>
          </w:p>
        </w:tc>
        <w:tc>
          <w:tcPr>
            <w:tcW w:w="4976" w:type="dxa"/>
          </w:tcPr>
          <w:p w14:paraId="441E192E" w14:textId="77777777" w:rsidR="00B1449F" w:rsidRPr="00707A60" w:rsidRDefault="00B1449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The BAU scenario used projects 2019 Residential Electricity Use values out to 2050 (see above for what inputs were used in this projection). </w:t>
            </w:r>
          </w:p>
        </w:tc>
      </w:tr>
      <w:tr w:rsidR="00B1449F" w:rsidRPr="00707A60" w14:paraId="1EA52346" w14:textId="77777777">
        <w:tc>
          <w:tcPr>
            <w:tcW w:w="4976" w:type="dxa"/>
          </w:tcPr>
          <w:p w14:paraId="37D299D7" w14:textId="77777777" w:rsidR="00B1449F" w:rsidRPr="00707A60" w:rsidRDefault="00B1449F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8B4782">
              <w:rPr>
                <w:rFonts w:asciiTheme="minorHAnsi" w:hAnsiTheme="minorHAnsi"/>
                <w:b/>
                <w:bCs/>
                <w:sz w:val="22"/>
                <w:szCs w:val="22"/>
              </w:rPr>
              <w:t>Measure-Specific Activity Data</w:t>
            </w:r>
          </w:p>
        </w:tc>
        <w:tc>
          <w:tcPr>
            <w:tcW w:w="4976" w:type="dxa"/>
          </w:tcPr>
          <w:p w14:paraId="25649497" w14:textId="6B509FBE" w:rsidR="002E0BE1" w:rsidRPr="00707A60" w:rsidRDefault="00FA2CA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The PCAP </w:t>
            </w:r>
            <w:r w:rsidR="006924E1">
              <w:rPr>
                <w:rFonts w:asciiTheme="minorHAnsi" w:hAnsiTheme="minorHAnsi"/>
                <w:sz w:val="22"/>
                <w:szCs w:val="22"/>
              </w:rPr>
              <w:t>uses 10kW as the standard size solar installation.</w:t>
            </w:r>
            <w:r w:rsidR="0069639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77235">
              <w:rPr>
                <w:rFonts w:asciiTheme="minorHAnsi" w:hAnsiTheme="minorHAnsi"/>
                <w:sz w:val="22"/>
                <w:szCs w:val="22"/>
              </w:rPr>
              <w:t xml:space="preserve">For Keep Safe, we assumed </w:t>
            </w:r>
            <w:r w:rsidR="00740066">
              <w:rPr>
                <w:rFonts w:asciiTheme="minorHAnsi" w:hAnsiTheme="minorHAnsi"/>
                <w:sz w:val="22"/>
                <w:szCs w:val="22"/>
              </w:rPr>
              <w:t>4,0</w:t>
            </w:r>
            <w:r w:rsidR="00577235">
              <w:rPr>
                <w:rFonts w:asciiTheme="minorHAnsi" w:hAnsiTheme="minorHAnsi"/>
                <w:sz w:val="22"/>
                <w:szCs w:val="22"/>
              </w:rPr>
              <w:t xml:space="preserve">00kW of solar installed per year. </w:t>
            </w:r>
            <w:r w:rsidR="008C478C">
              <w:rPr>
                <w:rFonts w:asciiTheme="minorHAnsi" w:hAnsiTheme="minorHAnsi"/>
                <w:sz w:val="22"/>
                <w:szCs w:val="22"/>
              </w:rPr>
              <w:t>For HPP</w:t>
            </w:r>
            <w:r w:rsidR="00877E94">
              <w:rPr>
                <w:rFonts w:asciiTheme="minorHAnsi" w:hAnsiTheme="minorHAnsi"/>
                <w:sz w:val="22"/>
                <w:szCs w:val="22"/>
              </w:rPr>
              <w:t>,</w:t>
            </w:r>
            <w:r w:rsidR="008C478C">
              <w:rPr>
                <w:rFonts w:asciiTheme="minorHAnsi" w:hAnsiTheme="minorHAnsi"/>
                <w:sz w:val="22"/>
                <w:szCs w:val="22"/>
              </w:rPr>
              <w:t xml:space="preserve"> we </w:t>
            </w:r>
            <w:r w:rsidR="008A37AE">
              <w:rPr>
                <w:rFonts w:asciiTheme="minorHAnsi" w:hAnsiTheme="minorHAnsi"/>
                <w:sz w:val="22"/>
                <w:szCs w:val="22"/>
              </w:rPr>
              <w:t xml:space="preserve">assumed 200kW of solar installed per year. </w:t>
            </w:r>
            <w:r w:rsidR="00A251C1">
              <w:rPr>
                <w:rFonts w:asciiTheme="minorHAnsi" w:hAnsiTheme="minorHAnsi"/>
                <w:sz w:val="22"/>
                <w:szCs w:val="22"/>
              </w:rPr>
              <w:t xml:space="preserve">Next, we used </w:t>
            </w:r>
            <w:proofErr w:type="spellStart"/>
            <w:r w:rsidR="00556594">
              <w:rPr>
                <w:rFonts w:asciiTheme="minorHAnsi" w:hAnsiTheme="minorHAnsi"/>
                <w:sz w:val="22"/>
                <w:szCs w:val="22"/>
              </w:rPr>
              <w:t>PVWatts</w:t>
            </w:r>
            <w:proofErr w:type="spellEnd"/>
            <w:r w:rsidR="0055659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84334">
              <w:rPr>
                <w:rFonts w:asciiTheme="minorHAnsi" w:hAnsiTheme="minorHAnsi"/>
                <w:sz w:val="22"/>
                <w:szCs w:val="22"/>
              </w:rPr>
              <w:t xml:space="preserve">to determine that the average solar install in City of Miami has a generation potential of 1559 kWh/kW. We utilized </w:t>
            </w:r>
            <w:r w:rsidR="007C7106">
              <w:rPr>
                <w:rFonts w:asciiTheme="minorHAnsi" w:hAnsiTheme="minorHAnsi"/>
                <w:sz w:val="22"/>
                <w:szCs w:val="22"/>
              </w:rPr>
              <w:t>(</w:t>
            </w:r>
            <w:r w:rsidR="007C7106" w:rsidRPr="007C7106">
              <w:rPr>
                <w:rFonts w:asciiTheme="minorHAnsi" w:hAnsiTheme="minorHAnsi"/>
                <w:sz w:val="22"/>
                <w:szCs w:val="22"/>
              </w:rPr>
              <w:t>25.77, -80.22</w:t>
            </w:r>
            <w:r w:rsidR="007C7106">
              <w:rPr>
                <w:rFonts w:asciiTheme="minorHAnsi" w:hAnsiTheme="minorHAnsi"/>
                <w:sz w:val="22"/>
                <w:szCs w:val="22"/>
              </w:rPr>
              <w:t xml:space="preserve">) as the location </w:t>
            </w:r>
            <w:r w:rsidR="007D01D9">
              <w:rPr>
                <w:rFonts w:asciiTheme="minorHAnsi" w:hAnsiTheme="minorHAnsi"/>
                <w:sz w:val="22"/>
                <w:szCs w:val="22"/>
              </w:rPr>
              <w:t xml:space="preserve">to serve as proxy for the City </w:t>
            </w:r>
            <w:r w:rsidR="00E80F69">
              <w:rPr>
                <w:rFonts w:asciiTheme="minorHAnsi" w:hAnsiTheme="minorHAnsi"/>
                <w:sz w:val="22"/>
                <w:szCs w:val="22"/>
              </w:rPr>
              <w:t>due to i</w:t>
            </w:r>
            <w:r w:rsidR="00591A2B">
              <w:rPr>
                <w:rFonts w:asciiTheme="minorHAnsi" w:hAnsiTheme="minorHAnsi"/>
                <w:sz w:val="22"/>
                <w:szCs w:val="22"/>
              </w:rPr>
              <w:t xml:space="preserve">ts </w:t>
            </w:r>
            <w:r w:rsidR="00591A2B" w:rsidRPr="00591A2B">
              <w:rPr>
                <w:rFonts w:asciiTheme="minorHAnsi" w:hAnsiTheme="minorHAnsi"/>
                <w:sz w:val="22"/>
                <w:szCs w:val="22"/>
              </w:rPr>
              <w:t>central location in City and representative of the general city PV potential according to Google EIE Solar Potential tool</w:t>
            </w:r>
            <w:r w:rsidR="00591A2B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696396">
              <w:rPr>
                <w:rFonts w:asciiTheme="minorHAnsi" w:hAnsiTheme="minorHAnsi"/>
                <w:sz w:val="22"/>
                <w:szCs w:val="22"/>
              </w:rPr>
              <w:t xml:space="preserve">See Table </w:t>
            </w:r>
            <w:r w:rsidR="008B3770">
              <w:rPr>
                <w:rFonts w:asciiTheme="minorHAnsi" w:hAnsiTheme="minorHAnsi"/>
                <w:sz w:val="22"/>
                <w:szCs w:val="22"/>
              </w:rPr>
              <w:t>3</w:t>
            </w:r>
            <w:r w:rsidR="00696396">
              <w:rPr>
                <w:rFonts w:asciiTheme="minorHAnsi" w:hAnsiTheme="minorHAnsi"/>
                <w:sz w:val="22"/>
                <w:szCs w:val="22"/>
              </w:rPr>
              <w:t xml:space="preserve"> and </w:t>
            </w:r>
            <w:r w:rsidR="002B7EA5">
              <w:rPr>
                <w:rFonts w:asciiTheme="minorHAnsi" w:hAnsiTheme="minorHAnsi"/>
                <w:sz w:val="22"/>
                <w:szCs w:val="22"/>
              </w:rPr>
              <w:t xml:space="preserve">Attachment </w:t>
            </w:r>
            <w:r w:rsidR="002B7EA5">
              <w:rPr>
                <w:rFonts w:asciiTheme="minorHAnsi" w:hAnsiTheme="minorHAnsi"/>
                <w:sz w:val="22"/>
                <w:szCs w:val="22"/>
              </w:rPr>
              <w:lastRenderedPageBreak/>
              <w:t>“</w:t>
            </w:r>
            <w:r w:rsidR="002B7EA5" w:rsidRPr="002B7EA5">
              <w:rPr>
                <w:rFonts w:asciiTheme="minorHAnsi" w:hAnsiTheme="minorHAnsi"/>
                <w:sz w:val="22"/>
                <w:szCs w:val="22"/>
              </w:rPr>
              <w:t>SEFL PCAP Calculations GHG Residential Measures</w:t>
            </w:r>
            <w:r w:rsidR="002B7EA5"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B1449F" w:rsidRPr="00707A60" w14:paraId="2B6017C7" w14:textId="77777777">
        <w:tc>
          <w:tcPr>
            <w:tcW w:w="4976" w:type="dxa"/>
          </w:tcPr>
          <w:p w14:paraId="4046F3AB" w14:textId="2EA5264A" w:rsidR="00B1449F" w:rsidRPr="00707A60" w:rsidRDefault="004564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GHG Emissions Reduced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(all values in MT CO</w:t>
            </w:r>
            <w:r w:rsidRPr="00456462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e)</w:t>
            </w:r>
          </w:p>
        </w:tc>
        <w:tc>
          <w:tcPr>
            <w:tcW w:w="4976" w:type="dxa"/>
          </w:tcPr>
          <w:p w14:paraId="2AC34C90" w14:textId="73208558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2025-2030:</w:t>
            </w:r>
            <w:r w:rsidR="00C0388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41782">
              <w:rPr>
                <w:rFonts w:asciiTheme="minorHAnsi" w:hAnsiTheme="minorHAnsi"/>
                <w:sz w:val="22"/>
                <w:szCs w:val="22"/>
              </w:rPr>
              <w:t>3330</w:t>
            </w:r>
          </w:p>
          <w:p w14:paraId="215CEF42" w14:textId="7D52E608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2025-2030:</w:t>
            </w:r>
            <w:r w:rsidR="00341782">
              <w:rPr>
                <w:rFonts w:asciiTheme="minorHAnsi" w:hAnsiTheme="minorHAnsi"/>
                <w:sz w:val="22"/>
                <w:szCs w:val="22"/>
              </w:rPr>
              <w:t xml:space="preserve"> 19980</w:t>
            </w:r>
          </w:p>
          <w:p w14:paraId="05537146" w14:textId="6EF0D611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2025-2050:</w:t>
            </w:r>
            <w:r w:rsidR="00341782">
              <w:rPr>
                <w:rFonts w:asciiTheme="minorHAnsi" w:hAnsiTheme="minorHAnsi"/>
                <w:sz w:val="22"/>
                <w:szCs w:val="22"/>
              </w:rPr>
              <w:t xml:space="preserve"> 4358.04</w:t>
            </w:r>
          </w:p>
          <w:p w14:paraId="67BBD17A" w14:textId="73E9C1E5" w:rsidR="00B1449F" w:rsidRPr="00707A6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2025-2050:</w:t>
            </w:r>
            <w:r w:rsidR="00341782">
              <w:rPr>
                <w:rFonts w:asciiTheme="minorHAnsi" w:hAnsiTheme="minorHAnsi"/>
                <w:sz w:val="22"/>
                <w:szCs w:val="22"/>
              </w:rPr>
              <w:t xml:space="preserve"> 113309</w:t>
            </w:r>
          </w:p>
        </w:tc>
      </w:tr>
    </w:tbl>
    <w:p w14:paraId="579AE418" w14:textId="77777777" w:rsidR="001E22AC" w:rsidRDefault="001E22AC" w:rsidP="00BB48C4"/>
    <w:p w14:paraId="50CBC4D4" w14:textId="250AB298" w:rsidR="00F85362" w:rsidRPr="00707A60" w:rsidRDefault="00F85362" w:rsidP="00F85362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07A60">
        <w:rPr>
          <w:rFonts w:asciiTheme="minorHAnsi" w:hAnsiTheme="minorHAnsi"/>
          <w:b/>
          <w:bCs/>
          <w:sz w:val="22"/>
          <w:szCs w:val="22"/>
        </w:rPr>
        <w:t>R-0</w:t>
      </w:r>
      <w:r>
        <w:rPr>
          <w:rFonts w:asciiTheme="minorHAnsi" w:hAnsiTheme="minorHAnsi"/>
          <w:b/>
          <w:bCs/>
          <w:sz w:val="22"/>
          <w:szCs w:val="22"/>
        </w:rPr>
        <w:t xml:space="preserve">3 </w:t>
      </w:r>
      <w:r w:rsidRPr="00707A60">
        <w:rPr>
          <w:rFonts w:asciiTheme="minorHAnsi" w:hAnsiTheme="minorHAnsi"/>
          <w:b/>
          <w:bCs/>
          <w:sz w:val="22"/>
          <w:szCs w:val="22"/>
        </w:rPr>
        <w:t xml:space="preserve">Residential </w:t>
      </w:r>
      <w:r>
        <w:rPr>
          <w:rFonts w:asciiTheme="minorHAnsi" w:hAnsiTheme="minorHAnsi"/>
          <w:b/>
          <w:bCs/>
          <w:sz w:val="22"/>
          <w:szCs w:val="22"/>
        </w:rPr>
        <w:t>LED Lighting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6"/>
        <w:gridCol w:w="4976"/>
      </w:tblGrid>
      <w:tr w:rsidR="00F85362" w:rsidRPr="00707A60" w14:paraId="08F1FDA7" w14:textId="77777777">
        <w:tc>
          <w:tcPr>
            <w:tcW w:w="4976" w:type="dxa"/>
          </w:tcPr>
          <w:p w14:paraId="3A97FFA6" w14:textId="77777777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Models/Tools Used</w:t>
            </w:r>
          </w:p>
        </w:tc>
        <w:tc>
          <w:tcPr>
            <w:tcW w:w="4976" w:type="dxa"/>
          </w:tcPr>
          <w:p w14:paraId="74374F81" w14:textId="6ABE369C" w:rsidR="00F85362" w:rsidRPr="00707A60" w:rsidRDefault="00514F9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ICLEI </w:t>
            </w:r>
            <w:proofErr w:type="spellStart"/>
            <w:r w:rsidRPr="00707A60">
              <w:rPr>
                <w:rFonts w:asciiTheme="minorHAnsi" w:hAnsiTheme="minorHAnsi"/>
                <w:sz w:val="22"/>
                <w:szCs w:val="22"/>
              </w:rPr>
              <w:t>Clearpath</w:t>
            </w:r>
            <w:proofErr w:type="spellEnd"/>
            <w:r w:rsidRPr="00707A60">
              <w:rPr>
                <w:rFonts w:asciiTheme="minorHAnsi" w:hAnsiTheme="minorHAnsi"/>
                <w:sz w:val="22"/>
                <w:szCs w:val="22"/>
              </w:rPr>
              <w:t xml:space="preserve"> Planning and Forecast Wizard tool, </w:t>
            </w:r>
            <w:r>
              <w:rPr>
                <w:rFonts w:asciiTheme="minorHAnsi" w:hAnsiTheme="minorHAnsi"/>
                <w:sz w:val="22"/>
                <w:szCs w:val="22"/>
              </w:rPr>
              <w:t>“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>High Impact Action - Residential Electrification And Efficiency</w:t>
            </w:r>
            <w:r>
              <w:rPr>
                <w:rFonts w:asciiTheme="minorHAnsi" w:hAnsiTheme="minorHAnsi"/>
                <w:sz w:val="22"/>
                <w:szCs w:val="22"/>
              </w:rPr>
              <w:t>”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calculator.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This calculator asks for energy use in baseline year (2019), “p</w:t>
            </w:r>
            <w:r w:rsidRPr="00EC1CCC">
              <w:rPr>
                <w:rFonts w:asciiTheme="minorHAnsi" w:hAnsiTheme="minorHAnsi"/>
                <w:sz w:val="22"/>
                <w:szCs w:val="22"/>
              </w:rPr>
              <w:t>ercent of existing housing units receiving efficiency retrofit per year</w:t>
            </w:r>
            <w:r>
              <w:rPr>
                <w:rFonts w:asciiTheme="minorHAnsi" w:hAnsiTheme="minorHAnsi"/>
                <w:sz w:val="22"/>
                <w:szCs w:val="22"/>
              </w:rPr>
              <w:t>,” and “s</w:t>
            </w:r>
            <w:r w:rsidRPr="0089627B">
              <w:rPr>
                <w:rFonts w:asciiTheme="minorHAnsi" w:hAnsiTheme="minorHAnsi"/>
                <w:sz w:val="22"/>
                <w:szCs w:val="22"/>
              </w:rPr>
              <w:t>avings from efficiency retrofit of existing buildings</w:t>
            </w:r>
            <w:r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F85362" w:rsidRPr="00707A60" w14:paraId="40C81FBF" w14:textId="77777777">
        <w:tc>
          <w:tcPr>
            <w:tcW w:w="4976" w:type="dxa"/>
          </w:tcPr>
          <w:p w14:paraId="469CB7D3" w14:textId="77777777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 Implementation Assumptions</w:t>
            </w:r>
          </w:p>
        </w:tc>
        <w:tc>
          <w:tcPr>
            <w:tcW w:w="4976" w:type="dxa"/>
          </w:tcPr>
          <w:p w14:paraId="0544F06C" w14:textId="123E0407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Applied the implementation values for both KS and MC. </w:t>
            </w:r>
            <w:r w:rsidR="00F11EBA">
              <w:rPr>
                <w:rFonts w:asciiTheme="minorHAnsi" w:hAnsiTheme="minorHAnsi"/>
                <w:sz w:val="22"/>
                <w:szCs w:val="22"/>
              </w:rPr>
              <w:t>See Table 2a. We modeled that the measures were implemented from 202</w:t>
            </w:r>
            <w:r w:rsidR="004A3DEE">
              <w:rPr>
                <w:rFonts w:asciiTheme="minorHAnsi" w:hAnsiTheme="minorHAnsi"/>
                <w:sz w:val="22"/>
                <w:szCs w:val="22"/>
              </w:rPr>
              <w:t>6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to 2030 only.</w:t>
            </w:r>
          </w:p>
        </w:tc>
      </w:tr>
      <w:tr w:rsidR="00F85362" w:rsidRPr="00707A60" w14:paraId="773956E4" w14:textId="77777777">
        <w:tc>
          <w:tcPr>
            <w:tcW w:w="4976" w:type="dxa"/>
          </w:tcPr>
          <w:p w14:paraId="4645317D" w14:textId="77777777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Reference Case Scenario (GHG Emissions or Activity Level)</w:t>
            </w:r>
          </w:p>
        </w:tc>
        <w:tc>
          <w:tcPr>
            <w:tcW w:w="4976" w:type="dxa"/>
          </w:tcPr>
          <w:p w14:paraId="67886937" w14:textId="77777777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The BAU scenario used projects 2019 Residential Electricity Use values out to 2050 (see above for what inputs were used in this projection). </w:t>
            </w:r>
          </w:p>
        </w:tc>
      </w:tr>
      <w:tr w:rsidR="00F85362" w:rsidRPr="00707A60" w14:paraId="56A84214" w14:textId="77777777">
        <w:tc>
          <w:tcPr>
            <w:tcW w:w="4976" w:type="dxa"/>
          </w:tcPr>
          <w:p w14:paraId="6DC768F4" w14:textId="77777777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Measure-Specific Activity Data</w:t>
            </w:r>
          </w:p>
        </w:tc>
        <w:tc>
          <w:tcPr>
            <w:tcW w:w="4976" w:type="dxa"/>
          </w:tcPr>
          <w:p w14:paraId="161249DC" w14:textId="25FC5469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>Using values calculated by the PCAP, we assumed R-0</w:t>
            </w:r>
            <w:r w:rsidR="008D0A14">
              <w:rPr>
                <w:rFonts w:asciiTheme="minorHAnsi" w:hAnsiTheme="minorHAnsi"/>
                <w:sz w:val="22"/>
                <w:szCs w:val="22"/>
              </w:rPr>
              <w:t>3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measures equated to a </w:t>
            </w:r>
            <w:r w:rsidR="008D0A14">
              <w:rPr>
                <w:rFonts w:asciiTheme="minorHAnsi" w:hAnsiTheme="minorHAnsi"/>
                <w:sz w:val="22"/>
                <w:szCs w:val="22"/>
              </w:rPr>
              <w:t>4.5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% energy savings per </w:t>
            </w:r>
            <w:r w:rsidR="0039463A">
              <w:rPr>
                <w:rFonts w:asciiTheme="minorHAnsi" w:hAnsiTheme="minorHAnsi"/>
                <w:sz w:val="22"/>
                <w:szCs w:val="22"/>
              </w:rPr>
              <w:t xml:space="preserve">housing </w:t>
            </w:r>
            <w:r w:rsidR="008D0A14">
              <w:rPr>
                <w:rFonts w:asciiTheme="minorHAnsi" w:hAnsiTheme="minorHAnsi"/>
                <w:sz w:val="22"/>
                <w:szCs w:val="22"/>
              </w:rPr>
              <w:t>unit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installed.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 See Table </w:t>
            </w:r>
            <w:r w:rsidR="008B3770">
              <w:rPr>
                <w:rFonts w:asciiTheme="minorHAnsi" w:hAnsiTheme="minorHAnsi"/>
                <w:sz w:val="22"/>
                <w:szCs w:val="22"/>
              </w:rPr>
              <w:t>3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B7EA5">
              <w:rPr>
                <w:rFonts w:asciiTheme="minorHAnsi" w:hAnsiTheme="minorHAnsi"/>
                <w:sz w:val="22"/>
                <w:szCs w:val="22"/>
              </w:rPr>
              <w:t>and Attachment “</w:t>
            </w:r>
            <w:r w:rsidR="002B7EA5" w:rsidRPr="002B7EA5">
              <w:rPr>
                <w:rFonts w:asciiTheme="minorHAnsi" w:hAnsiTheme="minorHAnsi"/>
                <w:sz w:val="22"/>
                <w:szCs w:val="22"/>
              </w:rPr>
              <w:t>SEFL PCAP Calculations GHG Residential Measures</w:t>
            </w:r>
            <w:r w:rsidR="002B7EA5">
              <w:rPr>
                <w:rFonts w:asciiTheme="minorHAnsi" w:hAnsiTheme="minorHAnsi"/>
                <w:sz w:val="22"/>
                <w:szCs w:val="22"/>
              </w:rPr>
              <w:t>.”</w:t>
            </w:r>
            <w:r w:rsidR="0052729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2729A" w:rsidRPr="00707A60">
              <w:rPr>
                <w:rFonts w:asciiTheme="minorHAnsi" w:hAnsiTheme="minorHAnsi"/>
                <w:sz w:val="22"/>
                <w:szCs w:val="22"/>
              </w:rPr>
              <w:t xml:space="preserve">GHG reduction estimate </w:t>
            </w:r>
            <w:r w:rsidR="0052729A">
              <w:rPr>
                <w:rFonts w:asciiTheme="minorHAnsi" w:hAnsiTheme="minorHAnsi"/>
                <w:sz w:val="22"/>
                <w:szCs w:val="22"/>
              </w:rPr>
              <w:t>calculated for R-03 with KS and MC implementation rates and then summed.</w:t>
            </w:r>
          </w:p>
        </w:tc>
      </w:tr>
      <w:tr w:rsidR="00F85362" w:rsidRPr="00707A60" w14:paraId="64B7B2DC" w14:textId="77777777">
        <w:tc>
          <w:tcPr>
            <w:tcW w:w="4976" w:type="dxa"/>
          </w:tcPr>
          <w:p w14:paraId="0FFBEC35" w14:textId="6570452E" w:rsidR="00F85362" w:rsidRPr="00707A60" w:rsidRDefault="004564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t>GHG Emissions Reduced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(all values in MT CO</w:t>
            </w:r>
            <w:r w:rsidRPr="00456462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e)</w:t>
            </w:r>
          </w:p>
        </w:tc>
        <w:tc>
          <w:tcPr>
            <w:tcW w:w="4976" w:type="dxa"/>
          </w:tcPr>
          <w:p w14:paraId="7BCB8BFE" w14:textId="610EEC0C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2025-2030:</w:t>
            </w:r>
            <w:r w:rsidR="0034178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E3F6B">
              <w:rPr>
                <w:rFonts w:asciiTheme="minorHAnsi" w:hAnsiTheme="minorHAnsi"/>
                <w:sz w:val="22"/>
                <w:szCs w:val="22"/>
              </w:rPr>
              <w:t>108.17</w:t>
            </w:r>
          </w:p>
          <w:p w14:paraId="4AC69AB7" w14:textId="39CA3294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2025-2030:</w:t>
            </w:r>
            <w:r w:rsidR="009E3F6B">
              <w:rPr>
                <w:rFonts w:asciiTheme="minorHAnsi" w:hAnsiTheme="minorHAnsi"/>
                <w:sz w:val="22"/>
                <w:szCs w:val="22"/>
              </w:rPr>
              <w:t xml:space="preserve"> 649</w:t>
            </w:r>
          </w:p>
          <w:p w14:paraId="402A39AB" w14:textId="4B04A940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2025-2050:</w:t>
            </w:r>
            <w:r w:rsidR="009E3F6B">
              <w:rPr>
                <w:rFonts w:asciiTheme="minorHAnsi" w:hAnsiTheme="minorHAnsi"/>
                <w:sz w:val="22"/>
                <w:szCs w:val="22"/>
              </w:rPr>
              <w:t xml:space="preserve"> 141.62</w:t>
            </w:r>
          </w:p>
          <w:p w14:paraId="0715A716" w14:textId="61A433D5" w:rsidR="00F85362" w:rsidRPr="00707A6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2025-2050:</w:t>
            </w:r>
            <w:r w:rsidR="009E3F6B">
              <w:rPr>
                <w:rFonts w:asciiTheme="minorHAnsi" w:hAnsiTheme="minorHAnsi"/>
                <w:sz w:val="22"/>
                <w:szCs w:val="22"/>
              </w:rPr>
              <w:t xml:space="preserve"> 3682</w:t>
            </w:r>
          </w:p>
        </w:tc>
      </w:tr>
    </w:tbl>
    <w:p w14:paraId="45FE889D" w14:textId="77777777" w:rsidR="00F85362" w:rsidRDefault="00F85362" w:rsidP="00BB48C4"/>
    <w:p w14:paraId="22F56E24" w14:textId="30A62604" w:rsidR="00F85362" w:rsidRPr="00707A60" w:rsidRDefault="00F85362" w:rsidP="00F85362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07A60">
        <w:rPr>
          <w:rFonts w:asciiTheme="minorHAnsi" w:hAnsiTheme="minorHAnsi"/>
          <w:b/>
          <w:bCs/>
          <w:sz w:val="22"/>
          <w:szCs w:val="22"/>
        </w:rPr>
        <w:t>R-0</w:t>
      </w:r>
      <w:r>
        <w:rPr>
          <w:rFonts w:asciiTheme="minorHAnsi" w:hAnsiTheme="minorHAnsi"/>
          <w:b/>
          <w:bCs/>
          <w:sz w:val="22"/>
          <w:szCs w:val="22"/>
        </w:rPr>
        <w:t>4a</w:t>
      </w:r>
      <w:r w:rsidRPr="00707A60">
        <w:rPr>
          <w:rFonts w:asciiTheme="minorHAnsi" w:hAnsiTheme="minorHAnsi"/>
          <w:sz w:val="22"/>
          <w:szCs w:val="22"/>
        </w:rPr>
        <w:t xml:space="preserve"> </w:t>
      </w:r>
      <w:r w:rsidR="000A2A15">
        <w:rPr>
          <w:rFonts w:asciiTheme="minorHAnsi" w:hAnsiTheme="minorHAnsi"/>
          <w:b/>
          <w:bCs/>
          <w:sz w:val="22"/>
          <w:szCs w:val="22"/>
        </w:rPr>
        <w:t>Weatherization and Air Leakage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6"/>
        <w:gridCol w:w="4976"/>
      </w:tblGrid>
      <w:tr w:rsidR="00F85362" w:rsidRPr="00707A60" w14:paraId="0BF51B16" w14:textId="77777777">
        <w:tc>
          <w:tcPr>
            <w:tcW w:w="4976" w:type="dxa"/>
          </w:tcPr>
          <w:p w14:paraId="456B603A" w14:textId="77777777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Models/Tools Used</w:t>
            </w:r>
          </w:p>
        </w:tc>
        <w:tc>
          <w:tcPr>
            <w:tcW w:w="4976" w:type="dxa"/>
          </w:tcPr>
          <w:p w14:paraId="43576CC8" w14:textId="5583252F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ICLEI </w:t>
            </w:r>
            <w:proofErr w:type="spellStart"/>
            <w:r w:rsidRPr="00707A60">
              <w:rPr>
                <w:rFonts w:asciiTheme="minorHAnsi" w:hAnsiTheme="minorHAnsi"/>
                <w:sz w:val="22"/>
                <w:szCs w:val="22"/>
              </w:rPr>
              <w:t>Clearpath</w:t>
            </w:r>
            <w:proofErr w:type="spellEnd"/>
            <w:r w:rsidRPr="00707A60">
              <w:rPr>
                <w:rFonts w:asciiTheme="minorHAnsi" w:hAnsiTheme="minorHAnsi"/>
                <w:sz w:val="22"/>
                <w:szCs w:val="22"/>
              </w:rPr>
              <w:t xml:space="preserve"> Planning and Forecast Wizard tool, </w:t>
            </w:r>
            <w:r w:rsidR="00593992">
              <w:rPr>
                <w:rFonts w:asciiTheme="minorHAnsi" w:hAnsiTheme="minorHAnsi"/>
                <w:sz w:val="22"/>
                <w:szCs w:val="22"/>
              </w:rPr>
              <w:t>“Low Income Weatherization Progr</w:t>
            </w:r>
            <w:r w:rsidR="001E4446">
              <w:rPr>
                <w:rFonts w:asciiTheme="minorHAnsi" w:hAnsiTheme="minorHAnsi"/>
                <w:sz w:val="22"/>
                <w:szCs w:val="22"/>
              </w:rPr>
              <w:t>ams”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calculator.</w:t>
            </w:r>
          </w:p>
        </w:tc>
      </w:tr>
      <w:tr w:rsidR="00F85362" w:rsidRPr="00707A60" w14:paraId="160B5E26" w14:textId="77777777">
        <w:tc>
          <w:tcPr>
            <w:tcW w:w="4976" w:type="dxa"/>
          </w:tcPr>
          <w:p w14:paraId="551CDA15" w14:textId="77777777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 Implementation Assumptions</w:t>
            </w:r>
          </w:p>
        </w:tc>
        <w:tc>
          <w:tcPr>
            <w:tcW w:w="4976" w:type="dxa"/>
          </w:tcPr>
          <w:p w14:paraId="4EE72F38" w14:textId="28FBC8D6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Applied the implementation values for both KS</w:t>
            </w:r>
            <w:r w:rsidR="000A4403">
              <w:rPr>
                <w:rFonts w:asciiTheme="minorHAnsi" w:hAnsiTheme="minorHAnsi"/>
                <w:sz w:val="22"/>
                <w:szCs w:val="22"/>
              </w:rPr>
              <w:t>, HPP,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and MC. </w:t>
            </w:r>
            <w:r w:rsidR="00F11EBA">
              <w:rPr>
                <w:rFonts w:asciiTheme="minorHAnsi" w:hAnsiTheme="minorHAnsi"/>
                <w:sz w:val="22"/>
                <w:szCs w:val="22"/>
              </w:rPr>
              <w:t>See Table 2a. We modeled that the measures were implemented from 202</w:t>
            </w:r>
            <w:r w:rsidR="00603983">
              <w:rPr>
                <w:rFonts w:asciiTheme="minorHAnsi" w:hAnsiTheme="minorHAnsi"/>
                <w:sz w:val="22"/>
                <w:szCs w:val="22"/>
              </w:rPr>
              <w:t>6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to 2030 only.</w:t>
            </w:r>
          </w:p>
        </w:tc>
      </w:tr>
      <w:tr w:rsidR="00F85362" w:rsidRPr="00707A60" w14:paraId="56CA58B9" w14:textId="77777777">
        <w:tc>
          <w:tcPr>
            <w:tcW w:w="4976" w:type="dxa"/>
          </w:tcPr>
          <w:p w14:paraId="4D4D09E8" w14:textId="77777777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Reference Case Scenario (GHG Emissions or Activity Level)</w:t>
            </w:r>
          </w:p>
        </w:tc>
        <w:tc>
          <w:tcPr>
            <w:tcW w:w="4976" w:type="dxa"/>
          </w:tcPr>
          <w:p w14:paraId="1F81EF69" w14:textId="77777777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The BAU scenario used projects 2019 Residential Electricity Use values out to 2050 (see above for what inputs were used in this projection). </w:t>
            </w:r>
          </w:p>
        </w:tc>
      </w:tr>
      <w:tr w:rsidR="00F85362" w:rsidRPr="00707A60" w14:paraId="362A2C86" w14:textId="77777777">
        <w:tc>
          <w:tcPr>
            <w:tcW w:w="4976" w:type="dxa"/>
          </w:tcPr>
          <w:p w14:paraId="2BBA9949" w14:textId="77777777" w:rsidR="00F85362" w:rsidRPr="00707A60" w:rsidRDefault="00F853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FC6981">
              <w:rPr>
                <w:rFonts w:asciiTheme="minorHAnsi" w:hAnsiTheme="minorHAnsi"/>
                <w:b/>
                <w:bCs/>
                <w:sz w:val="22"/>
                <w:szCs w:val="22"/>
              </w:rPr>
              <w:t>Measure-Specific Activity Data</w:t>
            </w:r>
          </w:p>
        </w:tc>
        <w:tc>
          <w:tcPr>
            <w:tcW w:w="4976" w:type="dxa"/>
          </w:tcPr>
          <w:p w14:paraId="30974476" w14:textId="75058DE9" w:rsidR="00F85362" w:rsidRPr="00707A60" w:rsidRDefault="009817D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Pr="009817D9">
              <w:rPr>
                <w:rFonts w:asciiTheme="minorHAnsi" w:hAnsiTheme="minorHAnsi"/>
                <w:sz w:val="22"/>
                <w:szCs w:val="22"/>
              </w:rPr>
              <w:t xml:space="preserve">PCAP estimates 308,257,990 kWh reduction per year in the region from </w:t>
            </w:r>
            <w:r w:rsidR="00191F35">
              <w:rPr>
                <w:rFonts w:asciiTheme="minorHAnsi" w:hAnsiTheme="minorHAnsi"/>
                <w:sz w:val="22"/>
                <w:szCs w:val="22"/>
              </w:rPr>
              <w:t>measure R-04a</w:t>
            </w:r>
            <w:r w:rsidRPr="009817D9">
              <w:rPr>
                <w:rFonts w:asciiTheme="minorHAnsi" w:hAnsiTheme="minorHAnsi"/>
                <w:sz w:val="22"/>
                <w:szCs w:val="22"/>
              </w:rPr>
              <w:t>.</w:t>
            </w:r>
            <w:r w:rsidR="00E100EF">
              <w:rPr>
                <w:rFonts w:asciiTheme="minorHAnsi" w:hAnsiTheme="minorHAnsi"/>
                <w:sz w:val="22"/>
                <w:szCs w:val="22"/>
              </w:rPr>
              <w:t xml:space="preserve"> The total number of residential units used for this calculation is </w:t>
            </w:r>
            <w:r w:rsidR="00E100EF" w:rsidRPr="00E100EF">
              <w:rPr>
                <w:rFonts w:asciiTheme="minorHAnsi" w:hAnsiTheme="minorHAnsi"/>
                <w:sz w:val="22"/>
                <w:szCs w:val="22"/>
              </w:rPr>
              <w:t>2,220,031</w:t>
            </w:r>
            <w:r w:rsidR="00E100EF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0A740D">
              <w:rPr>
                <w:rFonts w:asciiTheme="minorHAnsi" w:hAnsiTheme="minorHAnsi"/>
                <w:sz w:val="22"/>
                <w:szCs w:val="22"/>
              </w:rPr>
              <w:t xml:space="preserve">The equates to </w:t>
            </w:r>
            <w:r w:rsidR="00FC6981" w:rsidRPr="00FC6981">
              <w:rPr>
                <w:rFonts w:asciiTheme="minorHAnsi" w:hAnsiTheme="minorHAnsi"/>
                <w:sz w:val="22"/>
                <w:szCs w:val="22"/>
              </w:rPr>
              <w:t>295.66 kWh saving/unit</w:t>
            </w:r>
            <w:r w:rsidR="00FC6981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See Table </w:t>
            </w:r>
            <w:r w:rsidR="008B3770">
              <w:rPr>
                <w:rFonts w:asciiTheme="minorHAnsi" w:hAnsiTheme="minorHAnsi"/>
                <w:sz w:val="22"/>
                <w:szCs w:val="22"/>
              </w:rPr>
              <w:t>3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 and </w:t>
            </w:r>
            <w:r w:rsidR="002B7EA5">
              <w:rPr>
                <w:rFonts w:asciiTheme="minorHAnsi" w:hAnsiTheme="minorHAnsi"/>
                <w:sz w:val="22"/>
                <w:szCs w:val="22"/>
              </w:rPr>
              <w:t xml:space="preserve">Attachment </w:t>
            </w:r>
            <w:r w:rsidR="002B7EA5">
              <w:rPr>
                <w:rFonts w:asciiTheme="minorHAnsi" w:hAnsiTheme="minorHAnsi"/>
                <w:sz w:val="22"/>
                <w:szCs w:val="22"/>
              </w:rPr>
              <w:lastRenderedPageBreak/>
              <w:t>“</w:t>
            </w:r>
            <w:r w:rsidR="002B7EA5" w:rsidRPr="002B7EA5">
              <w:rPr>
                <w:rFonts w:asciiTheme="minorHAnsi" w:hAnsiTheme="minorHAnsi"/>
                <w:sz w:val="22"/>
                <w:szCs w:val="22"/>
              </w:rPr>
              <w:t>SEFL PCAP Calculations GHG Residential Measures</w:t>
            </w:r>
            <w:r w:rsidR="002B7EA5"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F85362" w:rsidRPr="00707A60" w14:paraId="06BAE6C1" w14:textId="77777777">
        <w:tc>
          <w:tcPr>
            <w:tcW w:w="4976" w:type="dxa"/>
          </w:tcPr>
          <w:p w14:paraId="0AFAD95D" w14:textId="67814D61" w:rsidR="00F85362" w:rsidRPr="00707A60" w:rsidRDefault="004564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GHG Emissions Reduced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(all values in MT CO</w:t>
            </w:r>
            <w:r w:rsidRPr="00456462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e)</w:t>
            </w:r>
          </w:p>
        </w:tc>
        <w:tc>
          <w:tcPr>
            <w:tcW w:w="4976" w:type="dxa"/>
          </w:tcPr>
          <w:p w14:paraId="1F8654DB" w14:textId="3E5838FF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2025-2030:</w:t>
            </w:r>
            <w:r w:rsidR="009E3F6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C24F0">
              <w:rPr>
                <w:rFonts w:asciiTheme="minorHAnsi" w:hAnsiTheme="minorHAnsi"/>
                <w:sz w:val="22"/>
                <w:szCs w:val="22"/>
              </w:rPr>
              <w:t>811.17</w:t>
            </w:r>
          </w:p>
          <w:p w14:paraId="7F722B0C" w14:textId="65A0D802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2025-2030:</w:t>
            </w:r>
            <w:r w:rsidR="00DC24F0">
              <w:rPr>
                <w:rFonts w:asciiTheme="minorHAnsi" w:hAnsiTheme="minorHAnsi"/>
                <w:sz w:val="22"/>
                <w:szCs w:val="22"/>
              </w:rPr>
              <w:t xml:space="preserve"> 4867</w:t>
            </w:r>
          </w:p>
          <w:p w14:paraId="59EA753A" w14:textId="6426F646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2025-2050:</w:t>
            </w:r>
            <w:r w:rsidR="00DC24F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D49B7">
              <w:rPr>
                <w:rFonts w:asciiTheme="minorHAnsi" w:hAnsiTheme="minorHAnsi"/>
                <w:sz w:val="22"/>
                <w:szCs w:val="22"/>
              </w:rPr>
              <w:t>1061.35</w:t>
            </w:r>
          </w:p>
          <w:p w14:paraId="63DBEA5D" w14:textId="15D5682D" w:rsidR="00F85362" w:rsidRPr="00707A6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2025-2050:</w:t>
            </w:r>
            <w:r w:rsidR="004D49B7">
              <w:rPr>
                <w:rFonts w:asciiTheme="minorHAnsi" w:hAnsiTheme="minorHAnsi"/>
                <w:sz w:val="22"/>
                <w:szCs w:val="22"/>
              </w:rPr>
              <w:t xml:space="preserve"> 27595</w:t>
            </w:r>
          </w:p>
        </w:tc>
      </w:tr>
    </w:tbl>
    <w:p w14:paraId="067A755F" w14:textId="77777777" w:rsidR="00F85362" w:rsidRDefault="00F85362" w:rsidP="00BB48C4"/>
    <w:p w14:paraId="37E55E79" w14:textId="4E5F335F" w:rsidR="000A2A15" w:rsidRPr="00707A60" w:rsidRDefault="000A2A15" w:rsidP="000A2A15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07A60">
        <w:rPr>
          <w:rFonts w:asciiTheme="minorHAnsi" w:hAnsiTheme="minorHAnsi"/>
          <w:b/>
          <w:bCs/>
          <w:sz w:val="22"/>
          <w:szCs w:val="22"/>
        </w:rPr>
        <w:t>R-0</w:t>
      </w:r>
      <w:r>
        <w:rPr>
          <w:rFonts w:asciiTheme="minorHAnsi" w:hAnsiTheme="minorHAnsi"/>
          <w:b/>
          <w:bCs/>
          <w:sz w:val="22"/>
          <w:szCs w:val="22"/>
        </w:rPr>
        <w:t>4b</w:t>
      </w:r>
      <w:r w:rsidRPr="00707A6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>Roof Insulation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6"/>
        <w:gridCol w:w="4976"/>
      </w:tblGrid>
      <w:tr w:rsidR="000A2A15" w:rsidRPr="00707A60" w14:paraId="423B113C" w14:textId="77777777">
        <w:tc>
          <w:tcPr>
            <w:tcW w:w="4976" w:type="dxa"/>
          </w:tcPr>
          <w:p w14:paraId="5F89DDE9" w14:textId="77777777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Models/Tools Used</w:t>
            </w:r>
          </w:p>
        </w:tc>
        <w:tc>
          <w:tcPr>
            <w:tcW w:w="4976" w:type="dxa"/>
          </w:tcPr>
          <w:p w14:paraId="471315E0" w14:textId="2842E01B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ICLEI </w:t>
            </w:r>
            <w:proofErr w:type="spellStart"/>
            <w:r w:rsidRPr="00707A60">
              <w:rPr>
                <w:rFonts w:asciiTheme="minorHAnsi" w:hAnsiTheme="minorHAnsi"/>
                <w:sz w:val="22"/>
                <w:szCs w:val="22"/>
              </w:rPr>
              <w:t>Clearpath</w:t>
            </w:r>
            <w:proofErr w:type="spellEnd"/>
            <w:r w:rsidRPr="00707A60">
              <w:rPr>
                <w:rFonts w:asciiTheme="minorHAnsi" w:hAnsiTheme="minorHAnsi"/>
                <w:sz w:val="22"/>
                <w:szCs w:val="22"/>
              </w:rPr>
              <w:t xml:space="preserve"> Planning and Forecast Wizard tool, </w:t>
            </w:r>
            <w:r w:rsidR="001E4446">
              <w:rPr>
                <w:rFonts w:asciiTheme="minorHAnsi" w:hAnsiTheme="minorHAnsi"/>
                <w:sz w:val="22"/>
                <w:szCs w:val="22"/>
              </w:rPr>
              <w:t>“Low Income Weatherization Programs”</w:t>
            </w:r>
            <w:r w:rsidR="001E4446" w:rsidRPr="00707A6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>calculator.</w:t>
            </w:r>
          </w:p>
        </w:tc>
      </w:tr>
      <w:tr w:rsidR="000A2A15" w:rsidRPr="00707A60" w14:paraId="452D6E42" w14:textId="77777777">
        <w:tc>
          <w:tcPr>
            <w:tcW w:w="4976" w:type="dxa"/>
          </w:tcPr>
          <w:p w14:paraId="6F1102FC" w14:textId="77777777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 Implementation Assumptions</w:t>
            </w:r>
          </w:p>
        </w:tc>
        <w:tc>
          <w:tcPr>
            <w:tcW w:w="4976" w:type="dxa"/>
          </w:tcPr>
          <w:p w14:paraId="7AAC75BB" w14:textId="6C66DB8B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Applied the implementation values for both KS and </w:t>
            </w:r>
            <w:r w:rsidR="000A4403">
              <w:rPr>
                <w:rFonts w:asciiTheme="minorHAnsi" w:hAnsiTheme="minorHAnsi"/>
                <w:sz w:val="22"/>
                <w:szCs w:val="22"/>
              </w:rPr>
              <w:t>HPP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F11EBA">
              <w:rPr>
                <w:rFonts w:asciiTheme="minorHAnsi" w:hAnsiTheme="minorHAnsi"/>
                <w:sz w:val="22"/>
                <w:szCs w:val="22"/>
              </w:rPr>
              <w:t>See Table 2a. We modeled that the measures were implemented from 202</w:t>
            </w:r>
            <w:r w:rsidR="00603983">
              <w:rPr>
                <w:rFonts w:asciiTheme="minorHAnsi" w:hAnsiTheme="minorHAnsi"/>
                <w:sz w:val="22"/>
                <w:szCs w:val="22"/>
              </w:rPr>
              <w:t>6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to 2030 only.</w:t>
            </w:r>
          </w:p>
        </w:tc>
      </w:tr>
      <w:tr w:rsidR="000A2A15" w:rsidRPr="00707A60" w14:paraId="345C1A70" w14:textId="77777777">
        <w:tc>
          <w:tcPr>
            <w:tcW w:w="4976" w:type="dxa"/>
          </w:tcPr>
          <w:p w14:paraId="147978B6" w14:textId="77777777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Reference Case Scenario (GHG Emissions or Activity Level)</w:t>
            </w:r>
          </w:p>
        </w:tc>
        <w:tc>
          <w:tcPr>
            <w:tcW w:w="4976" w:type="dxa"/>
          </w:tcPr>
          <w:p w14:paraId="1318AAC6" w14:textId="77777777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The BAU scenario used projects 2019 Residential Electricity Use values out to 2050 (see above for what inputs were used in this projection). </w:t>
            </w:r>
          </w:p>
        </w:tc>
      </w:tr>
      <w:tr w:rsidR="000A2A15" w:rsidRPr="00707A60" w14:paraId="0C11FFC7" w14:textId="77777777">
        <w:tc>
          <w:tcPr>
            <w:tcW w:w="4976" w:type="dxa"/>
          </w:tcPr>
          <w:p w14:paraId="4C6F107B" w14:textId="77777777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643481">
              <w:rPr>
                <w:rFonts w:asciiTheme="minorHAnsi" w:hAnsiTheme="minorHAnsi"/>
                <w:b/>
                <w:bCs/>
                <w:sz w:val="22"/>
                <w:szCs w:val="22"/>
              </w:rPr>
              <w:t>Measure-Specific Activity Data</w:t>
            </w:r>
          </w:p>
        </w:tc>
        <w:tc>
          <w:tcPr>
            <w:tcW w:w="4976" w:type="dxa"/>
          </w:tcPr>
          <w:p w14:paraId="5BD817B2" w14:textId="493E9D7E" w:rsidR="000A2A15" w:rsidRPr="00707A60" w:rsidRDefault="00FC698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Pr="009817D9">
              <w:rPr>
                <w:rFonts w:asciiTheme="minorHAnsi" w:hAnsiTheme="minorHAnsi"/>
                <w:sz w:val="22"/>
                <w:szCs w:val="22"/>
              </w:rPr>
              <w:t xml:space="preserve">PCAP estimates </w:t>
            </w:r>
            <w:r w:rsidR="00191F35" w:rsidRPr="00191F35">
              <w:rPr>
                <w:rFonts w:asciiTheme="minorHAnsi" w:hAnsiTheme="minorHAnsi"/>
                <w:sz w:val="22"/>
                <w:szCs w:val="22"/>
              </w:rPr>
              <w:t xml:space="preserve">123,303190 </w:t>
            </w:r>
            <w:r w:rsidRPr="009817D9">
              <w:rPr>
                <w:rFonts w:asciiTheme="minorHAnsi" w:hAnsiTheme="minorHAnsi"/>
                <w:sz w:val="22"/>
                <w:szCs w:val="22"/>
              </w:rPr>
              <w:t xml:space="preserve">kWh reduction per year in the region from </w:t>
            </w:r>
            <w:r w:rsidR="00191F35">
              <w:rPr>
                <w:rFonts w:asciiTheme="minorHAnsi" w:hAnsiTheme="minorHAnsi"/>
                <w:sz w:val="22"/>
                <w:szCs w:val="22"/>
              </w:rPr>
              <w:t>measure R-04b</w:t>
            </w:r>
            <w:r w:rsidRPr="009817D9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The total number of residential units used for this calculation is </w:t>
            </w:r>
            <w:r w:rsidRPr="00E100EF">
              <w:rPr>
                <w:rFonts w:asciiTheme="minorHAnsi" w:hAnsiTheme="minorHAnsi"/>
                <w:sz w:val="22"/>
                <w:szCs w:val="22"/>
              </w:rPr>
              <w:t>2,220,031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The equates to </w:t>
            </w:r>
            <w:r w:rsidR="00191F35">
              <w:rPr>
                <w:rFonts w:asciiTheme="minorHAnsi" w:hAnsiTheme="minorHAnsi"/>
                <w:sz w:val="22"/>
                <w:szCs w:val="22"/>
              </w:rPr>
              <w:t>118</w:t>
            </w:r>
            <w:r w:rsidR="00643481">
              <w:rPr>
                <w:rFonts w:asciiTheme="minorHAnsi" w:hAnsiTheme="minorHAnsi"/>
                <w:sz w:val="22"/>
                <w:szCs w:val="22"/>
              </w:rPr>
              <w:t>.26</w:t>
            </w:r>
            <w:r w:rsidRPr="00FC6981">
              <w:rPr>
                <w:rFonts w:asciiTheme="minorHAnsi" w:hAnsiTheme="minorHAnsi"/>
                <w:sz w:val="22"/>
                <w:szCs w:val="22"/>
              </w:rPr>
              <w:t xml:space="preserve"> kWh saving/unit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See Table </w:t>
            </w:r>
            <w:r w:rsidR="008B3770">
              <w:rPr>
                <w:rFonts w:asciiTheme="minorHAnsi" w:hAnsiTheme="minorHAnsi"/>
                <w:sz w:val="22"/>
                <w:szCs w:val="22"/>
              </w:rPr>
              <w:t>3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 and </w:t>
            </w:r>
            <w:r w:rsidR="002B7EA5">
              <w:rPr>
                <w:rFonts w:asciiTheme="minorHAnsi" w:hAnsiTheme="minorHAnsi"/>
                <w:sz w:val="22"/>
                <w:szCs w:val="22"/>
              </w:rPr>
              <w:t>Attachment “</w:t>
            </w:r>
            <w:r w:rsidR="002B7EA5" w:rsidRPr="002B7EA5">
              <w:rPr>
                <w:rFonts w:asciiTheme="minorHAnsi" w:hAnsiTheme="minorHAnsi"/>
                <w:sz w:val="22"/>
                <w:szCs w:val="22"/>
              </w:rPr>
              <w:t>SEFL PCAP Calculations GHG Residential Measures</w:t>
            </w:r>
            <w:r w:rsidR="002B7EA5"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0A2A15" w:rsidRPr="00707A60" w14:paraId="44F3026E" w14:textId="77777777">
        <w:tc>
          <w:tcPr>
            <w:tcW w:w="4976" w:type="dxa"/>
          </w:tcPr>
          <w:p w14:paraId="298E2F4A" w14:textId="325559F7" w:rsidR="000A2A15" w:rsidRPr="00707A60" w:rsidRDefault="004564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t>GHG Emissions Reduced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(all values in MT CO</w:t>
            </w:r>
            <w:r w:rsidRPr="00456462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e)</w:t>
            </w:r>
          </w:p>
        </w:tc>
        <w:tc>
          <w:tcPr>
            <w:tcW w:w="4976" w:type="dxa"/>
          </w:tcPr>
          <w:p w14:paraId="402E229F" w14:textId="3EC64C1D" w:rsidR="000A2A15" w:rsidRPr="00707A60" w:rsidRDefault="00CE4D1E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Reduc</w:t>
            </w:r>
            <w:r w:rsidR="00DC24F0">
              <w:rPr>
                <w:rFonts w:asciiTheme="minorHAnsi" w:hAnsiTheme="minorHAnsi"/>
                <w:sz w:val="22"/>
                <w:szCs w:val="22"/>
              </w:rPr>
              <w:t>tion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evaluated as R-04 as a whole. See R-04a</w:t>
            </w:r>
            <w:r w:rsidR="00DC24F0">
              <w:rPr>
                <w:rFonts w:asciiTheme="minorHAnsi" w:hAnsiTheme="minorHAnsi"/>
                <w:sz w:val="22"/>
                <w:szCs w:val="22"/>
              </w:rPr>
              <w:t xml:space="preserve"> for values.</w:t>
            </w:r>
          </w:p>
        </w:tc>
      </w:tr>
    </w:tbl>
    <w:p w14:paraId="23E233AE" w14:textId="77777777" w:rsidR="000A2A15" w:rsidRDefault="000A2A15" w:rsidP="00BB48C4"/>
    <w:p w14:paraId="6D246410" w14:textId="64DD83BA" w:rsidR="000A2A15" w:rsidRPr="00732D9A" w:rsidRDefault="000A2A15" w:rsidP="000A2A15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32D9A">
        <w:rPr>
          <w:rFonts w:asciiTheme="minorHAnsi" w:hAnsiTheme="minorHAnsi"/>
          <w:b/>
          <w:bCs/>
          <w:sz w:val="22"/>
          <w:szCs w:val="22"/>
        </w:rPr>
        <w:t xml:space="preserve">R-05 Window, </w:t>
      </w:r>
      <w:r w:rsidR="00732D9A">
        <w:rPr>
          <w:rFonts w:asciiTheme="minorHAnsi" w:hAnsiTheme="minorHAnsi"/>
          <w:b/>
          <w:bCs/>
          <w:sz w:val="22"/>
          <w:szCs w:val="22"/>
        </w:rPr>
        <w:t>D</w:t>
      </w:r>
      <w:r w:rsidRPr="00732D9A">
        <w:rPr>
          <w:rFonts w:asciiTheme="minorHAnsi" w:hAnsiTheme="minorHAnsi"/>
          <w:b/>
          <w:bCs/>
          <w:sz w:val="22"/>
          <w:szCs w:val="22"/>
        </w:rPr>
        <w:t xml:space="preserve">oor, and </w:t>
      </w:r>
      <w:r w:rsidR="00732D9A">
        <w:rPr>
          <w:rFonts w:asciiTheme="minorHAnsi" w:hAnsiTheme="minorHAnsi"/>
          <w:b/>
          <w:bCs/>
          <w:sz w:val="22"/>
          <w:szCs w:val="22"/>
        </w:rPr>
        <w:t>S</w:t>
      </w:r>
      <w:r w:rsidR="00732D9A" w:rsidRPr="00732D9A">
        <w:rPr>
          <w:rFonts w:asciiTheme="minorHAnsi" w:hAnsiTheme="minorHAnsi"/>
          <w:b/>
          <w:bCs/>
          <w:sz w:val="22"/>
          <w:szCs w:val="22"/>
        </w:rPr>
        <w:t xml:space="preserve">kylight </w:t>
      </w:r>
      <w:r w:rsidR="00732D9A">
        <w:rPr>
          <w:rFonts w:asciiTheme="minorHAnsi" w:hAnsiTheme="minorHAnsi"/>
          <w:b/>
          <w:bCs/>
          <w:sz w:val="22"/>
          <w:szCs w:val="22"/>
        </w:rPr>
        <w:t>R</w:t>
      </w:r>
      <w:r w:rsidR="00732D9A" w:rsidRPr="00732D9A">
        <w:rPr>
          <w:rFonts w:asciiTheme="minorHAnsi" w:hAnsiTheme="minorHAnsi"/>
          <w:b/>
          <w:bCs/>
          <w:sz w:val="22"/>
          <w:szCs w:val="22"/>
        </w:rPr>
        <w:t>eplacement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6"/>
        <w:gridCol w:w="4976"/>
      </w:tblGrid>
      <w:tr w:rsidR="000A2A15" w:rsidRPr="00707A60" w14:paraId="06651B5B" w14:textId="77777777">
        <w:tc>
          <w:tcPr>
            <w:tcW w:w="4976" w:type="dxa"/>
          </w:tcPr>
          <w:p w14:paraId="3048DDCD" w14:textId="77777777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Models/Tools Used</w:t>
            </w:r>
          </w:p>
        </w:tc>
        <w:tc>
          <w:tcPr>
            <w:tcW w:w="4976" w:type="dxa"/>
          </w:tcPr>
          <w:p w14:paraId="7671CA26" w14:textId="098B5822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ICLEI </w:t>
            </w:r>
            <w:proofErr w:type="spellStart"/>
            <w:r w:rsidRPr="00707A60">
              <w:rPr>
                <w:rFonts w:asciiTheme="minorHAnsi" w:hAnsiTheme="minorHAnsi"/>
                <w:sz w:val="22"/>
                <w:szCs w:val="22"/>
              </w:rPr>
              <w:t>Clearpath</w:t>
            </w:r>
            <w:proofErr w:type="spellEnd"/>
            <w:r w:rsidRPr="00707A60">
              <w:rPr>
                <w:rFonts w:asciiTheme="minorHAnsi" w:hAnsiTheme="minorHAnsi"/>
                <w:sz w:val="22"/>
                <w:szCs w:val="22"/>
              </w:rPr>
              <w:t xml:space="preserve"> Planning and Forecast Wizard tool, </w:t>
            </w:r>
            <w:r w:rsidR="001E4446">
              <w:rPr>
                <w:rFonts w:asciiTheme="minorHAnsi" w:hAnsiTheme="minorHAnsi"/>
                <w:sz w:val="22"/>
                <w:szCs w:val="22"/>
              </w:rPr>
              <w:t>“Low Income Weatherization Programs”</w:t>
            </w:r>
            <w:r w:rsidR="001E4446" w:rsidRPr="00707A6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calculator.</w:t>
            </w:r>
          </w:p>
        </w:tc>
      </w:tr>
      <w:tr w:rsidR="000A2A15" w:rsidRPr="00707A60" w14:paraId="34EB4D67" w14:textId="77777777">
        <w:tc>
          <w:tcPr>
            <w:tcW w:w="4976" w:type="dxa"/>
          </w:tcPr>
          <w:p w14:paraId="6FD715CC" w14:textId="77777777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 Implementation Assumptions</w:t>
            </w:r>
          </w:p>
        </w:tc>
        <w:tc>
          <w:tcPr>
            <w:tcW w:w="4976" w:type="dxa"/>
          </w:tcPr>
          <w:p w14:paraId="296C259A" w14:textId="68F3CE78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Applied the implementation values for both KS and </w:t>
            </w:r>
            <w:r w:rsidR="00F11EBA">
              <w:rPr>
                <w:rFonts w:asciiTheme="minorHAnsi" w:hAnsiTheme="minorHAnsi"/>
                <w:sz w:val="22"/>
                <w:szCs w:val="22"/>
              </w:rPr>
              <w:t>HPP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F11EBA">
              <w:rPr>
                <w:rFonts w:asciiTheme="minorHAnsi" w:hAnsiTheme="minorHAnsi"/>
                <w:sz w:val="22"/>
                <w:szCs w:val="22"/>
              </w:rPr>
              <w:t>See Table 2a. We modeled that the measures were implemented from 202</w:t>
            </w:r>
            <w:r w:rsidR="00603983">
              <w:rPr>
                <w:rFonts w:asciiTheme="minorHAnsi" w:hAnsiTheme="minorHAnsi"/>
                <w:sz w:val="22"/>
                <w:szCs w:val="22"/>
              </w:rPr>
              <w:t>6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to 2030 only.</w:t>
            </w:r>
          </w:p>
        </w:tc>
      </w:tr>
      <w:tr w:rsidR="000A2A15" w:rsidRPr="00707A60" w14:paraId="7371760A" w14:textId="77777777">
        <w:tc>
          <w:tcPr>
            <w:tcW w:w="4976" w:type="dxa"/>
          </w:tcPr>
          <w:p w14:paraId="1B7C6231" w14:textId="77777777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Reference Case Scenario (GHG Emissions or Activity Level)</w:t>
            </w:r>
          </w:p>
        </w:tc>
        <w:tc>
          <w:tcPr>
            <w:tcW w:w="4976" w:type="dxa"/>
          </w:tcPr>
          <w:p w14:paraId="0DCFAECC" w14:textId="77777777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The BAU scenario used projects 2019 Residential Electricity Use values out to 2050 (see above for what inputs were used in this projection). </w:t>
            </w:r>
          </w:p>
        </w:tc>
      </w:tr>
      <w:tr w:rsidR="000A2A15" w:rsidRPr="00707A60" w14:paraId="3084A687" w14:textId="77777777">
        <w:tc>
          <w:tcPr>
            <w:tcW w:w="4976" w:type="dxa"/>
          </w:tcPr>
          <w:p w14:paraId="62CA44BB" w14:textId="77777777" w:rsidR="000A2A15" w:rsidRPr="00707A60" w:rsidRDefault="000A2A1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8312D">
              <w:rPr>
                <w:rFonts w:asciiTheme="minorHAnsi" w:hAnsiTheme="minorHAnsi"/>
                <w:b/>
                <w:bCs/>
                <w:sz w:val="22"/>
                <w:szCs w:val="22"/>
              </w:rPr>
              <w:t>Measure-Specific Activity Data</w:t>
            </w:r>
          </w:p>
        </w:tc>
        <w:tc>
          <w:tcPr>
            <w:tcW w:w="4976" w:type="dxa"/>
          </w:tcPr>
          <w:p w14:paraId="04BBB7BE" w14:textId="22DBAC7B" w:rsidR="000A2A15" w:rsidRPr="00707A60" w:rsidRDefault="0064348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Pr="009817D9">
              <w:rPr>
                <w:rFonts w:asciiTheme="minorHAnsi" w:hAnsiTheme="minorHAnsi"/>
                <w:sz w:val="22"/>
                <w:szCs w:val="22"/>
              </w:rPr>
              <w:t xml:space="preserve">PCAP estimates </w:t>
            </w:r>
            <w:r w:rsidR="0058312D" w:rsidRPr="0058312D">
              <w:rPr>
                <w:rFonts w:asciiTheme="minorHAnsi" w:hAnsiTheme="minorHAnsi"/>
                <w:sz w:val="22"/>
                <w:szCs w:val="22"/>
              </w:rPr>
              <w:t xml:space="preserve">373,646,040 </w:t>
            </w:r>
            <w:r w:rsidRPr="009817D9">
              <w:rPr>
                <w:rFonts w:asciiTheme="minorHAnsi" w:hAnsiTheme="minorHAnsi"/>
                <w:sz w:val="22"/>
                <w:szCs w:val="22"/>
              </w:rPr>
              <w:t xml:space="preserve">kWh reduction per year in the region from </w:t>
            </w:r>
            <w:r>
              <w:rPr>
                <w:rFonts w:asciiTheme="minorHAnsi" w:hAnsiTheme="minorHAnsi"/>
                <w:sz w:val="22"/>
                <w:szCs w:val="22"/>
              </w:rPr>
              <w:t>measure R-04b</w:t>
            </w:r>
            <w:r w:rsidRPr="009817D9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The total number of residential units used for this calculation is </w:t>
            </w:r>
            <w:r w:rsidRPr="00E100EF">
              <w:rPr>
                <w:rFonts w:asciiTheme="minorHAnsi" w:hAnsiTheme="minorHAnsi"/>
                <w:sz w:val="22"/>
                <w:szCs w:val="22"/>
              </w:rPr>
              <w:t>2,220,031</w:t>
            </w:r>
            <w:r>
              <w:rPr>
                <w:rFonts w:asciiTheme="minorHAnsi" w:hAnsiTheme="minorHAnsi"/>
                <w:sz w:val="22"/>
                <w:szCs w:val="22"/>
              </w:rPr>
              <w:t>. The equates to 1</w:t>
            </w:r>
            <w:r w:rsidR="0058312D">
              <w:rPr>
                <w:rFonts w:asciiTheme="minorHAnsi" w:hAnsiTheme="minorHAnsi"/>
                <w:sz w:val="22"/>
                <w:szCs w:val="22"/>
              </w:rPr>
              <w:t>68.3</w:t>
            </w:r>
            <w:r w:rsidRPr="00FC6981">
              <w:rPr>
                <w:rFonts w:asciiTheme="minorHAnsi" w:hAnsiTheme="minorHAnsi"/>
                <w:sz w:val="22"/>
                <w:szCs w:val="22"/>
              </w:rPr>
              <w:t xml:space="preserve"> kWh saving/unit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See Table </w:t>
            </w:r>
            <w:r w:rsidR="008B3770">
              <w:rPr>
                <w:rFonts w:asciiTheme="minorHAnsi" w:hAnsiTheme="minorHAnsi"/>
                <w:sz w:val="22"/>
                <w:szCs w:val="22"/>
              </w:rPr>
              <w:t>3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 and </w:t>
            </w:r>
            <w:r w:rsidR="002B7EA5">
              <w:rPr>
                <w:rFonts w:asciiTheme="minorHAnsi" w:hAnsiTheme="minorHAnsi"/>
                <w:sz w:val="22"/>
                <w:szCs w:val="22"/>
              </w:rPr>
              <w:t>Attachment “</w:t>
            </w:r>
            <w:r w:rsidR="002B7EA5" w:rsidRPr="002B7EA5">
              <w:rPr>
                <w:rFonts w:asciiTheme="minorHAnsi" w:hAnsiTheme="minorHAnsi"/>
                <w:sz w:val="22"/>
                <w:szCs w:val="22"/>
              </w:rPr>
              <w:t>SEFL PCAP Calculations GHG Residential Measures</w:t>
            </w:r>
            <w:r w:rsidR="002B7EA5"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0A2A15" w:rsidRPr="00707A60" w14:paraId="2B0FD0A1" w14:textId="77777777" w:rsidTr="00AA6863">
        <w:trPr>
          <w:trHeight w:val="547"/>
        </w:trPr>
        <w:tc>
          <w:tcPr>
            <w:tcW w:w="4976" w:type="dxa"/>
          </w:tcPr>
          <w:p w14:paraId="6BF54CDA" w14:textId="4EFFDCA7" w:rsidR="000A2A15" w:rsidRPr="00707A60" w:rsidRDefault="004564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t>GHG Emissions Reduced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(all values in MT CO</w:t>
            </w:r>
            <w:r w:rsidRPr="00456462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e)</w:t>
            </w:r>
          </w:p>
        </w:tc>
        <w:tc>
          <w:tcPr>
            <w:tcW w:w="4976" w:type="dxa"/>
          </w:tcPr>
          <w:p w14:paraId="10C5B04B" w14:textId="18D3F57C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2025-2030:</w:t>
            </w:r>
            <w:r w:rsidR="004D49B7">
              <w:rPr>
                <w:rFonts w:asciiTheme="minorHAnsi" w:hAnsiTheme="minorHAnsi"/>
                <w:sz w:val="22"/>
                <w:szCs w:val="22"/>
              </w:rPr>
              <w:t xml:space="preserve"> 344.17</w:t>
            </w:r>
          </w:p>
          <w:p w14:paraId="0B08DE2E" w14:textId="67063020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2025-2030:</w:t>
            </w:r>
            <w:r w:rsidR="004D49B7">
              <w:rPr>
                <w:rFonts w:asciiTheme="minorHAnsi" w:hAnsiTheme="minorHAnsi"/>
                <w:sz w:val="22"/>
                <w:szCs w:val="22"/>
              </w:rPr>
              <w:t xml:space="preserve"> 2065</w:t>
            </w:r>
          </w:p>
          <w:p w14:paraId="6E402F46" w14:textId="3D220D27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2025-2050:</w:t>
            </w:r>
            <w:r w:rsidR="004D49B7">
              <w:rPr>
                <w:rFonts w:asciiTheme="minorHAnsi" w:hAnsiTheme="minorHAnsi"/>
                <w:sz w:val="22"/>
                <w:szCs w:val="22"/>
              </w:rPr>
              <w:t xml:space="preserve"> 450.19</w:t>
            </w:r>
          </w:p>
          <w:p w14:paraId="25FB0C33" w14:textId="075A729A" w:rsidR="000A2A15" w:rsidRPr="00707A6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2025-2050:</w:t>
            </w:r>
            <w:r w:rsidR="004D49B7">
              <w:rPr>
                <w:rFonts w:asciiTheme="minorHAnsi" w:hAnsiTheme="minorHAnsi"/>
                <w:sz w:val="22"/>
                <w:szCs w:val="22"/>
              </w:rPr>
              <w:t xml:space="preserve"> 11705</w:t>
            </w:r>
          </w:p>
        </w:tc>
      </w:tr>
    </w:tbl>
    <w:p w14:paraId="5AF110F5" w14:textId="77777777" w:rsidR="000A2A15" w:rsidRDefault="000A2A15" w:rsidP="00BB48C4"/>
    <w:p w14:paraId="3C46939E" w14:textId="55B6277C" w:rsidR="00732D9A" w:rsidRPr="00707A60" w:rsidRDefault="00732D9A" w:rsidP="00732D9A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07A60">
        <w:rPr>
          <w:rFonts w:asciiTheme="minorHAnsi" w:hAnsiTheme="minorHAnsi"/>
          <w:b/>
          <w:bCs/>
          <w:sz w:val="22"/>
          <w:szCs w:val="22"/>
        </w:rPr>
        <w:lastRenderedPageBreak/>
        <w:t>R-0</w:t>
      </w:r>
      <w:r>
        <w:rPr>
          <w:rFonts w:asciiTheme="minorHAnsi" w:hAnsiTheme="minorHAnsi"/>
          <w:b/>
          <w:bCs/>
          <w:sz w:val="22"/>
          <w:szCs w:val="22"/>
        </w:rPr>
        <w:t>6</w:t>
      </w:r>
      <w:r w:rsidRPr="00707A60">
        <w:rPr>
          <w:rFonts w:asciiTheme="minorHAnsi" w:hAnsiTheme="minorHAnsi"/>
          <w:sz w:val="22"/>
          <w:szCs w:val="22"/>
        </w:rPr>
        <w:t xml:space="preserve"> </w:t>
      </w:r>
      <w:r w:rsidR="00880E44">
        <w:rPr>
          <w:rFonts w:asciiTheme="minorHAnsi" w:hAnsiTheme="minorHAnsi"/>
          <w:b/>
          <w:bCs/>
          <w:sz w:val="22"/>
          <w:szCs w:val="22"/>
        </w:rPr>
        <w:t>Appliances and Plug Load Management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6"/>
        <w:gridCol w:w="4976"/>
      </w:tblGrid>
      <w:tr w:rsidR="00732D9A" w:rsidRPr="00707A60" w14:paraId="729B492F" w14:textId="77777777">
        <w:tc>
          <w:tcPr>
            <w:tcW w:w="4976" w:type="dxa"/>
          </w:tcPr>
          <w:p w14:paraId="061AF976" w14:textId="77777777" w:rsidR="00732D9A" w:rsidRPr="00707A60" w:rsidRDefault="00732D9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Models/Tools Used</w:t>
            </w:r>
          </w:p>
        </w:tc>
        <w:tc>
          <w:tcPr>
            <w:tcW w:w="4976" w:type="dxa"/>
          </w:tcPr>
          <w:p w14:paraId="53E0D013" w14:textId="5759DDE0" w:rsidR="00732D9A" w:rsidRPr="00707A60" w:rsidRDefault="002718B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ICLEI </w:t>
            </w:r>
            <w:proofErr w:type="spellStart"/>
            <w:r w:rsidRPr="00707A60">
              <w:rPr>
                <w:rFonts w:asciiTheme="minorHAnsi" w:hAnsiTheme="minorHAnsi"/>
                <w:sz w:val="22"/>
                <w:szCs w:val="22"/>
              </w:rPr>
              <w:t>Clearpath</w:t>
            </w:r>
            <w:proofErr w:type="spellEnd"/>
            <w:r w:rsidRPr="00707A60">
              <w:rPr>
                <w:rFonts w:asciiTheme="minorHAnsi" w:hAnsiTheme="minorHAnsi"/>
                <w:sz w:val="22"/>
                <w:szCs w:val="22"/>
              </w:rPr>
              <w:t xml:space="preserve"> Planning and Forecast Wizard tool, </w:t>
            </w:r>
            <w:r>
              <w:rPr>
                <w:rFonts w:asciiTheme="minorHAnsi" w:hAnsiTheme="minorHAnsi"/>
                <w:sz w:val="22"/>
                <w:szCs w:val="22"/>
              </w:rPr>
              <w:t>“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>High Impact Action - Residential Electrification And Efficiency</w:t>
            </w:r>
            <w:r>
              <w:rPr>
                <w:rFonts w:asciiTheme="minorHAnsi" w:hAnsiTheme="minorHAnsi"/>
                <w:sz w:val="22"/>
                <w:szCs w:val="22"/>
              </w:rPr>
              <w:t>”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calculator.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This calculator asks for energy use in baseline year (2019), “p</w:t>
            </w:r>
            <w:r w:rsidRPr="00EC1CCC">
              <w:rPr>
                <w:rFonts w:asciiTheme="minorHAnsi" w:hAnsiTheme="minorHAnsi"/>
                <w:sz w:val="22"/>
                <w:szCs w:val="22"/>
              </w:rPr>
              <w:t>ercent of existing housing units receiving efficiency retrofit per year</w:t>
            </w:r>
            <w:r>
              <w:rPr>
                <w:rFonts w:asciiTheme="minorHAnsi" w:hAnsiTheme="minorHAnsi"/>
                <w:sz w:val="22"/>
                <w:szCs w:val="22"/>
              </w:rPr>
              <w:t>,” and “s</w:t>
            </w:r>
            <w:r w:rsidRPr="0089627B">
              <w:rPr>
                <w:rFonts w:asciiTheme="minorHAnsi" w:hAnsiTheme="minorHAnsi"/>
                <w:sz w:val="22"/>
                <w:szCs w:val="22"/>
              </w:rPr>
              <w:t>avings from efficiency retrofit of existing buildings</w:t>
            </w:r>
            <w:r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732D9A" w:rsidRPr="00707A60" w14:paraId="6596EABF" w14:textId="77777777">
        <w:tc>
          <w:tcPr>
            <w:tcW w:w="4976" w:type="dxa"/>
          </w:tcPr>
          <w:p w14:paraId="4A537993" w14:textId="77777777" w:rsidR="00732D9A" w:rsidRPr="00707A60" w:rsidRDefault="00732D9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 Implementation Assumptions</w:t>
            </w:r>
          </w:p>
        </w:tc>
        <w:tc>
          <w:tcPr>
            <w:tcW w:w="4976" w:type="dxa"/>
          </w:tcPr>
          <w:p w14:paraId="7F6BCCA6" w14:textId="230CA081" w:rsidR="00732D9A" w:rsidRPr="00707A60" w:rsidRDefault="00732D9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Applied the implementation value for KS. </w:t>
            </w:r>
            <w:r w:rsidR="00F11EBA">
              <w:rPr>
                <w:rFonts w:asciiTheme="minorHAnsi" w:hAnsiTheme="minorHAnsi"/>
                <w:sz w:val="22"/>
                <w:szCs w:val="22"/>
              </w:rPr>
              <w:t>See Table 2a. We modeled that the measures were implemented from 202</w:t>
            </w:r>
            <w:r w:rsidR="00603983">
              <w:rPr>
                <w:rFonts w:asciiTheme="minorHAnsi" w:hAnsiTheme="minorHAnsi"/>
                <w:sz w:val="22"/>
                <w:szCs w:val="22"/>
              </w:rPr>
              <w:t>6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to 2030 only.</w:t>
            </w:r>
          </w:p>
        </w:tc>
      </w:tr>
      <w:tr w:rsidR="00732D9A" w:rsidRPr="00707A60" w14:paraId="2ADBF226" w14:textId="77777777">
        <w:tc>
          <w:tcPr>
            <w:tcW w:w="4976" w:type="dxa"/>
          </w:tcPr>
          <w:p w14:paraId="352200C9" w14:textId="77777777" w:rsidR="00732D9A" w:rsidRPr="00707A60" w:rsidRDefault="00732D9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Reference Case Scenario (GHG Emissions or Activity Level)</w:t>
            </w:r>
          </w:p>
        </w:tc>
        <w:tc>
          <w:tcPr>
            <w:tcW w:w="4976" w:type="dxa"/>
          </w:tcPr>
          <w:p w14:paraId="7484EF44" w14:textId="6B27F075" w:rsidR="00732D9A" w:rsidRPr="00707A60" w:rsidRDefault="004A2C6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>The BAU scenario used projects 2019 Residential Electricity Use values out to 2050 (see above for what inputs were used in this projection).</w:t>
            </w:r>
          </w:p>
        </w:tc>
      </w:tr>
      <w:tr w:rsidR="00732D9A" w:rsidRPr="00707A60" w14:paraId="76A522DB" w14:textId="77777777">
        <w:tc>
          <w:tcPr>
            <w:tcW w:w="4976" w:type="dxa"/>
          </w:tcPr>
          <w:p w14:paraId="52E56BC1" w14:textId="77777777" w:rsidR="00732D9A" w:rsidRPr="00707A60" w:rsidRDefault="00732D9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Measure-Specific Activity Data</w:t>
            </w:r>
          </w:p>
        </w:tc>
        <w:tc>
          <w:tcPr>
            <w:tcW w:w="4976" w:type="dxa"/>
          </w:tcPr>
          <w:p w14:paraId="46639DAF" w14:textId="35D3900B" w:rsidR="00732D9A" w:rsidRPr="00707A60" w:rsidRDefault="00DC458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>Using values calculated by the PCAP, we assumed R-0</w:t>
            </w: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measures equated to a 1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% energy savings per </w:t>
            </w:r>
            <w:r w:rsidR="00DF0919">
              <w:rPr>
                <w:rFonts w:asciiTheme="minorHAnsi" w:hAnsiTheme="minorHAnsi"/>
                <w:sz w:val="22"/>
                <w:szCs w:val="22"/>
              </w:rPr>
              <w:t>housing unit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installed.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See Table </w:t>
            </w:r>
            <w:r w:rsidR="008B3770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and Attachment “</w:t>
            </w:r>
            <w:r w:rsidRPr="002B7EA5">
              <w:rPr>
                <w:rFonts w:asciiTheme="minorHAnsi" w:hAnsiTheme="minorHAnsi"/>
                <w:sz w:val="22"/>
                <w:szCs w:val="22"/>
              </w:rPr>
              <w:t>SEFL PCAP Calculations GHG Residential Measures</w:t>
            </w:r>
            <w:r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732D9A" w:rsidRPr="00707A60" w14:paraId="66E309DF" w14:textId="77777777">
        <w:tc>
          <w:tcPr>
            <w:tcW w:w="4976" w:type="dxa"/>
          </w:tcPr>
          <w:p w14:paraId="3837150F" w14:textId="2A71E65F" w:rsidR="00732D9A" w:rsidRPr="00707A60" w:rsidRDefault="004564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t>GHG Emissions Reduced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(all values in MT CO</w:t>
            </w:r>
            <w:r w:rsidRPr="00456462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e)</w:t>
            </w:r>
          </w:p>
        </w:tc>
        <w:tc>
          <w:tcPr>
            <w:tcW w:w="4976" w:type="dxa"/>
          </w:tcPr>
          <w:p w14:paraId="3AE27813" w14:textId="2E2F2744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2025-2030:</w:t>
            </w:r>
            <w:r w:rsidR="00D3533F">
              <w:rPr>
                <w:rFonts w:asciiTheme="minorHAnsi" w:hAnsiTheme="minorHAnsi"/>
                <w:sz w:val="22"/>
                <w:szCs w:val="22"/>
              </w:rPr>
              <w:t xml:space="preserve"> 236.17</w:t>
            </w:r>
          </w:p>
          <w:p w14:paraId="1D2542CD" w14:textId="65D988BC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2025-2030:</w:t>
            </w:r>
            <w:r w:rsidR="00D3533F">
              <w:rPr>
                <w:rFonts w:asciiTheme="minorHAnsi" w:hAnsiTheme="minorHAnsi"/>
                <w:sz w:val="22"/>
                <w:szCs w:val="22"/>
              </w:rPr>
              <w:t xml:space="preserve"> 1417</w:t>
            </w:r>
          </w:p>
          <w:p w14:paraId="39807A68" w14:textId="08C7F5B6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2025-2050:</w:t>
            </w:r>
            <w:r w:rsidR="00D353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6685B">
              <w:rPr>
                <w:rFonts w:asciiTheme="minorHAnsi" w:hAnsiTheme="minorHAnsi"/>
                <w:sz w:val="22"/>
                <w:szCs w:val="22"/>
              </w:rPr>
              <w:t>309.04</w:t>
            </w:r>
          </w:p>
          <w:p w14:paraId="553B817A" w14:textId="06F0D75A" w:rsidR="00732D9A" w:rsidRPr="00707A6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2025-2050:</w:t>
            </w:r>
            <w:r w:rsidR="00D353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6685B">
              <w:rPr>
                <w:rFonts w:asciiTheme="minorHAnsi" w:hAnsiTheme="minorHAnsi"/>
                <w:sz w:val="22"/>
                <w:szCs w:val="22"/>
              </w:rPr>
              <w:t>8035</w:t>
            </w:r>
          </w:p>
        </w:tc>
      </w:tr>
    </w:tbl>
    <w:p w14:paraId="026A1F7C" w14:textId="77777777" w:rsidR="00732D9A" w:rsidRDefault="00732D9A" w:rsidP="00BB48C4"/>
    <w:p w14:paraId="5815D7B5" w14:textId="4A493F42" w:rsidR="00880E44" w:rsidRPr="00707A60" w:rsidRDefault="00880E44" w:rsidP="00880E44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07A60">
        <w:rPr>
          <w:rFonts w:asciiTheme="minorHAnsi" w:hAnsiTheme="minorHAnsi"/>
          <w:b/>
          <w:bCs/>
          <w:sz w:val="22"/>
          <w:szCs w:val="22"/>
        </w:rPr>
        <w:t>R-0</w:t>
      </w:r>
      <w:r>
        <w:rPr>
          <w:rFonts w:asciiTheme="minorHAnsi" w:hAnsiTheme="minorHAnsi"/>
          <w:b/>
          <w:bCs/>
          <w:sz w:val="22"/>
          <w:szCs w:val="22"/>
        </w:rPr>
        <w:t>7</w:t>
      </w:r>
      <w:r w:rsidRPr="00707A60">
        <w:rPr>
          <w:rFonts w:asciiTheme="minorHAnsi" w:hAnsiTheme="minorHAnsi"/>
          <w:sz w:val="22"/>
          <w:szCs w:val="22"/>
        </w:rPr>
        <w:t xml:space="preserve"> </w:t>
      </w:r>
      <w:r w:rsidR="00473E64">
        <w:rPr>
          <w:rFonts w:asciiTheme="minorHAnsi" w:hAnsiTheme="minorHAnsi"/>
          <w:b/>
          <w:bCs/>
          <w:sz w:val="22"/>
          <w:szCs w:val="22"/>
        </w:rPr>
        <w:t>Domestic Hot Water – Heat Pump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6"/>
        <w:gridCol w:w="4976"/>
      </w:tblGrid>
      <w:tr w:rsidR="00880E44" w:rsidRPr="00707A60" w14:paraId="3F3001DF" w14:textId="77777777">
        <w:tc>
          <w:tcPr>
            <w:tcW w:w="4976" w:type="dxa"/>
          </w:tcPr>
          <w:p w14:paraId="7709B06E" w14:textId="77777777" w:rsidR="00880E44" w:rsidRPr="00707A60" w:rsidRDefault="00880E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Models/Tools Used</w:t>
            </w:r>
          </w:p>
        </w:tc>
        <w:tc>
          <w:tcPr>
            <w:tcW w:w="4976" w:type="dxa"/>
          </w:tcPr>
          <w:p w14:paraId="49C2547C" w14:textId="3CCA4541" w:rsidR="00880E44" w:rsidRPr="00707A60" w:rsidRDefault="002718B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ICLEI </w:t>
            </w:r>
            <w:proofErr w:type="spellStart"/>
            <w:r w:rsidRPr="00707A60">
              <w:rPr>
                <w:rFonts w:asciiTheme="minorHAnsi" w:hAnsiTheme="minorHAnsi"/>
                <w:sz w:val="22"/>
                <w:szCs w:val="22"/>
              </w:rPr>
              <w:t>Clearpath</w:t>
            </w:r>
            <w:proofErr w:type="spellEnd"/>
            <w:r w:rsidRPr="00707A60">
              <w:rPr>
                <w:rFonts w:asciiTheme="minorHAnsi" w:hAnsiTheme="minorHAnsi"/>
                <w:sz w:val="22"/>
                <w:szCs w:val="22"/>
              </w:rPr>
              <w:t xml:space="preserve"> Planning and Forecast Wizard tool, </w:t>
            </w:r>
            <w:r>
              <w:rPr>
                <w:rFonts w:asciiTheme="minorHAnsi" w:hAnsiTheme="minorHAnsi"/>
                <w:sz w:val="22"/>
                <w:szCs w:val="22"/>
              </w:rPr>
              <w:t>“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>High Impact Action - Residential Electrification And Efficiency</w:t>
            </w:r>
            <w:r>
              <w:rPr>
                <w:rFonts w:asciiTheme="minorHAnsi" w:hAnsiTheme="minorHAnsi"/>
                <w:sz w:val="22"/>
                <w:szCs w:val="22"/>
              </w:rPr>
              <w:t>”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calculator.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This calculator asks for energy use in baseline year (2019), “p</w:t>
            </w:r>
            <w:r w:rsidRPr="00EC1CCC">
              <w:rPr>
                <w:rFonts w:asciiTheme="minorHAnsi" w:hAnsiTheme="minorHAnsi"/>
                <w:sz w:val="22"/>
                <w:szCs w:val="22"/>
              </w:rPr>
              <w:t>ercent of existing housing units receiving efficiency retrofit per year</w:t>
            </w:r>
            <w:r>
              <w:rPr>
                <w:rFonts w:asciiTheme="minorHAnsi" w:hAnsiTheme="minorHAnsi"/>
                <w:sz w:val="22"/>
                <w:szCs w:val="22"/>
              </w:rPr>
              <w:t>,” and “s</w:t>
            </w:r>
            <w:r w:rsidRPr="0089627B">
              <w:rPr>
                <w:rFonts w:asciiTheme="minorHAnsi" w:hAnsiTheme="minorHAnsi"/>
                <w:sz w:val="22"/>
                <w:szCs w:val="22"/>
              </w:rPr>
              <w:t>avings from efficiency retrofit of existing buildings</w:t>
            </w:r>
            <w:r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880E44" w:rsidRPr="00707A60" w14:paraId="7095FA96" w14:textId="77777777">
        <w:tc>
          <w:tcPr>
            <w:tcW w:w="4976" w:type="dxa"/>
          </w:tcPr>
          <w:p w14:paraId="2FC4A646" w14:textId="77777777" w:rsidR="00880E44" w:rsidRPr="00707A60" w:rsidRDefault="00880E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 Implementation Assumptions</w:t>
            </w:r>
          </w:p>
        </w:tc>
        <w:tc>
          <w:tcPr>
            <w:tcW w:w="4976" w:type="dxa"/>
          </w:tcPr>
          <w:p w14:paraId="262B923D" w14:textId="04D5BD4B" w:rsidR="00880E44" w:rsidRPr="00707A60" w:rsidRDefault="00880E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Applied the implementation value for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KS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See Table 2a. We modeled that the measures were implemented from 202</w:t>
            </w:r>
            <w:r w:rsidR="000C6D74">
              <w:rPr>
                <w:rFonts w:asciiTheme="minorHAnsi" w:hAnsiTheme="minorHAnsi"/>
                <w:sz w:val="22"/>
                <w:szCs w:val="22"/>
              </w:rPr>
              <w:t>6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to 2030 only.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880E44" w:rsidRPr="00707A60" w14:paraId="30184BF8" w14:textId="77777777">
        <w:tc>
          <w:tcPr>
            <w:tcW w:w="4976" w:type="dxa"/>
          </w:tcPr>
          <w:p w14:paraId="33D8A98A" w14:textId="77777777" w:rsidR="00880E44" w:rsidRPr="00707A60" w:rsidRDefault="00880E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Reference Case Scenario (GHG Emissions or Activity Level)</w:t>
            </w:r>
          </w:p>
        </w:tc>
        <w:tc>
          <w:tcPr>
            <w:tcW w:w="4976" w:type="dxa"/>
          </w:tcPr>
          <w:p w14:paraId="19ECE4F5" w14:textId="77777777" w:rsidR="00880E44" w:rsidRPr="00707A60" w:rsidRDefault="00880E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The BAU scenario used projects 2019 Residential Electricity Use values out to 2050 (see above for what inputs were used in this projection). </w:t>
            </w:r>
          </w:p>
        </w:tc>
      </w:tr>
      <w:tr w:rsidR="00880E44" w:rsidRPr="00707A60" w14:paraId="4C7FF080" w14:textId="77777777">
        <w:tc>
          <w:tcPr>
            <w:tcW w:w="4976" w:type="dxa"/>
          </w:tcPr>
          <w:p w14:paraId="2F272F14" w14:textId="77777777" w:rsidR="00880E44" w:rsidRPr="00707A60" w:rsidRDefault="00880E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Measure-Specific Activity Data</w:t>
            </w:r>
          </w:p>
        </w:tc>
        <w:tc>
          <w:tcPr>
            <w:tcW w:w="4976" w:type="dxa"/>
          </w:tcPr>
          <w:p w14:paraId="0D45DEC5" w14:textId="7FB2FC90" w:rsidR="00880E44" w:rsidRPr="00707A60" w:rsidRDefault="00880E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>Using values calculated by the PCAP, we assumed R-0</w:t>
            </w:r>
            <w:r w:rsidR="00B92388">
              <w:rPr>
                <w:rFonts w:asciiTheme="minorHAnsi" w:hAnsiTheme="minorHAnsi"/>
                <w:sz w:val="22"/>
                <w:szCs w:val="22"/>
              </w:rPr>
              <w:t>7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measures equated to a </w:t>
            </w:r>
            <w:r w:rsidR="00B92388">
              <w:rPr>
                <w:rFonts w:asciiTheme="minorHAnsi" w:hAnsiTheme="minorHAnsi"/>
                <w:sz w:val="22"/>
                <w:szCs w:val="22"/>
              </w:rPr>
              <w:t>6.9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% energy savings per </w:t>
            </w:r>
            <w:r w:rsidR="00DF0919">
              <w:rPr>
                <w:rFonts w:asciiTheme="minorHAnsi" w:hAnsiTheme="minorHAnsi"/>
                <w:sz w:val="22"/>
                <w:szCs w:val="22"/>
              </w:rPr>
              <w:t>housing unit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installed.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 See Table </w:t>
            </w:r>
            <w:r w:rsidR="005C562F">
              <w:rPr>
                <w:rFonts w:asciiTheme="minorHAnsi" w:hAnsiTheme="minorHAnsi"/>
                <w:sz w:val="22"/>
                <w:szCs w:val="22"/>
              </w:rPr>
              <w:t>3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 and </w:t>
            </w:r>
            <w:r w:rsidR="002B7EA5">
              <w:rPr>
                <w:rFonts w:asciiTheme="minorHAnsi" w:hAnsiTheme="minorHAnsi"/>
                <w:sz w:val="22"/>
                <w:szCs w:val="22"/>
              </w:rPr>
              <w:t>Attachment “</w:t>
            </w:r>
            <w:r w:rsidR="002B7EA5" w:rsidRPr="002B7EA5">
              <w:rPr>
                <w:rFonts w:asciiTheme="minorHAnsi" w:hAnsiTheme="minorHAnsi"/>
                <w:sz w:val="22"/>
                <w:szCs w:val="22"/>
              </w:rPr>
              <w:t>SEFL PCAP Calculations GHG Residential Measures</w:t>
            </w:r>
            <w:r w:rsidR="002B7EA5"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880E44" w:rsidRPr="00707A60" w14:paraId="1DB21127" w14:textId="77777777">
        <w:tc>
          <w:tcPr>
            <w:tcW w:w="4976" w:type="dxa"/>
          </w:tcPr>
          <w:p w14:paraId="633A3C88" w14:textId="79747046" w:rsidR="00880E44" w:rsidRPr="00707A60" w:rsidRDefault="004564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t>GHG Emissions Reduced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(all values in MT CO</w:t>
            </w:r>
            <w:r w:rsidRPr="00456462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e)</w:t>
            </w:r>
          </w:p>
        </w:tc>
        <w:tc>
          <w:tcPr>
            <w:tcW w:w="4976" w:type="dxa"/>
          </w:tcPr>
          <w:p w14:paraId="5334CC0F" w14:textId="28CDEF29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2025-2030:</w:t>
            </w:r>
            <w:r w:rsidR="00D3533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5379D">
              <w:rPr>
                <w:rFonts w:asciiTheme="minorHAnsi" w:hAnsiTheme="minorHAnsi"/>
                <w:sz w:val="22"/>
                <w:szCs w:val="22"/>
              </w:rPr>
              <w:t>135.67</w:t>
            </w:r>
          </w:p>
          <w:p w14:paraId="2B852E65" w14:textId="3B029FBD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2025-2030:</w:t>
            </w:r>
            <w:r w:rsidR="0095379D">
              <w:rPr>
                <w:rFonts w:asciiTheme="minorHAnsi" w:hAnsiTheme="minorHAnsi"/>
                <w:sz w:val="22"/>
                <w:szCs w:val="22"/>
              </w:rPr>
              <w:t xml:space="preserve"> 814</w:t>
            </w:r>
          </w:p>
          <w:p w14:paraId="2F51B574" w14:textId="5FCF9C10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2025-2050:</w:t>
            </w:r>
            <w:r w:rsidR="0095379D">
              <w:rPr>
                <w:rFonts w:asciiTheme="minorHAnsi" w:hAnsiTheme="minorHAnsi"/>
                <w:sz w:val="22"/>
                <w:szCs w:val="22"/>
              </w:rPr>
              <w:t xml:space="preserve"> 177</w:t>
            </w:r>
            <w:r w:rsidR="00F94E45">
              <w:rPr>
                <w:rFonts w:asciiTheme="minorHAnsi" w:hAnsiTheme="minorHAnsi"/>
                <w:sz w:val="22"/>
                <w:szCs w:val="22"/>
              </w:rPr>
              <w:t>.69</w:t>
            </w:r>
          </w:p>
          <w:p w14:paraId="6C0F3005" w14:textId="5404350A" w:rsidR="00880E44" w:rsidRPr="00707A6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2025-2050:</w:t>
            </w:r>
            <w:r w:rsidR="00F94E45">
              <w:rPr>
                <w:rFonts w:asciiTheme="minorHAnsi" w:hAnsiTheme="minorHAnsi"/>
                <w:sz w:val="22"/>
                <w:szCs w:val="22"/>
              </w:rPr>
              <w:t xml:space="preserve"> 4620</w:t>
            </w:r>
          </w:p>
        </w:tc>
      </w:tr>
    </w:tbl>
    <w:p w14:paraId="7EA697AE" w14:textId="77777777" w:rsidR="00880E44" w:rsidRDefault="00880E44" w:rsidP="00BB48C4"/>
    <w:p w14:paraId="09404591" w14:textId="3A6C4D36" w:rsidR="00473E64" w:rsidRPr="00707A60" w:rsidRDefault="00473E64" w:rsidP="00473E64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07A60">
        <w:rPr>
          <w:rFonts w:asciiTheme="minorHAnsi" w:hAnsiTheme="minorHAnsi"/>
          <w:b/>
          <w:bCs/>
          <w:sz w:val="22"/>
          <w:szCs w:val="22"/>
        </w:rPr>
        <w:t>R-0</w:t>
      </w:r>
      <w:r w:rsidR="005778EC">
        <w:rPr>
          <w:rFonts w:asciiTheme="minorHAnsi" w:hAnsiTheme="minorHAnsi"/>
          <w:b/>
          <w:bCs/>
          <w:sz w:val="22"/>
          <w:szCs w:val="22"/>
        </w:rPr>
        <w:t>8 Domestic Hot Water – Solar Water Heater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6"/>
        <w:gridCol w:w="4976"/>
      </w:tblGrid>
      <w:tr w:rsidR="00473E64" w:rsidRPr="00707A60" w14:paraId="544F15BB" w14:textId="77777777">
        <w:tc>
          <w:tcPr>
            <w:tcW w:w="4976" w:type="dxa"/>
          </w:tcPr>
          <w:p w14:paraId="30B6134A" w14:textId="77777777" w:rsidR="00473E64" w:rsidRPr="00707A60" w:rsidRDefault="00473E6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Models/Tools Used</w:t>
            </w:r>
          </w:p>
        </w:tc>
        <w:tc>
          <w:tcPr>
            <w:tcW w:w="4976" w:type="dxa"/>
          </w:tcPr>
          <w:p w14:paraId="540EBBFF" w14:textId="0F0FDDD9" w:rsidR="00473E64" w:rsidRPr="00707A60" w:rsidRDefault="002718B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ICLEI </w:t>
            </w:r>
            <w:proofErr w:type="spellStart"/>
            <w:r w:rsidRPr="00707A60">
              <w:rPr>
                <w:rFonts w:asciiTheme="minorHAnsi" w:hAnsiTheme="minorHAnsi"/>
                <w:sz w:val="22"/>
                <w:szCs w:val="22"/>
              </w:rPr>
              <w:t>Clearpath</w:t>
            </w:r>
            <w:proofErr w:type="spellEnd"/>
            <w:r w:rsidRPr="00707A60">
              <w:rPr>
                <w:rFonts w:asciiTheme="minorHAnsi" w:hAnsiTheme="minorHAnsi"/>
                <w:sz w:val="22"/>
                <w:szCs w:val="22"/>
              </w:rPr>
              <w:t xml:space="preserve"> Planning and Forecast Wizard tool, </w:t>
            </w:r>
            <w:r>
              <w:rPr>
                <w:rFonts w:asciiTheme="minorHAnsi" w:hAnsiTheme="minorHAnsi"/>
                <w:sz w:val="22"/>
                <w:szCs w:val="22"/>
              </w:rPr>
              <w:t>“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High Impact Action - Residential </w:t>
            </w:r>
            <w:r w:rsidRPr="00707A60">
              <w:rPr>
                <w:rFonts w:asciiTheme="minorHAnsi" w:hAnsiTheme="minorHAnsi"/>
                <w:sz w:val="22"/>
                <w:szCs w:val="22"/>
              </w:rPr>
              <w:lastRenderedPageBreak/>
              <w:t>Electrification And Efficiency</w:t>
            </w:r>
            <w:r>
              <w:rPr>
                <w:rFonts w:asciiTheme="minorHAnsi" w:hAnsiTheme="minorHAnsi"/>
                <w:sz w:val="22"/>
                <w:szCs w:val="22"/>
              </w:rPr>
              <w:t>”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calculator.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This calculator asks for energy use in baseline year (2019), “p</w:t>
            </w:r>
            <w:r w:rsidRPr="00EC1CCC">
              <w:rPr>
                <w:rFonts w:asciiTheme="minorHAnsi" w:hAnsiTheme="minorHAnsi"/>
                <w:sz w:val="22"/>
                <w:szCs w:val="22"/>
              </w:rPr>
              <w:t>ercent of existing housing units receiving efficiency retrofit per year</w:t>
            </w:r>
            <w:r>
              <w:rPr>
                <w:rFonts w:asciiTheme="minorHAnsi" w:hAnsiTheme="minorHAnsi"/>
                <w:sz w:val="22"/>
                <w:szCs w:val="22"/>
              </w:rPr>
              <w:t>,” and “s</w:t>
            </w:r>
            <w:r w:rsidRPr="0089627B">
              <w:rPr>
                <w:rFonts w:asciiTheme="minorHAnsi" w:hAnsiTheme="minorHAnsi"/>
                <w:sz w:val="22"/>
                <w:szCs w:val="22"/>
              </w:rPr>
              <w:t>avings from efficiency retrofit of existing buildings</w:t>
            </w:r>
            <w:r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473E64" w:rsidRPr="00707A60" w14:paraId="5066955B" w14:textId="77777777">
        <w:tc>
          <w:tcPr>
            <w:tcW w:w="4976" w:type="dxa"/>
          </w:tcPr>
          <w:p w14:paraId="79017694" w14:textId="77777777" w:rsidR="00473E64" w:rsidRPr="00707A60" w:rsidRDefault="00473E6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Measure Implementation Assumptions</w:t>
            </w:r>
          </w:p>
        </w:tc>
        <w:tc>
          <w:tcPr>
            <w:tcW w:w="4976" w:type="dxa"/>
          </w:tcPr>
          <w:p w14:paraId="482F0F31" w14:textId="1CDAB41D" w:rsidR="00473E64" w:rsidRPr="00707A60" w:rsidRDefault="00473E6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Applied the implementation values for </w:t>
            </w:r>
            <w:r w:rsidR="00F11EBA">
              <w:rPr>
                <w:rFonts w:asciiTheme="minorHAnsi" w:hAnsiTheme="minorHAnsi"/>
                <w:sz w:val="22"/>
                <w:szCs w:val="22"/>
              </w:rPr>
              <w:t>KS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See Table 2a. We modeled that the measures were implemented from 202</w:t>
            </w:r>
            <w:r w:rsidR="000C6D74">
              <w:rPr>
                <w:rFonts w:asciiTheme="minorHAnsi" w:hAnsiTheme="minorHAnsi"/>
                <w:sz w:val="22"/>
                <w:szCs w:val="22"/>
              </w:rPr>
              <w:t>6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to 2030 only.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473E64" w:rsidRPr="00707A60" w14:paraId="10493CC1" w14:textId="77777777">
        <w:tc>
          <w:tcPr>
            <w:tcW w:w="4976" w:type="dxa"/>
          </w:tcPr>
          <w:p w14:paraId="0EB31551" w14:textId="77777777" w:rsidR="00473E64" w:rsidRPr="00707A60" w:rsidRDefault="00473E6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Reference Case Scenario (GHG Emissions or Activity Level)</w:t>
            </w:r>
          </w:p>
        </w:tc>
        <w:tc>
          <w:tcPr>
            <w:tcW w:w="4976" w:type="dxa"/>
          </w:tcPr>
          <w:p w14:paraId="07457FEC" w14:textId="77777777" w:rsidR="00473E64" w:rsidRPr="00707A60" w:rsidRDefault="00473E6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The BAU scenario used projects 2019 Residential Electricity Use values out to 2050 (see above for what inputs were used in this projection). </w:t>
            </w:r>
          </w:p>
        </w:tc>
      </w:tr>
      <w:tr w:rsidR="00473E64" w:rsidRPr="00707A60" w14:paraId="60E327C5" w14:textId="77777777">
        <w:tc>
          <w:tcPr>
            <w:tcW w:w="4976" w:type="dxa"/>
          </w:tcPr>
          <w:p w14:paraId="64AC7E8B" w14:textId="77777777" w:rsidR="00473E64" w:rsidRPr="00707A60" w:rsidRDefault="00473E6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Measure-Specific Activity Data</w:t>
            </w:r>
          </w:p>
        </w:tc>
        <w:tc>
          <w:tcPr>
            <w:tcW w:w="4976" w:type="dxa"/>
          </w:tcPr>
          <w:p w14:paraId="487F90CF" w14:textId="05392E53" w:rsidR="00473E64" w:rsidRPr="00707A60" w:rsidRDefault="00473E6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>Using values calculated by the PCAP, we assumed R-0</w:t>
            </w:r>
            <w:r w:rsidR="00B92388">
              <w:rPr>
                <w:rFonts w:asciiTheme="minorHAnsi" w:hAnsiTheme="minorHAnsi"/>
                <w:sz w:val="22"/>
                <w:szCs w:val="22"/>
              </w:rPr>
              <w:t>8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measures equated to a </w:t>
            </w:r>
            <w:r w:rsidR="00DF0919">
              <w:rPr>
                <w:rFonts w:asciiTheme="minorHAnsi" w:hAnsiTheme="minorHAnsi"/>
                <w:sz w:val="22"/>
                <w:szCs w:val="22"/>
              </w:rPr>
              <w:t>7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% energy savings per </w:t>
            </w:r>
            <w:r w:rsidR="00DF0919">
              <w:rPr>
                <w:rFonts w:asciiTheme="minorHAnsi" w:hAnsiTheme="minorHAnsi"/>
                <w:sz w:val="22"/>
                <w:szCs w:val="22"/>
              </w:rPr>
              <w:t>housing unit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installed.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 See Table </w:t>
            </w:r>
            <w:r w:rsidR="005C562F">
              <w:rPr>
                <w:rFonts w:asciiTheme="minorHAnsi" w:hAnsiTheme="minorHAnsi"/>
                <w:sz w:val="22"/>
                <w:szCs w:val="22"/>
              </w:rPr>
              <w:t>3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 and </w:t>
            </w:r>
            <w:r w:rsidR="002B7EA5">
              <w:rPr>
                <w:rFonts w:asciiTheme="minorHAnsi" w:hAnsiTheme="minorHAnsi"/>
                <w:sz w:val="22"/>
                <w:szCs w:val="22"/>
              </w:rPr>
              <w:t>Attachment “</w:t>
            </w:r>
            <w:r w:rsidR="002B7EA5" w:rsidRPr="002B7EA5">
              <w:rPr>
                <w:rFonts w:asciiTheme="minorHAnsi" w:hAnsiTheme="minorHAnsi"/>
                <w:sz w:val="22"/>
                <w:szCs w:val="22"/>
              </w:rPr>
              <w:t>SEFL PCAP Calculations GHG Residential Measures</w:t>
            </w:r>
            <w:r w:rsidR="002B7EA5"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473E64" w:rsidRPr="00707A60" w14:paraId="7126EBCD" w14:textId="77777777">
        <w:tc>
          <w:tcPr>
            <w:tcW w:w="4976" w:type="dxa"/>
          </w:tcPr>
          <w:p w14:paraId="057990DA" w14:textId="530F6952" w:rsidR="00473E64" w:rsidRPr="00707A60" w:rsidRDefault="004564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t>GHG Emissions Reduced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(all values in MT CO</w:t>
            </w:r>
            <w:r w:rsidRPr="00456462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e)</w:t>
            </w:r>
          </w:p>
        </w:tc>
        <w:tc>
          <w:tcPr>
            <w:tcW w:w="4976" w:type="dxa"/>
          </w:tcPr>
          <w:p w14:paraId="44F19E0B" w14:textId="67C30D4C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2025-2030:</w:t>
            </w:r>
            <w:r w:rsidR="00F94E4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84F6A">
              <w:rPr>
                <w:rFonts w:asciiTheme="minorHAnsi" w:hAnsiTheme="minorHAnsi"/>
                <w:sz w:val="22"/>
                <w:szCs w:val="22"/>
              </w:rPr>
              <w:t>137.67</w:t>
            </w:r>
          </w:p>
          <w:p w14:paraId="0448DD86" w14:textId="5DC41E3E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2025-2030:</w:t>
            </w:r>
            <w:r w:rsidR="00E84F6A">
              <w:rPr>
                <w:rFonts w:asciiTheme="minorHAnsi" w:hAnsiTheme="minorHAnsi"/>
                <w:sz w:val="22"/>
                <w:szCs w:val="22"/>
              </w:rPr>
              <w:t xml:space="preserve"> 826</w:t>
            </w:r>
          </w:p>
          <w:p w14:paraId="7A6702C4" w14:textId="194F8AA6" w:rsidR="00251C9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 2025-2050:</w:t>
            </w:r>
            <w:r w:rsidR="00E84F6A">
              <w:rPr>
                <w:rFonts w:asciiTheme="minorHAnsi" w:hAnsiTheme="minorHAnsi"/>
                <w:sz w:val="22"/>
                <w:szCs w:val="22"/>
              </w:rPr>
              <w:t xml:space="preserve"> 180.19</w:t>
            </w:r>
          </w:p>
          <w:p w14:paraId="43355C68" w14:textId="3EF3EDAC" w:rsidR="00473E64" w:rsidRPr="00707A60" w:rsidRDefault="00251C90" w:rsidP="00251C90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2025-2050:</w:t>
            </w:r>
            <w:r w:rsidR="00E84F6A">
              <w:rPr>
                <w:rFonts w:asciiTheme="minorHAnsi" w:hAnsiTheme="minorHAnsi"/>
                <w:sz w:val="22"/>
                <w:szCs w:val="22"/>
              </w:rPr>
              <w:t xml:space="preserve"> 4685</w:t>
            </w:r>
          </w:p>
        </w:tc>
      </w:tr>
    </w:tbl>
    <w:p w14:paraId="3951914F" w14:textId="77777777" w:rsidR="00473E64" w:rsidRDefault="00473E64" w:rsidP="00BB48C4"/>
    <w:p w14:paraId="634DDE7D" w14:textId="281100CD" w:rsidR="005778EC" w:rsidRPr="00707A60" w:rsidRDefault="005778EC" w:rsidP="005778EC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07A60">
        <w:rPr>
          <w:rFonts w:asciiTheme="minorHAnsi" w:hAnsiTheme="minorHAnsi"/>
          <w:b/>
          <w:bCs/>
          <w:sz w:val="22"/>
          <w:szCs w:val="22"/>
        </w:rPr>
        <w:t>R-0</w:t>
      </w:r>
      <w:r w:rsidR="00733ED9">
        <w:rPr>
          <w:rFonts w:asciiTheme="minorHAnsi" w:hAnsiTheme="minorHAnsi"/>
          <w:b/>
          <w:bCs/>
          <w:sz w:val="22"/>
          <w:szCs w:val="22"/>
        </w:rPr>
        <w:t>9 Smart Thermostat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6"/>
        <w:gridCol w:w="4976"/>
      </w:tblGrid>
      <w:tr w:rsidR="005778EC" w:rsidRPr="00707A60" w14:paraId="33A5E62D" w14:textId="77777777" w:rsidTr="774FE9DD">
        <w:tc>
          <w:tcPr>
            <w:tcW w:w="4976" w:type="dxa"/>
          </w:tcPr>
          <w:p w14:paraId="4D600516" w14:textId="77777777" w:rsidR="005778EC" w:rsidRPr="00707A60" w:rsidRDefault="005778E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Models/Tools Used</w:t>
            </w:r>
          </w:p>
        </w:tc>
        <w:tc>
          <w:tcPr>
            <w:tcW w:w="4976" w:type="dxa"/>
          </w:tcPr>
          <w:p w14:paraId="77AFF062" w14:textId="568E5B4D" w:rsidR="005778EC" w:rsidRPr="00707A60" w:rsidRDefault="002718B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ICLEI </w:t>
            </w:r>
            <w:proofErr w:type="spellStart"/>
            <w:r w:rsidRPr="00707A60">
              <w:rPr>
                <w:rFonts w:asciiTheme="minorHAnsi" w:hAnsiTheme="minorHAnsi"/>
                <w:sz w:val="22"/>
                <w:szCs w:val="22"/>
              </w:rPr>
              <w:t>Clearpath</w:t>
            </w:r>
            <w:proofErr w:type="spellEnd"/>
            <w:r w:rsidRPr="00707A60">
              <w:rPr>
                <w:rFonts w:asciiTheme="minorHAnsi" w:hAnsiTheme="minorHAnsi"/>
                <w:sz w:val="22"/>
                <w:szCs w:val="22"/>
              </w:rPr>
              <w:t xml:space="preserve"> Planning and Forecast Wizard tool, </w:t>
            </w:r>
            <w:r>
              <w:rPr>
                <w:rFonts w:asciiTheme="minorHAnsi" w:hAnsiTheme="minorHAnsi"/>
                <w:sz w:val="22"/>
                <w:szCs w:val="22"/>
              </w:rPr>
              <w:t>“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>High Impact Action - Residential Electrification And Efficiency</w:t>
            </w:r>
            <w:r>
              <w:rPr>
                <w:rFonts w:asciiTheme="minorHAnsi" w:hAnsiTheme="minorHAnsi"/>
                <w:sz w:val="22"/>
                <w:szCs w:val="22"/>
              </w:rPr>
              <w:t>”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calculator.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This calculator asks for energy use in baseline year (2019), “p</w:t>
            </w:r>
            <w:r w:rsidRPr="00EC1CCC">
              <w:rPr>
                <w:rFonts w:asciiTheme="minorHAnsi" w:hAnsiTheme="minorHAnsi"/>
                <w:sz w:val="22"/>
                <w:szCs w:val="22"/>
              </w:rPr>
              <w:t>ercent of existing housing units receiving efficiency retrofit per year</w:t>
            </w:r>
            <w:r>
              <w:rPr>
                <w:rFonts w:asciiTheme="minorHAnsi" w:hAnsiTheme="minorHAnsi"/>
                <w:sz w:val="22"/>
                <w:szCs w:val="22"/>
              </w:rPr>
              <w:t>,” and “s</w:t>
            </w:r>
            <w:r w:rsidRPr="0089627B">
              <w:rPr>
                <w:rFonts w:asciiTheme="minorHAnsi" w:hAnsiTheme="minorHAnsi"/>
                <w:sz w:val="22"/>
                <w:szCs w:val="22"/>
              </w:rPr>
              <w:t>avings from efficiency retrofit of existing buildings</w:t>
            </w:r>
            <w:r>
              <w:rPr>
                <w:rFonts w:asciiTheme="minorHAnsi" w:hAnsiTheme="minorHAnsi"/>
                <w:sz w:val="22"/>
                <w:szCs w:val="22"/>
              </w:rPr>
              <w:t>.”</w:t>
            </w:r>
          </w:p>
        </w:tc>
      </w:tr>
      <w:tr w:rsidR="005778EC" w:rsidRPr="00707A60" w14:paraId="26642C03" w14:textId="77777777" w:rsidTr="774FE9DD">
        <w:tc>
          <w:tcPr>
            <w:tcW w:w="4976" w:type="dxa"/>
          </w:tcPr>
          <w:p w14:paraId="7E7C0883" w14:textId="77777777" w:rsidR="005778EC" w:rsidRPr="00707A60" w:rsidRDefault="005778E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 Implementation Assumptions</w:t>
            </w:r>
          </w:p>
        </w:tc>
        <w:tc>
          <w:tcPr>
            <w:tcW w:w="4976" w:type="dxa"/>
          </w:tcPr>
          <w:p w14:paraId="775F8452" w14:textId="63DB46AA" w:rsidR="005778EC" w:rsidRPr="00707A60" w:rsidRDefault="005778E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Applied the implementation values for both KS and MC. </w:t>
            </w:r>
            <w:r w:rsidR="00F11EBA">
              <w:rPr>
                <w:rFonts w:asciiTheme="minorHAnsi" w:hAnsiTheme="minorHAnsi"/>
                <w:sz w:val="22"/>
                <w:szCs w:val="22"/>
              </w:rPr>
              <w:t>See Table 2a. We modeled that the measures were implemented from 202</w:t>
            </w:r>
            <w:r w:rsidR="000C6D74">
              <w:rPr>
                <w:rFonts w:asciiTheme="minorHAnsi" w:hAnsiTheme="minorHAnsi"/>
                <w:sz w:val="22"/>
                <w:szCs w:val="22"/>
              </w:rPr>
              <w:t>6</w:t>
            </w:r>
            <w:r w:rsidR="00F11EBA">
              <w:rPr>
                <w:rFonts w:asciiTheme="minorHAnsi" w:hAnsiTheme="minorHAnsi"/>
                <w:sz w:val="22"/>
                <w:szCs w:val="22"/>
              </w:rPr>
              <w:t xml:space="preserve"> to 2030 only.</w:t>
            </w:r>
          </w:p>
        </w:tc>
      </w:tr>
      <w:tr w:rsidR="005778EC" w:rsidRPr="00707A60" w14:paraId="667C344A" w14:textId="77777777" w:rsidTr="774FE9DD">
        <w:tc>
          <w:tcPr>
            <w:tcW w:w="4976" w:type="dxa"/>
          </w:tcPr>
          <w:p w14:paraId="28644474" w14:textId="77777777" w:rsidR="005778EC" w:rsidRPr="00707A60" w:rsidRDefault="005778E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Reference Case Scenario (GHG Emissions or Activity Level)</w:t>
            </w:r>
          </w:p>
        </w:tc>
        <w:tc>
          <w:tcPr>
            <w:tcW w:w="4976" w:type="dxa"/>
          </w:tcPr>
          <w:p w14:paraId="29A2D2C2" w14:textId="77777777" w:rsidR="005778EC" w:rsidRPr="00707A60" w:rsidRDefault="005778E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 xml:space="preserve">The BAU scenario used projects 2019 Residential Electricity Use values out to 2050 (see above for what inputs were used in this projection). </w:t>
            </w:r>
          </w:p>
        </w:tc>
      </w:tr>
      <w:tr w:rsidR="005778EC" w:rsidRPr="00707A60" w14:paraId="18C01DB6" w14:textId="77777777" w:rsidTr="774FE9DD">
        <w:tc>
          <w:tcPr>
            <w:tcW w:w="4976" w:type="dxa"/>
          </w:tcPr>
          <w:p w14:paraId="45EEF697" w14:textId="77777777" w:rsidR="005778EC" w:rsidRPr="00707A60" w:rsidRDefault="005778E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bCs/>
                <w:sz w:val="22"/>
                <w:szCs w:val="22"/>
              </w:rPr>
              <w:t>Measure-Specific Activity Data</w:t>
            </w:r>
          </w:p>
        </w:tc>
        <w:tc>
          <w:tcPr>
            <w:tcW w:w="4976" w:type="dxa"/>
          </w:tcPr>
          <w:p w14:paraId="7B76D46C" w14:textId="71FA3FC6" w:rsidR="005778EC" w:rsidRPr="00707A60" w:rsidRDefault="005778EC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sz w:val="22"/>
                <w:szCs w:val="22"/>
              </w:rPr>
              <w:t>Using values calculated by the PCAP, we assumed R-0</w:t>
            </w:r>
            <w:r w:rsidR="00DF0919">
              <w:rPr>
                <w:rFonts w:asciiTheme="minorHAnsi" w:hAnsiTheme="minorHAnsi"/>
                <w:sz w:val="22"/>
                <w:szCs w:val="22"/>
              </w:rPr>
              <w:t>9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measures equated to a </w:t>
            </w:r>
            <w:r w:rsidR="00DF0919">
              <w:rPr>
                <w:rFonts w:asciiTheme="minorHAnsi" w:hAnsiTheme="minorHAnsi"/>
                <w:sz w:val="22"/>
                <w:szCs w:val="22"/>
              </w:rPr>
              <w:t>2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% energy savings per </w:t>
            </w:r>
            <w:r w:rsidR="00DF0919">
              <w:rPr>
                <w:rFonts w:asciiTheme="minorHAnsi" w:hAnsiTheme="minorHAnsi"/>
                <w:sz w:val="22"/>
                <w:szCs w:val="22"/>
              </w:rPr>
              <w:t>housing unit</w:t>
            </w:r>
            <w:r w:rsidRPr="00707A60">
              <w:rPr>
                <w:rFonts w:asciiTheme="minorHAnsi" w:hAnsiTheme="minorHAnsi"/>
                <w:sz w:val="22"/>
                <w:szCs w:val="22"/>
              </w:rPr>
              <w:t xml:space="preserve"> installed.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 See Table </w:t>
            </w:r>
            <w:r w:rsidR="005C562F">
              <w:rPr>
                <w:rFonts w:asciiTheme="minorHAnsi" w:hAnsiTheme="minorHAnsi"/>
                <w:sz w:val="22"/>
                <w:szCs w:val="22"/>
              </w:rPr>
              <w:t>3</w:t>
            </w:r>
            <w:r w:rsidR="00096204">
              <w:rPr>
                <w:rFonts w:asciiTheme="minorHAnsi" w:hAnsiTheme="minorHAnsi"/>
                <w:sz w:val="22"/>
                <w:szCs w:val="22"/>
              </w:rPr>
              <w:t xml:space="preserve"> and </w:t>
            </w:r>
            <w:r w:rsidR="002B7EA5">
              <w:rPr>
                <w:rFonts w:asciiTheme="minorHAnsi" w:hAnsiTheme="minorHAnsi"/>
                <w:sz w:val="22"/>
                <w:szCs w:val="22"/>
              </w:rPr>
              <w:t>Attachment “</w:t>
            </w:r>
            <w:r w:rsidR="002B7EA5" w:rsidRPr="002B7EA5">
              <w:rPr>
                <w:rFonts w:asciiTheme="minorHAnsi" w:hAnsiTheme="minorHAnsi"/>
                <w:sz w:val="22"/>
                <w:szCs w:val="22"/>
              </w:rPr>
              <w:t>SEFL PCAP Calculations GHG Residential Measures</w:t>
            </w:r>
            <w:r w:rsidR="002B7EA5">
              <w:rPr>
                <w:rFonts w:asciiTheme="minorHAnsi" w:hAnsiTheme="minorHAnsi"/>
                <w:sz w:val="22"/>
                <w:szCs w:val="22"/>
              </w:rPr>
              <w:t>.”</w:t>
            </w:r>
            <w:r w:rsidR="003F3CB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F3CB4" w:rsidRPr="00707A60">
              <w:rPr>
                <w:rFonts w:asciiTheme="minorHAnsi" w:hAnsiTheme="minorHAnsi"/>
                <w:sz w:val="22"/>
                <w:szCs w:val="22"/>
              </w:rPr>
              <w:t xml:space="preserve">GHG reduction estimate </w:t>
            </w:r>
            <w:r w:rsidR="003F3CB4">
              <w:rPr>
                <w:rFonts w:asciiTheme="minorHAnsi" w:hAnsiTheme="minorHAnsi"/>
                <w:sz w:val="22"/>
                <w:szCs w:val="22"/>
              </w:rPr>
              <w:t>calculated for R-09 with KS and MC implementation rates and then summed.</w:t>
            </w:r>
          </w:p>
        </w:tc>
      </w:tr>
      <w:tr w:rsidR="005778EC" w:rsidRPr="00707A60" w14:paraId="4A7CAC78" w14:textId="77777777" w:rsidTr="774FE9DD">
        <w:tc>
          <w:tcPr>
            <w:tcW w:w="4976" w:type="dxa"/>
          </w:tcPr>
          <w:p w14:paraId="1D4086F1" w14:textId="1EC93DA3" w:rsidR="005778EC" w:rsidRPr="00707A60" w:rsidRDefault="0045646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707A60">
              <w:rPr>
                <w:rFonts w:asciiTheme="minorHAnsi" w:hAnsiTheme="minorHAnsi"/>
                <w:b/>
                <w:sz w:val="22"/>
                <w:szCs w:val="22"/>
              </w:rPr>
              <w:t>GHG Emissions Reduced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(all values in MT CO</w:t>
            </w:r>
            <w:r w:rsidRPr="00456462">
              <w:rPr>
                <w:rFonts w:asciiTheme="minorHAnsi" w:hAnsiTheme="minorHAnsi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e)</w:t>
            </w:r>
          </w:p>
        </w:tc>
        <w:tc>
          <w:tcPr>
            <w:tcW w:w="4976" w:type="dxa"/>
          </w:tcPr>
          <w:p w14:paraId="43F27D96" w14:textId="1758F76B" w:rsidR="00703055" w:rsidRDefault="00703055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reduction</w:t>
            </w:r>
            <w:r w:rsidR="004C5252">
              <w:rPr>
                <w:rFonts w:asciiTheme="minorHAnsi" w:hAnsiTheme="minorHAnsi"/>
                <w:sz w:val="22"/>
                <w:szCs w:val="22"/>
              </w:rPr>
              <w:t xml:space="preserve"> 2025-</w:t>
            </w:r>
            <w:r w:rsidR="00BD442E">
              <w:rPr>
                <w:rFonts w:asciiTheme="minorHAnsi" w:hAnsiTheme="minorHAnsi"/>
                <w:sz w:val="22"/>
                <w:szCs w:val="22"/>
              </w:rPr>
              <w:t>2030:</w:t>
            </w:r>
            <w:r w:rsidR="00E84F6A">
              <w:rPr>
                <w:rFonts w:asciiTheme="minorHAnsi" w:hAnsiTheme="minorHAnsi"/>
                <w:sz w:val="22"/>
                <w:szCs w:val="22"/>
              </w:rPr>
              <w:t xml:space="preserve"> 43.67</w:t>
            </w:r>
          </w:p>
          <w:p w14:paraId="72D6200B" w14:textId="799FA14C" w:rsidR="005778EC" w:rsidRDefault="00BD442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Total reduction </w:t>
            </w:r>
            <w:r w:rsidR="006425B3">
              <w:rPr>
                <w:rFonts w:asciiTheme="minorHAnsi" w:hAnsiTheme="minorHAnsi"/>
                <w:sz w:val="22"/>
                <w:szCs w:val="22"/>
              </w:rPr>
              <w:t>2025-2030:</w:t>
            </w:r>
            <w:r w:rsidR="00E84F6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A4CE1">
              <w:rPr>
                <w:rFonts w:asciiTheme="minorHAnsi" w:hAnsiTheme="minorHAnsi"/>
                <w:sz w:val="22"/>
                <w:szCs w:val="22"/>
              </w:rPr>
              <w:t>262</w:t>
            </w:r>
          </w:p>
          <w:p w14:paraId="76B1E3A6" w14:textId="4C1DB43F" w:rsidR="006425B3" w:rsidRDefault="00BD442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Annual reduction </w:t>
            </w:r>
            <w:r w:rsidR="00117F53">
              <w:rPr>
                <w:rFonts w:asciiTheme="minorHAnsi" w:hAnsiTheme="minorHAnsi"/>
                <w:sz w:val="22"/>
                <w:szCs w:val="22"/>
              </w:rPr>
              <w:t>2025-2050:</w:t>
            </w:r>
            <w:r w:rsidR="00EA4CE1">
              <w:rPr>
                <w:rFonts w:asciiTheme="minorHAnsi" w:hAnsiTheme="minorHAnsi"/>
                <w:sz w:val="22"/>
                <w:szCs w:val="22"/>
              </w:rPr>
              <w:t xml:space="preserve"> 57.19</w:t>
            </w:r>
          </w:p>
          <w:p w14:paraId="15B1364C" w14:textId="01C7DA83" w:rsidR="00BD442E" w:rsidRPr="00707A60" w:rsidRDefault="00BD442E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reduction 2025-2050:</w:t>
            </w:r>
            <w:r w:rsidR="00EA4CE1">
              <w:rPr>
                <w:rFonts w:asciiTheme="minorHAnsi" w:hAnsiTheme="minorHAnsi"/>
                <w:sz w:val="22"/>
                <w:szCs w:val="22"/>
              </w:rPr>
              <w:t xml:space="preserve"> 1487</w:t>
            </w:r>
          </w:p>
        </w:tc>
      </w:tr>
    </w:tbl>
    <w:p w14:paraId="4B78A4FA" w14:textId="4855602D" w:rsidR="774FE9DD" w:rsidRDefault="774FE9DD" w:rsidP="774FE9DD">
      <w:pPr>
        <w:pStyle w:val="Heading2"/>
      </w:pPr>
    </w:p>
    <w:p w14:paraId="17C0A8CF" w14:textId="5F3699D7" w:rsidR="0094585A" w:rsidRDefault="00A9303B" w:rsidP="00A9303B">
      <w:pPr>
        <w:pStyle w:val="Heading2"/>
      </w:pPr>
      <w:r>
        <w:t>Cumulative Effectiveness</w:t>
      </w:r>
    </w:p>
    <w:p w14:paraId="0BCCF3F3" w14:textId="5C370313" w:rsidR="00A9303B" w:rsidRDefault="00F16374" w:rsidP="00F16374">
      <w:pPr>
        <w:pStyle w:val="Heading3"/>
      </w:pPr>
      <w:r>
        <w:t>Magnitude of GHG Reductions</w:t>
      </w:r>
    </w:p>
    <w:p w14:paraId="09A2424E" w14:textId="77F8B08A" w:rsidR="00F16374" w:rsidRDefault="00A46C1A" w:rsidP="00A46C1A">
      <w:pPr>
        <w:pStyle w:val="Heading6"/>
      </w:pPr>
      <w:r>
        <w:t>2025-2030</w:t>
      </w:r>
    </w:p>
    <w:p w14:paraId="215E9B6B" w14:textId="00C57B31" w:rsidR="009416AB" w:rsidRPr="00213DAD" w:rsidRDefault="008601F0" w:rsidP="009416AB">
      <w:pPr>
        <w:rPr>
          <w:sz w:val="22"/>
          <w:szCs w:val="22"/>
        </w:rPr>
      </w:pPr>
      <w:r w:rsidRPr="00213DAD">
        <w:rPr>
          <w:sz w:val="22"/>
          <w:szCs w:val="22"/>
        </w:rPr>
        <w:t xml:space="preserve">From 2025-2030, </w:t>
      </w:r>
      <w:r w:rsidR="00ED0142" w:rsidRPr="00213DAD">
        <w:rPr>
          <w:sz w:val="22"/>
          <w:szCs w:val="22"/>
        </w:rPr>
        <w:t xml:space="preserve">the City of Miami Climate Ready Housing Program Suite will reduce GHG emissions </w:t>
      </w:r>
      <w:r w:rsidR="004B25E8" w:rsidRPr="00213DAD">
        <w:rPr>
          <w:sz w:val="22"/>
          <w:szCs w:val="22"/>
        </w:rPr>
        <w:t xml:space="preserve">by </w:t>
      </w:r>
      <w:r w:rsidR="00437BE1" w:rsidRPr="004A5443">
        <w:rPr>
          <w:sz w:val="22"/>
          <w:szCs w:val="22"/>
        </w:rPr>
        <w:t>32,511</w:t>
      </w:r>
      <w:r w:rsidR="004B25E8" w:rsidRPr="004A5443">
        <w:rPr>
          <w:sz w:val="22"/>
          <w:szCs w:val="22"/>
        </w:rPr>
        <w:t xml:space="preserve"> MT CO</w:t>
      </w:r>
      <w:r w:rsidR="004B25E8" w:rsidRPr="004A5443">
        <w:rPr>
          <w:sz w:val="22"/>
          <w:szCs w:val="22"/>
          <w:vertAlign w:val="subscript"/>
        </w:rPr>
        <w:t>2</w:t>
      </w:r>
      <w:r w:rsidR="004B25E8" w:rsidRPr="004A5443">
        <w:rPr>
          <w:sz w:val="22"/>
          <w:szCs w:val="22"/>
        </w:rPr>
        <w:t xml:space="preserve">e total. </w:t>
      </w:r>
      <w:r w:rsidR="00406758" w:rsidRPr="004A5443">
        <w:rPr>
          <w:sz w:val="22"/>
          <w:szCs w:val="22"/>
        </w:rPr>
        <w:t xml:space="preserve">On an annual basis, that equates to </w:t>
      </w:r>
      <w:r w:rsidR="00437BE1" w:rsidRPr="004A5443">
        <w:rPr>
          <w:sz w:val="22"/>
          <w:szCs w:val="22"/>
        </w:rPr>
        <w:t>5,41</w:t>
      </w:r>
      <w:r w:rsidR="004A5443" w:rsidRPr="004A5443">
        <w:rPr>
          <w:sz w:val="22"/>
          <w:szCs w:val="22"/>
        </w:rPr>
        <w:t>8.5</w:t>
      </w:r>
      <w:r w:rsidR="00406758" w:rsidRPr="004A5443">
        <w:rPr>
          <w:sz w:val="22"/>
          <w:szCs w:val="22"/>
        </w:rPr>
        <w:t xml:space="preserve"> MT CO</w:t>
      </w:r>
      <w:r w:rsidR="00406758" w:rsidRPr="004A5443">
        <w:rPr>
          <w:sz w:val="22"/>
          <w:szCs w:val="22"/>
          <w:vertAlign w:val="subscript"/>
        </w:rPr>
        <w:t>2</w:t>
      </w:r>
      <w:r w:rsidR="00406758" w:rsidRPr="004A5443">
        <w:rPr>
          <w:sz w:val="22"/>
          <w:szCs w:val="22"/>
        </w:rPr>
        <w:t>e.</w:t>
      </w:r>
    </w:p>
    <w:p w14:paraId="69A4C171" w14:textId="374B0790" w:rsidR="009416AB" w:rsidRPr="009416AB" w:rsidRDefault="009416AB" w:rsidP="009416AB">
      <w:pPr>
        <w:pStyle w:val="Heading6"/>
      </w:pPr>
      <w:r>
        <w:t>2025-2050</w:t>
      </w:r>
    </w:p>
    <w:p w14:paraId="6F638F03" w14:textId="052BB30F" w:rsidR="00406758" w:rsidRPr="00213DAD" w:rsidRDefault="00406758" w:rsidP="00406758">
      <w:pPr>
        <w:rPr>
          <w:sz w:val="22"/>
          <w:szCs w:val="22"/>
        </w:rPr>
      </w:pPr>
      <w:r w:rsidRPr="00213DAD">
        <w:rPr>
          <w:sz w:val="22"/>
          <w:szCs w:val="22"/>
        </w:rPr>
        <w:t xml:space="preserve">From 2025-2050, the City of Miami Climate Ready Housing Program Suite will reduce GHG emissions by </w:t>
      </w:r>
      <w:r w:rsidR="004A5443" w:rsidRPr="004A5443">
        <w:rPr>
          <w:sz w:val="22"/>
          <w:szCs w:val="22"/>
        </w:rPr>
        <w:t>184,367</w:t>
      </w:r>
      <w:r w:rsidRPr="004A5443">
        <w:rPr>
          <w:sz w:val="22"/>
          <w:szCs w:val="22"/>
        </w:rPr>
        <w:t xml:space="preserve"> MT CO</w:t>
      </w:r>
      <w:r w:rsidRPr="004A5443">
        <w:rPr>
          <w:sz w:val="22"/>
          <w:szCs w:val="22"/>
          <w:vertAlign w:val="subscript"/>
        </w:rPr>
        <w:t>2</w:t>
      </w:r>
      <w:r w:rsidRPr="004A5443">
        <w:rPr>
          <w:sz w:val="22"/>
          <w:szCs w:val="22"/>
        </w:rPr>
        <w:t>e</w:t>
      </w:r>
      <w:r w:rsidRPr="00213DAD">
        <w:rPr>
          <w:sz w:val="22"/>
          <w:szCs w:val="22"/>
        </w:rPr>
        <w:t xml:space="preserve"> total. On an annual basis, that equates to </w:t>
      </w:r>
      <w:r w:rsidR="004A5443" w:rsidRPr="00767EA7">
        <w:rPr>
          <w:sz w:val="22"/>
          <w:szCs w:val="22"/>
        </w:rPr>
        <w:t>7,0</w:t>
      </w:r>
      <w:r w:rsidR="00767EA7" w:rsidRPr="00767EA7">
        <w:rPr>
          <w:sz w:val="22"/>
          <w:szCs w:val="22"/>
        </w:rPr>
        <w:t>91.04</w:t>
      </w:r>
      <w:r w:rsidRPr="00767EA7">
        <w:rPr>
          <w:sz w:val="22"/>
          <w:szCs w:val="22"/>
        </w:rPr>
        <w:t xml:space="preserve"> MT CO</w:t>
      </w:r>
      <w:r w:rsidRPr="00767EA7">
        <w:rPr>
          <w:sz w:val="22"/>
          <w:szCs w:val="22"/>
          <w:vertAlign w:val="subscript"/>
        </w:rPr>
        <w:t>2</w:t>
      </w:r>
      <w:r w:rsidRPr="00767EA7">
        <w:rPr>
          <w:sz w:val="22"/>
          <w:szCs w:val="22"/>
        </w:rPr>
        <w:t>e.</w:t>
      </w:r>
    </w:p>
    <w:p w14:paraId="02AE2F91" w14:textId="77777777" w:rsidR="00406758" w:rsidRDefault="00406758" w:rsidP="00F16374"/>
    <w:p w14:paraId="3450FE11" w14:textId="1068AEB6" w:rsidR="00F16374" w:rsidRDefault="00F16374" w:rsidP="00F16374">
      <w:pPr>
        <w:pStyle w:val="Heading3"/>
      </w:pPr>
      <w:r>
        <w:t>Cost Effectiveness of GHG Reductions</w:t>
      </w:r>
    </w:p>
    <w:p w14:paraId="63C6B69A" w14:textId="385D5C7F" w:rsidR="001721B2" w:rsidRPr="00213DAD" w:rsidRDefault="00D1242B" w:rsidP="001721B2">
      <w:pPr>
        <w:rPr>
          <w:sz w:val="22"/>
          <w:szCs w:val="22"/>
        </w:rPr>
      </w:pPr>
      <w:r w:rsidRPr="00213DAD">
        <w:rPr>
          <w:sz w:val="22"/>
          <w:szCs w:val="22"/>
        </w:rPr>
        <w:t xml:space="preserve">The total proposed cost of the Miami Climate Ready </w:t>
      </w:r>
      <w:r w:rsidR="002C6B0A" w:rsidRPr="00213DAD">
        <w:rPr>
          <w:sz w:val="22"/>
          <w:szCs w:val="22"/>
        </w:rPr>
        <w:t xml:space="preserve">Housing Program Suite </w:t>
      </w:r>
      <w:r w:rsidR="0084402F" w:rsidRPr="00213DAD">
        <w:rPr>
          <w:sz w:val="22"/>
          <w:szCs w:val="22"/>
        </w:rPr>
        <w:t>is $</w:t>
      </w:r>
      <w:r w:rsidR="004E5659" w:rsidRPr="00213DAD">
        <w:rPr>
          <w:sz w:val="22"/>
          <w:szCs w:val="22"/>
        </w:rPr>
        <w:t>36,880,459</w:t>
      </w:r>
      <w:r w:rsidR="0008185E" w:rsidRPr="00213DAD">
        <w:rPr>
          <w:sz w:val="22"/>
          <w:szCs w:val="22"/>
        </w:rPr>
        <w:t xml:space="preserve">. </w:t>
      </w:r>
      <w:r w:rsidR="00CA7000" w:rsidRPr="00213DAD">
        <w:rPr>
          <w:sz w:val="22"/>
          <w:szCs w:val="22"/>
        </w:rPr>
        <w:t>From 2025-2030</w:t>
      </w:r>
      <w:r w:rsidR="0010326D" w:rsidRPr="00213DAD">
        <w:rPr>
          <w:sz w:val="22"/>
          <w:szCs w:val="22"/>
        </w:rPr>
        <w:t xml:space="preserve">, this program will </w:t>
      </w:r>
      <w:r w:rsidR="00915BBE" w:rsidRPr="00213DAD">
        <w:rPr>
          <w:sz w:val="22"/>
          <w:szCs w:val="22"/>
        </w:rPr>
        <w:t xml:space="preserve">eliminate </w:t>
      </w:r>
      <w:r w:rsidR="004D5756" w:rsidRPr="004D5756">
        <w:rPr>
          <w:sz w:val="22"/>
          <w:szCs w:val="22"/>
        </w:rPr>
        <w:t>32,511</w:t>
      </w:r>
      <w:r w:rsidR="00915BBE" w:rsidRPr="004D5756">
        <w:rPr>
          <w:sz w:val="22"/>
          <w:szCs w:val="22"/>
        </w:rPr>
        <w:t xml:space="preserve"> MT CO</w:t>
      </w:r>
      <w:r w:rsidR="00915BBE" w:rsidRPr="004D5756">
        <w:rPr>
          <w:sz w:val="22"/>
          <w:szCs w:val="22"/>
          <w:vertAlign w:val="subscript"/>
        </w:rPr>
        <w:t>2</w:t>
      </w:r>
      <w:r w:rsidR="00915BBE" w:rsidRPr="004D5756">
        <w:rPr>
          <w:sz w:val="22"/>
          <w:szCs w:val="22"/>
        </w:rPr>
        <w:t>e</w:t>
      </w:r>
      <w:r w:rsidR="00915BBE" w:rsidRPr="00213DAD">
        <w:rPr>
          <w:sz w:val="22"/>
          <w:szCs w:val="22"/>
        </w:rPr>
        <w:t xml:space="preserve"> from the atmosphere. </w:t>
      </w:r>
      <w:r w:rsidR="00C90D6C" w:rsidRPr="00213DAD">
        <w:rPr>
          <w:sz w:val="22"/>
          <w:szCs w:val="22"/>
        </w:rPr>
        <w:t xml:space="preserve">That is the sum of </w:t>
      </w:r>
      <w:r w:rsidR="00F42EC3" w:rsidRPr="00213DAD">
        <w:rPr>
          <w:sz w:val="22"/>
          <w:szCs w:val="22"/>
        </w:rPr>
        <w:t xml:space="preserve">reductions from the three </w:t>
      </w:r>
      <w:r w:rsidR="00064E0D" w:rsidRPr="00213DAD">
        <w:rPr>
          <w:sz w:val="22"/>
          <w:szCs w:val="22"/>
        </w:rPr>
        <w:t xml:space="preserve">climate ready housing programs and their associated GHG reduction measures. </w:t>
      </w:r>
      <w:r w:rsidR="00B80A1D" w:rsidRPr="00213DAD">
        <w:rPr>
          <w:sz w:val="22"/>
          <w:szCs w:val="22"/>
        </w:rPr>
        <w:t xml:space="preserve">Investment in this program </w:t>
      </w:r>
      <w:r w:rsidR="004F446C" w:rsidRPr="00213DAD">
        <w:rPr>
          <w:sz w:val="22"/>
          <w:szCs w:val="22"/>
        </w:rPr>
        <w:t>equates to $</w:t>
      </w:r>
      <w:r w:rsidR="004D5756">
        <w:rPr>
          <w:sz w:val="22"/>
          <w:szCs w:val="22"/>
        </w:rPr>
        <w:t>1,</w:t>
      </w:r>
      <w:r w:rsidR="00F94FBC">
        <w:rPr>
          <w:sz w:val="22"/>
          <w:szCs w:val="22"/>
        </w:rPr>
        <w:t>134.40</w:t>
      </w:r>
      <w:r w:rsidR="00371D7A" w:rsidRPr="00213DAD">
        <w:rPr>
          <w:sz w:val="22"/>
          <w:szCs w:val="22"/>
        </w:rPr>
        <w:t>/MTCO</w:t>
      </w:r>
      <w:r w:rsidR="00371D7A" w:rsidRPr="00213DAD">
        <w:rPr>
          <w:sz w:val="22"/>
          <w:szCs w:val="22"/>
          <w:vertAlign w:val="subscript"/>
        </w:rPr>
        <w:t>2</w:t>
      </w:r>
      <w:r w:rsidR="00371D7A" w:rsidRPr="00213DAD">
        <w:rPr>
          <w:sz w:val="22"/>
          <w:szCs w:val="22"/>
        </w:rPr>
        <w:t>e</w:t>
      </w:r>
      <w:r w:rsidR="00F94FBC">
        <w:rPr>
          <w:sz w:val="22"/>
          <w:szCs w:val="22"/>
        </w:rPr>
        <w:t xml:space="preserve"> removed from the atmosphere</w:t>
      </w:r>
      <w:r w:rsidR="00371D7A" w:rsidRPr="00213DAD">
        <w:rPr>
          <w:sz w:val="22"/>
          <w:szCs w:val="22"/>
        </w:rPr>
        <w:t>.</w:t>
      </w:r>
    </w:p>
    <w:sectPr w:rsidR="001721B2" w:rsidRPr="00213DAD" w:rsidSect="00716C1F">
      <w:pgSz w:w="12240" w:h="16340"/>
      <w:pgMar w:top="1153" w:right="1094" w:bottom="643" w:left="118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E688D" w14:textId="77777777" w:rsidR="00716C1F" w:rsidRDefault="00716C1F">
      <w:pPr>
        <w:spacing w:after="0" w:line="240" w:lineRule="auto"/>
      </w:pPr>
      <w:r>
        <w:separator/>
      </w:r>
    </w:p>
  </w:endnote>
  <w:endnote w:type="continuationSeparator" w:id="0">
    <w:p w14:paraId="1DDBAA17" w14:textId="77777777" w:rsidR="00716C1F" w:rsidRDefault="00716C1F">
      <w:pPr>
        <w:spacing w:after="0" w:line="240" w:lineRule="auto"/>
      </w:pPr>
      <w:r>
        <w:continuationSeparator/>
      </w:r>
    </w:p>
  </w:endnote>
  <w:endnote w:type="continuationNotice" w:id="1">
    <w:p w14:paraId="4E8D4DFC" w14:textId="77777777" w:rsidR="00716C1F" w:rsidRDefault="00716C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659A9" w14:textId="77777777" w:rsidR="00716C1F" w:rsidRDefault="00716C1F">
      <w:pPr>
        <w:spacing w:after="0" w:line="240" w:lineRule="auto"/>
      </w:pPr>
      <w:r>
        <w:separator/>
      </w:r>
    </w:p>
  </w:footnote>
  <w:footnote w:type="continuationSeparator" w:id="0">
    <w:p w14:paraId="53377348" w14:textId="77777777" w:rsidR="00716C1F" w:rsidRDefault="00716C1F">
      <w:pPr>
        <w:spacing w:after="0" w:line="240" w:lineRule="auto"/>
      </w:pPr>
      <w:r>
        <w:continuationSeparator/>
      </w:r>
    </w:p>
  </w:footnote>
  <w:footnote w:type="continuationNotice" w:id="1">
    <w:p w14:paraId="084ECB9B" w14:textId="77777777" w:rsidR="00716C1F" w:rsidRDefault="00716C1F">
      <w:pPr>
        <w:spacing w:after="0" w:line="240" w:lineRule="auto"/>
      </w:pPr>
    </w:p>
  </w:footnote>
  <w:footnote w:id="2">
    <w:p w14:paraId="264ED7D9" w14:textId="1172DFBB" w:rsidR="0080288D" w:rsidRDefault="008028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33626" w:rsidRPr="00033626">
        <w:t>https://constructioncoverage.com/research/cities-building-the-most-multi-family-housing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556D9"/>
    <w:multiLevelType w:val="hybridMultilevel"/>
    <w:tmpl w:val="2B5A6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71FCA"/>
    <w:multiLevelType w:val="hybridMultilevel"/>
    <w:tmpl w:val="638C8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C03FC"/>
    <w:multiLevelType w:val="hybridMultilevel"/>
    <w:tmpl w:val="2BF00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A7956"/>
    <w:multiLevelType w:val="hybridMultilevel"/>
    <w:tmpl w:val="53904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260175">
    <w:abstractNumId w:val="1"/>
  </w:num>
  <w:num w:numId="2" w16cid:durableId="1428187466">
    <w:abstractNumId w:val="3"/>
  </w:num>
  <w:num w:numId="3" w16cid:durableId="402215754">
    <w:abstractNumId w:val="0"/>
  </w:num>
  <w:num w:numId="4" w16cid:durableId="396780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F3593F"/>
    <w:rsid w:val="0000306B"/>
    <w:rsid w:val="000050E4"/>
    <w:rsid w:val="000052B5"/>
    <w:rsid w:val="00012CC0"/>
    <w:rsid w:val="00012F6C"/>
    <w:rsid w:val="0001520F"/>
    <w:rsid w:val="000166C4"/>
    <w:rsid w:val="000202AC"/>
    <w:rsid w:val="000206F8"/>
    <w:rsid w:val="00021017"/>
    <w:rsid w:val="000214A2"/>
    <w:rsid w:val="00023676"/>
    <w:rsid w:val="00030000"/>
    <w:rsid w:val="000330F0"/>
    <w:rsid w:val="00033626"/>
    <w:rsid w:val="00041D3E"/>
    <w:rsid w:val="00043EC5"/>
    <w:rsid w:val="000468CA"/>
    <w:rsid w:val="000521AA"/>
    <w:rsid w:val="0005308F"/>
    <w:rsid w:val="00056A00"/>
    <w:rsid w:val="00063429"/>
    <w:rsid w:val="00064364"/>
    <w:rsid w:val="00064E0D"/>
    <w:rsid w:val="00064F33"/>
    <w:rsid w:val="000665C6"/>
    <w:rsid w:val="00070A38"/>
    <w:rsid w:val="000721FA"/>
    <w:rsid w:val="000743DF"/>
    <w:rsid w:val="0007440A"/>
    <w:rsid w:val="00077613"/>
    <w:rsid w:val="00077F68"/>
    <w:rsid w:val="0008185E"/>
    <w:rsid w:val="000827DC"/>
    <w:rsid w:val="00086850"/>
    <w:rsid w:val="00087ECB"/>
    <w:rsid w:val="00090AC7"/>
    <w:rsid w:val="000949D9"/>
    <w:rsid w:val="00096204"/>
    <w:rsid w:val="000A2A15"/>
    <w:rsid w:val="000A4403"/>
    <w:rsid w:val="000A740D"/>
    <w:rsid w:val="000B22F5"/>
    <w:rsid w:val="000B2323"/>
    <w:rsid w:val="000B3D2F"/>
    <w:rsid w:val="000B5FBA"/>
    <w:rsid w:val="000B701F"/>
    <w:rsid w:val="000C1775"/>
    <w:rsid w:val="000C4560"/>
    <w:rsid w:val="000C6D74"/>
    <w:rsid w:val="000C7A1B"/>
    <w:rsid w:val="000C7F71"/>
    <w:rsid w:val="000D0093"/>
    <w:rsid w:val="000D0278"/>
    <w:rsid w:val="000D2085"/>
    <w:rsid w:val="000D28B1"/>
    <w:rsid w:val="000D43A9"/>
    <w:rsid w:val="000D5D91"/>
    <w:rsid w:val="000E3D61"/>
    <w:rsid w:val="000E4C9E"/>
    <w:rsid w:val="000F11B0"/>
    <w:rsid w:val="000F24C7"/>
    <w:rsid w:val="000F481C"/>
    <w:rsid w:val="000F49B4"/>
    <w:rsid w:val="000F6404"/>
    <w:rsid w:val="000F6AB7"/>
    <w:rsid w:val="001027B2"/>
    <w:rsid w:val="0010326D"/>
    <w:rsid w:val="001131F9"/>
    <w:rsid w:val="00115774"/>
    <w:rsid w:val="00117F53"/>
    <w:rsid w:val="00121690"/>
    <w:rsid w:val="0012206D"/>
    <w:rsid w:val="00123907"/>
    <w:rsid w:val="0012498E"/>
    <w:rsid w:val="00125888"/>
    <w:rsid w:val="0012634E"/>
    <w:rsid w:val="00126FBC"/>
    <w:rsid w:val="00130459"/>
    <w:rsid w:val="00134D56"/>
    <w:rsid w:val="00141484"/>
    <w:rsid w:val="001436E8"/>
    <w:rsid w:val="00145686"/>
    <w:rsid w:val="0014711D"/>
    <w:rsid w:val="00156940"/>
    <w:rsid w:val="00157EDC"/>
    <w:rsid w:val="001609C0"/>
    <w:rsid w:val="001622C0"/>
    <w:rsid w:val="00162E48"/>
    <w:rsid w:val="001654D2"/>
    <w:rsid w:val="0017142E"/>
    <w:rsid w:val="001721B2"/>
    <w:rsid w:val="00173C52"/>
    <w:rsid w:val="00174F95"/>
    <w:rsid w:val="001801ED"/>
    <w:rsid w:val="001804BE"/>
    <w:rsid w:val="00180AC0"/>
    <w:rsid w:val="00180AD2"/>
    <w:rsid w:val="0018438D"/>
    <w:rsid w:val="00190111"/>
    <w:rsid w:val="00191F35"/>
    <w:rsid w:val="00196C12"/>
    <w:rsid w:val="001A105C"/>
    <w:rsid w:val="001A5829"/>
    <w:rsid w:val="001B10A9"/>
    <w:rsid w:val="001B4E39"/>
    <w:rsid w:val="001B614E"/>
    <w:rsid w:val="001C2516"/>
    <w:rsid w:val="001C69D3"/>
    <w:rsid w:val="001D0BAB"/>
    <w:rsid w:val="001D20ED"/>
    <w:rsid w:val="001D5D83"/>
    <w:rsid w:val="001D63DD"/>
    <w:rsid w:val="001E19D2"/>
    <w:rsid w:val="001E22AC"/>
    <w:rsid w:val="001E4446"/>
    <w:rsid w:val="001E54D5"/>
    <w:rsid w:val="001E5AE5"/>
    <w:rsid w:val="001F08EB"/>
    <w:rsid w:val="001F3C9F"/>
    <w:rsid w:val="00205F13"/>
    <w:rsid w:val="00213DAD"/>
    <w:rsid w:val="00214B7F"/>
    <w:rsid w:val="00214BE6"/>
    <w:rsid w:val="00215BBB"/>
    <w:rsid w:val="00217F90"/>
    <w:rsid w:val="002216AD"/>
    <w:rsid w:val="00222B4A"/>
    <w:rsid w:val="002270FC"/>
    <w:rsid w:val="00230139"/>
    <w:rsid w:val="002330A2"/>
    <w:rsid w:val="0023322A"/>
    <w:rsid w:val="00236FB6"/>
    <w:rsid w:val="00237B00"/>
    <w:rsid w:val="00241357"/>
    <w:rsid w:val="002502DA"/>
    <w:rsid w:val="00250EB2"/>
    <w:rsid w:val="0025153C"/>
    <w:rsid w:val="00251C90"/>
    <w:rsid w:val="0025283C"/>
    <w:rsid w:val="00260189"/>
    <w:rsid w:val="002613B1"/>
    <w:rsid w:val="00264415"/>
    <w:rsid w:val="002660ED"/>
    <w:rsid w:val="00266EE2"/>
    <w:rsid w:val="002718BC"/>
    <w:rsid w:val="00277768"/>
    <w:rsid w:val="002836AB"/>
    <w:rsid w:val="00291F58"/>
    <w:rsid w:val="002952FA"/>
    <w:rsid w:val="00296007"/>
    <w:rsid w:val="002A1EBB"/>
    <w:rsid w:val="002A38B6"/>
    <w:rsid w:val="002B11CC"/>
    <w:rsid w:val="002B26A5"/>
    <w:rsid w:val="002B3AB6"/>
    <w:rsid w:val="002B49CD"/>
    <w:rsid w:val="002B7EA5"/>
    <w:rsid w:val="002C57CB"/>
    <w:rsid w:val="002C68AE"/>
    <w:rsid w:val="002C6B0A"/>
    <w:rsid w:val="002C7615"/>
    <w:rsid w:val="002D3EF1"/>
    <w:rsid w:val="002E0979"/>
    <w:rsid w:val="002E0BE1"/>
    <w:rsid w:val="002E6261"/>
    <w:rsid w:val="002E76DA"/>
    <w:rsid w:val="002F3387"/>
    <w:rsid w:val="002F5FA2"/>
    <w:rsid w:val="002F6F22"/>
    <w:rsid w:val="002F7C6D"/>
    <w:rsid w:val="003015C4"/>
    <w:rsid w:val="003033DB"/>
    <w:rsid w:val="0030355A"/>
    <w:rsid w:val="003050D5"/>
    <w:rsid w:val="00305276"/>
    <w:rsid w:val="00306129"/>
    <w:rsid w:val="003064C4"/>
    <w:rsid w:val="00306C0E"/>
    <w:rsid w:val="003077A7"/>
    <w:rsid w:val="00307A4B"/>
    <w:rsid w:val="00310CAD"/>
    <w:rsid w:val="00311A5D"/>
    <w:rsid w:val="003131BB"/>
    <w:rsid w:val="00323BB1"/>
    <w:rsid w:val="00335C93"/>
    <w:rsid w:val="003360D8"/>
    <w:rsid w:val="00341782"/>
    <w:rsid w:val="0034483B"/>
    <w:rsid w:val="00345052"/>
    <w:rsid w:val="003470AB"/>
    <w:rsid w:val="00350A8E"/>
    <w:rsid w:val="0035473B"/>
    <w:rsid w:val="00360374"/>
    <w:rsid w:val="0036559A"/>
    <w:rsid w:val="00371D7A"/>
    <w:rsid w:val="00372176"/>
    <w:rsid w:val="0037266D"/>
    <w:rsid w:val="003747E6"/>
    <w:rsid w:val="00377289"/>
    <w:rsid w:val="0038132D"/>
    <w:rsid w:val="003819AC"/>
    <w:rsid w:val="00382F0C"/>
    <w:rsid w:val="00384131"/>
    <w:rsid w:val="0038466A"/>
    <w:rsid w:val="0039033A"/>
    <w:rsid w:val="003903D9"/>
    <w:rsid w:val="0039047C"/>
    <w:rsid w:val="00392733"/>
    <w:rsid w:val="003936EC"/>
    <w:rsid w:val="00393B2B"/>
    <w:rsid w:val="0039463A"/>
    <w:rsid w:val="00396653"/>
    <w:rsid w:val="003A0986"/>
    <w:rsid w:val="003A3362"/>
    <w:rsid w:val="003A494E"/>
    <w:rsid w:val="003A49CC"/>
    <w:rsid w:val="003A7F72"/>
    <w:rsid w:val="003B00DC"/>
    <w:rsid w:val="003B2209"/>
    <w:rsid w:val="003B4F6B"/>
    <w:rsid w:val="003B5C73"/>
    <w:rsid w:val="003C17AC"/>
    <w:rsid w:val="003D67E9"/>
    <w:rsid w:val="003E400F"/>
    <w:rsid w:val="003F3CB4"/>
    <w:rsid w:val="003F6246"/>
    <w:rsid w:val="003F6831"/>
    <w:rsid w:val="003F78CA"/>
    <w:rsid w:val="004066FD"/>
    <w:rsid w:val="00406758"/>
    <w:rsid w:val="00406A38"/>
    <w:rsid w:val="0041108C"/>
    <w:rsid w:val="00411433"/>
    <w:rsid w:val="004136A0"/>
    <w:rsid w:val="004148B0"/>
    <w:rsid w:val="0041729C"/>
    <w:rsid w:val="00420587"/>
    <w:rsid w:val="00427317"/>
    <w:rsid w:val="00434B94"/>
    <w:rsid w:val="00435EB7"/>
    <w:rsid w:val="00437152"/>
    <w:rsid w:val="00437BE1"/>
    <w:rsid w:val="004420DF"/>
    <w:rsid w:val="004429F9"/>
    <w:rsid w:val="00445747"/>
    <w:rsid w:val="0045554F"/>
    <w:rsid w:val="00456462"/>
    <w:rsid w:val="00460732"/>
    <w:rsid w:val="00463657"/>
    <w:rsid w:val="00472ED4"/>
    <w:rsid w:val="0047313A"/>
    <w:rsid w:val="00473E64"/>
    <w:rsid w:val="00474DDC"/>
    <w:rsid w:val="004770E7"/>
    <w:rsid w:val="00477DE4"/>
    <w:rsid w:val="00480D3F"/>
    <w:rsid w:val="00484334"/>
    <w:rsid w:val="00484A6D"/>
    <w:rsid w:val="0049072C"/>
    <w:rsid w:val="00490D0B"/>
    <w:rsid w:val="00491EEE"/>
    <w:rsid w:val="00495813"/>
    <w:rsid w:val="00497EEB"/>
    <w:rsid w:val="004A113C"/>
    <w:rsid w:val="004A15BD"/>
    <w:rsid w:val="004A225B"/>
    <w:rsid w:val="004A288B"/>
    <w:rsid w:val="004A2C60"/>
    <w:rsid w:val="004A2CD2"/>
    <w:rsid w:val="004A35AD"/>
    <w:rsid w:val="004A3DEE"/>
    <w:rsid w:val="004A5443"/>
    <w:rsid w:val="004B25A7"/>
    <w:rsid w:val="004B25E8"/>
    <w:rsid w:val="004C3E0E"/>
    <w:rsid w:val="004C5252"/>
    <w:rsid w:val="004D060A"/>
    <w:rsid w:val="004D07EB"/>
    <w:rsid w:val="004D2924"/>
    <w:rsid w:val="004D300B"/>
    <w:rsid w:val="004D3159"/>
    <w:rsid w:val="004D3C07"/>
    <w:rsid w:val="004D49B7"/>
    <w:rsid w:val="004D5185"/>
    <w:rsid w:val="004D524E"/>
    <w:rsid w:val="004D5756"/>
    <w:rsid w:val="004D5FFD"/>
    <w:rsid w:val="004E465E"/>
    <w:rsid w:val="004E5659"/>
    <w:rsid w:val="004E5F07"/>
    <w:rsid w:val="004E77DF"/>
    <w:rsid w:val="004F2877"/>
    <w:rsid w:val="004F28E0"/>
    <w:rsid w:val="004F4450"/>
    <w:rsid w:val="004F446C"/>
    <w:rsid w:val="004F6430"/>
    <w:rsid w:val="00505715"/>
    <w:rsid w:val="005076C7"/>
    <w:rsid w:val="00510A9D"/>
    <w:rsid w:val="00512460"/>
    <w:rsid w:val="00514F99"/>
    <w:rsid w:val="0051618F"/>
    <w:rsid w:val="00516DC4"/>
    <w:rsid w:val="00516E57"/>
    <w:rsid w:val="0052021E"/>
    <w:rsid w:val="00523105"/>
    <w:rsid w:val="0052729A"/>
    <w:rsid w:val="0053764A"/>
    <w:rsid w:val="00541158"/>
    <w:rsid w:val="00551722"/>
    <w:rsid w:val="00556594"/>
    <w:rsid w:val="00561235"/>
    <w:rsid w:val="005622D9"/>
    <w:rsid w:val="0056266C"/>
    <w:rsid w:val="00562DB9"/>
    <w:rsid w:val="00567A32"/>
    <w:rsid w:val="00575C96"/>
    <w:rsid w:val="00577235"/>
    <w:rsid w:val="005772F1"/>
    <w:rsid w:val="005778EC"/>
    <w:rsid w:val="0058312D"/>
    <w:rsid w:val="00583FE9"/>
    <w:rsid w:val="00587B1E"/>
    <w:rsid w:val="00591A2B"/>
    <w:rsid w:val="00592858"/>
    <w:rsid w:val="00593992"/>
    <w:rsid w:val="00595598"/>
    <w:rsid w:val="00595939"/>
    <w:rsid w:val="005A11B7"/>
    <w:rsid w:val="005A362D"/>
    <w:rsid w:val="005A612A"/>
    <w:rsid w:val="005A6A9E"/>
    <w:rsid w:val="005B142E"/>
    <w:rsid w:val="005B339E"/>
    <w:rsid w:val="005B3401"/>
    <w:rsid w:val="005C2471"/>
    <w:rsid w:val="005C4612"/>
    <w:rsid w:val="005C4632"/>
    <w:rsid w:val="005C562F"/>
    <w:rsid w:val="005C5BE6"/>
    <w:rsid w:val="005C6142"/>
    <w:rsid w:val="005C71CC"/>
    <w:rsid w:val="005D08E2"/>
    <w:rsid w:val="005D0DCF"/>
    <w:rsid w:val="005D1DD0"/>
    <w:rsid w:val="005D30D0"/>
    <w:rsid w:val="005D314E"/>
    <w:rsid w:val="005D482E"/>
    <w:rsid w:val="005D77A1"/>
    <w:rsid w:val="005E066B"/>
    <w:rsid w:val="005E19E2"/>
    <w:rsid w:val="005E2D2D"/>
    <w:rsid w:val="005E34FA"/>
    <w:rsid w:val="005E3D3B"/>
    <w:rsid w:val="005F317B"/>
    <w:rsid w:val="005F33EE"/>
    <w:rsid w:val="005F4C7D"/>
    <w:rsid w:val="005F7A56"/>
    <w:rsid w:val="006037A8"/>
    <w:rsid w:val="00603983"/>
    <w:rsid w:val="00610E73"/>
    <w:rsid w:val="00611744"/>
    <w:rsid w:val="00611921"/>
    <w:rsid w:val="00611C0D"/>
    <w:rsid w:val="00612142"/>
    <w:rsid w:val="00613665"/>
    <w:rsid w:val="0061573C"/>
    <w:rsid w:val="00620DE6"/>
    <w:rsid w:val="00621BE2"/>
    <w:rsid w:val="006241F7"/>
    <w:rsid w:val="006253F9"/>
    <w:rsid w:val="0062549E"/>
    <w:rsid w:val="0062575F"/>
    <w:rsid w:val="00627C6F"/>
    <w:rsid w:val="006372A2"/>
    <w:rsid w:val="006425B3"/>
    <w:rsid w:val="00643481"/>
    <w:rsid w:val="00643514"/>
    <w:rsid w:val="00645548"/>
    <w:rsid w:val="006458BB"/>
    <w:rsid w:val="00652D9B"/>
    <w:rsid w:val="00655376"/>
    <w:rsid w:val="0065594D"/>
    <w:rsid w:val="006579FC"/>
    <w:rsid w:val="00661075"/>
    <w:rsid w:val="00661CF1"/>
    <w:rsid w:val="0066391E"/>
    <w:rsid w:val="0066685B"/>
    <w:rsid w:val="006677DA"/>
    <w:rsid w:val="006719F2"/>
    <w:rsid w:val="0067298B"/>
    <w:rsid w:val="00673916"/>
    <w:rsid w:val="00674808"/>
    <w:rsid w:val="00677B5B"/>
    <w:rsid w:val="0068395F"/>
    <w:rsid w:val="00683B49"/>
    <w:rsid w:val="00684736"/>
    <w:rsid w:val="00685F35"/>
    <w:rsid w:val="00686892"/>
    <w:rsid w:val="00687E62"/>
    <w:rsid w:val="00692017"/>
    <w:rsid w:val="006924E1"/>
    <w:rsid w:val="00696396"/>
    <w:rsid w:val="00697532"/>
    <w:rsid w:val="00697A7E"/>
    <w:rsid w:val="006A1A3A"/>
    <w:rsid w:val="006A6081"/>
    <w:rsid w:val="006C4CFF"/>
    <w:rsid w:val="006D7FB3"/>
    <w:rsid w:val="006E059B"/>
    <w:rsid w:val="006E5DDE"/>
    <w:rsid w:val="006F24DB"/>
    <w:rsid w:val="006F42A2"/>
    <w:rsid w:val="006F4864"/>
    <w:rsid w:val="006F495A"/>
    <w:rsid w:val="00703055"/>
    <w:rsid w:val="007039F8"/>
    <w:rsid w:val="00705E46"/>
    <w:rsid w:val="00707A60"/>
    <w:rsid w:val="00711A59"/>
    <w:rsid w:val="00716C1F"/>
    <w:rsid w:val="007177ED"/>
    <w:rsid w:val="007212E4"/>
    <w:rsid w:val="00732084"/>
    <w:rsid w:val="00732D9A"/>
    <w:rsid w:val="00733ED9"/>
    <w:rsid w:val="007340F6"/>
    <w:rsid w:val="0073495E"/>
    <w:rsid w:val="0073691A"/>
    <w:rsid w:val="00740066"/>
    <w:rsid w:val="007432B1"/>
    <w:rsid w:val="007455FD"/>
    <w:rsid w:val="00746A0E"/>
    <w:rsid w:val="00751187"/>
    <w:rsid w:val="00754E90"/>
    <w:rsid w:val="00756D34"/>
    <w:rsid w:val="00761E56"/>
    <w:rsid w:val="007643F4"/>
    <w:rsid w:val="007649A1"/>
    <w:rsid w:val="00764DD1"/>
    <w:rsid w:val="00767EA7"/>
    <w:rsid w:val="007736D2"/>
    <w:rsid w:val="0077434E"/>
    <w:rsid w:val="00775F30"/>
    <w:rsid w:val="0077640B"/>
    <w:rsid w:val="00776FEC"/>
    <w:rsid w:val="00777ED4"/>
    <w:rsid w:val="00782861"/>
    <w:rsid w:val="007838AB"/>
    <w:rsid w:val="00784667"/>
    <w:rsid w:val="00786CA4"/>
    <w:rsid w:val="0078790B"/>
    <w:rsid w:val="00787EF3"/>
    <w:rsid w:val="00790667"/>
    <w:rsid w:val="00796803"/>
    <w:rsid w:val="007969DD"/>
    <w:rsid w:val="007A2486"/>
    <w:rsid w:val="007A3B6A"/>
    <w:rsid w:val="007B036D"/>
    <w:rsid w:val="007B2E71"/>
    <w:rsid w:val="007C5A3F"/>
    <w:rsid w:val="007C6A8C"/>
    <w:rsid w:val="007C7106"/>
    <w:rsid w:val="007C764D"/>
    <w:rsid w:val="007D01D9"/>
    <w:rsid w:val="007D07DD"/>
    <w:rsid w:val="007D2B2A"/>
    <w:rsid w:val="007D6C33"/>
    <w:rsid w:val="007E04E2"/>
    <w:rsid w:val="007E5644"/>
    <w:rsid w:val="007F446B"/>
    <w:rsid w:val="007F7C74"/>
    <w:rsid w:val="00800B71"/>
    <w:rsid w:val="0080164F"/>
    <w:rsid w:val="00801F08"/>
    <w:rsid w:val="0080288D"/>
    <w:rsid w:val="00802D22"/>
    <w:rsid w:val="0080427A"/>
    <w:rsid w:val="0080522C"/>
    <w:rsid w:val="00807EF0"/>
    <w:rsid w:val="0081182D"/>
    <w:rsid w:val="00817C60"/>
    <w:rsid w:val="0082148D"/>
    <w:rsid w:val="008301C8"/>
    <w:rsid w:val="00830C2E"/>
    <w:rsid w:val="00832FE8"/>
    <w:rsid w:val="00836638"/>
    <w:rsid w:val="008411D9"/>
    <w:rsid w:val="008428D9"/>
    <w:rsid w:val="0084402F"/>
    <w:rsid w:val="00850CE4"/>
    <w:rsid w:val="00856B76"/>
    <w:rsid w:val="00860080"/>
    <w:rsid w:val="008601F0"/>
    <w:rsid w:val="008610E1"/>
    <w:rsid w:val="00862BB8"/>
    <w:rsid w:val="00863133"/>
    <w:rsid w:val="008708C9"/>
    <w:rsid w:val="0087429A"/>
    <w:rsid w:val="00874DC1"/>
    <w:rsid w:val="00876D6F"/>
    <w:rsid w:val="00877E94"/>
    <w:rsid w:val="00880256"/>
    <w:rsid w:val="00880E44"/>
    <w:rsid w:val="00882454"/>
    <w:rsid w:val="0088333E"/>
    <w:rsid w:val="00885FB0"/>
    <w:rsid w:val="008860C7"/>
    <w:rsid w:val="008862D2"/>
    <w:rsid w:val="00887128"/>
    <w:rsid w:val="00891D34"/>
    <w:rsid w:val="0089627B"/>
    <w:rsid w:val="00897CF5"/>
    <w:rsid w:val="008A2821"/>
    <w:rsid w:val="008A37AE"/>
    <w:rsid w:val="008A39EC"/>
    <w:rsid w:val="008A6021"/>
    <w:rsid w:val="008B1687"/>
    <w:rsid w:val="008B1BDA"/>
    <w:rsid w:val="008B1D90"/>
    <w:rsid w:val="008B1F23"/>
    <w:rsid w:val="008B2B4E"/>
    <w:rsid w:val="008B3174"/>
    <w:rsid w:val="008B3770"/>
    <w:rsid w:val="008B38B2"/>
    <w:rsid w:val="008B4038"/>
    <w:rsid w:val="008B4782"/>
    <w:rsid w:val="008C14C7"/>
    <w:rsid w:val="008C478C"/>
    <w:rsid w:val="008D0A14"/>
    <w:rsid w:val="008D0F82"/>
    <w:rsid w:val="008D20AA"/>
    <w:rsid w:val="008D4650"/>
    <w:rsid w:val="008D4BD6"/>
    <w:rsid w:val="008D65F9"/>
    <w:rsid w:val="008E0582"/>
    <w:rsid w:val="008F6B8F"/>
    <w:rsid w:val="008F774E"/>
    <w:rsid w:val="00903255"/>
    <w:rsid w:val="00903CC1"/>
    <w:rsid w:val="00903E9A"/>
    <w:rsid w:val="009110F9"/>
    <w:rsid w:val="009142FA"/>
    <w:rsid w:val="00915BBE"/>
    <w:rsid w:val="00920A66"/>
    <w:rsid w:val="00921BC6"/>
    <w:rsid w:val="00922340"/>
    <w:rsid w:val="00923B97"/>
    <w:rsid w:val="009270B3"/>
    <w:rsid w:val="0093200E"/>
    <w:rsid w:val="0093202D"/>
    <w:rsid w:val="0093290A"/>
    <w:rsid w:val="00932CE4"/>
    <w:rsid w:val="00935A48"/>
    <w:rsid w:val="00937882"/>
    <w:rsid w:val="009416AB"/>
    <w:rsid w:val="0094333B"/>
    <w:rsid w:val="0094393C"/>
    <w:rsid w:val="00943A5E"/>
    <w:rsid w:val="0094585A"/>
    <w:rsid w:val="00946864"/>
    <w:rsid w:val="00946E2E"/>
    <w:rsid w:val="00947E21"/>
    <w:rsid w:val="0095379D"/>
    <w:rsid w:val="00954005"/>
    <w:rsid w:val="00955BB6"/>
    <w:rsid w:val="00961B77"/>
    <w:rsid w:val="00962C73"/>
    <w:rsid w:val="00967622"/>
    <w:rsid w:val="009700D3"/>
    <w:rsid w:val="0097071A"/>
    <w:rsid w:val="009817D9"/>
    <w:rsid w:val="00984E73"/>
    <w:rsid w:val="00985F4F"/>
    <w:rsid w:val="00986084"/>
    <w:rsid w:val="00986762"/>
    <w:rsid w:val="00993B02"/>
    <w:rsid w:val="0099639C"/>
    <w:rsid w:val="009A05B4"/>
    <w:rsid w:val="009A1B2A"/>
    <w:rsid w:val="009A6455"/>
    <w:rsid w:val="009B1338"/>
    <w:rsid w:val="009B75DB"/>
    <w:rsid w:val="009C1EA4"/>
    <w:rsid w:val="009C38E3"/>
    <w:rsid w:val="009C6A1D"/>
    <w:rsid w:val="009D1E48"/>
    <w:rsid w:val="009D2BDC"/>
    <w:rsid w:val="009D354D"/>
    <w:rsid w:val="009D6B86"/>
    <w:rsid w:val="009E3F6B"/>
    <w:rsid w:val="009E548E"/>
    <w:rsid w:val="009E573E"/>
    <w:rsid w:val="009E6C56"/>
    <w:rsid w:val="009E7C64"/>
    <w:rsid w:val="009F2228"/>
    <w:rsid w:val="009F37C6"/>
    <w:rsid w:val="009F43FB"/>
    <w:rsid w:val="009F605F"/>
    <w:rsid w:val="00A025A6"/>
    <w:rsid w:val="00A04013"/>
    <w:rsid w:val="00A10A3B"/>
    <w:rsid w:val="00A1441F"/>
    <w:rsid w:val="00A154D4"/>
    <w:rsid w:val="00A16B37"/>
    <w:rsid w:val="00A16D43"/>
    <w:rsid w:val="00A201F2"/>
    <w:rsid w:val="00A22A65"/>
    <w:rsid w:val="00A251C1"/>
    <w:rsid w:val="00A3479D"/>
    <w:rsid w:val="00A36C57"/>
    <w:rsid w:val="00A40CBD"/>
    <w:rsid w:val="00A42F1E"/>
    <w:rsid w:val="00A435F0"/>
    <w:rsid w:val="00A439B3"/>
    <w:rsid w:val="00A43ED6"/>
    <w:rsid w:val="00A46C1A"/>
    <w:rsid w:val="00A46D75"/>
    <w:rsid w:val="00A50499"/>
    <w:rsid w:val="00A51EB6"/>
    <w:rsid w:val="00A647AD"/>
    <w:rsid w:val="00A67608"/>
    <w:rsid w:val="00A70EF1"/>
    <w:rsid w:val="00A72D1B"/>
    <w:rsid w:val="00A7656A"/>
    <w:rsid w:val="00A818E1"/>
    <w:rsid w:val="00A81E19"/>
    <w:rsid w:val="00A82EE7"/>
    <w:rsid w:val="00A9303B"/>
    <w:rsid w:val="00A9463D"/>
    <w:rsid w:val="00AA28D8"/>
    <w:rsid w:val="00AA6863"/>
    <w:rsid w:val="00AB782B"/>
    <w:rsid w:val="00AC157B"/>
    <w:rsid w:val="00AC1EA6"/>
    <w:rsid w:val="00AC532D"/>
    <w:rsid w:val="00AD1D1C"/>
    <w:rsid w:val="00AD7781"/>
    <w:rsid w:val="00AE31D1"/>
    <w:rsid w:val="00AE4F51"/>
    <w:rsid w:val="00AE627A"/>
    <w:rsid w:val="00AE7494"/>
    <w:rsid w:val="00AF0F1C"/>
    <w:rsid w:val="00AF3D63"/>
    <w:rsid w:val="00AF53F6"/>
    <w:rsid w:val="00AF7539"/>
    <w:rsid w:val="00B01B24"/>
    <w:rsid w:val="00B06313"/>
    <w:rsid w:val="00B07928"/>
    <w:rsid w:val="00B10040"/>
    <w:rsid w:val="00B12409"/>
    <w:rsid w:val="00B1449F"/>
    <w:rsid w:val="00B1457F"/>
    <w:rsid w:val="00B204CC"/>
    <w:rsid w:val="00B2068F"/>
    <w:rsid w:val="00B233B5"/>
    <w:rsid w:val="00B2430E"/>
    <w:rsid w:val="00B25A07"/>
    <w:rsid w:val="00B25BE0"/>
    <w:rsid w:val="00B32896"/>
    <w:rsid w:val="00B34762"/>
    <w:rsid w:val="00B34B90"/>
    <w:rsid w:val="00B365CE"/>
    <w:rsid w:val="00B368F4"/>
    <w:rsid w:val="00B4367B"/>
    <w:rsid w:val="00B538A2"/>
    <w:rsid w:val="00B644DD"/>
    <w:rsid w:val="00B652BC"/>
    <w:rsid w:val="00B6585D"/>
    <w:rsid w:val="00B7191A"/>
    <w:rsid w:val="00B72CAE"/>
    <w:rsid w:val="00B802C2"/>
    <w:rsid w:val="00B80A1D"/>
    <w:rsid w:val="00B811E0"/>
    <w:rsid w:val="00B81E8B"/>
    <w:rsid w:val="00B82025"/>
    <w:rsid w:val="00B82674"/>
    <w:rsid w:val="00B8313B"/>
    <w:rsid w:val="00B849DF"/>
    <w:rsid w:val="00B870B8"/>
    <w:rsid w:val="00B87DAA"/>
    <w:rsid w:val="00B92029"/>
    <w:rsid w:val="00B92388"/>
    <w:rsid w:val="00B93B72"/>
    <w:rsid w:val="00B95880"/>
    <w:rsid w:val="00B96F7A"/>
    <w:rsid w:val="00BA4315"/>
    <w:rsid w:val="00BB09AE"/>
    <w:rsid w:val="00BB318D"/>
    <w:rsid w:val="00BB3D6E"/>
    <w:rsid w:val="00BB48C4"/>
    <w:rsid w:val="00BB531A"/>
    <w:rsid w:val="00BC0C0C"/>
    <w:rsid w:val="00BC5284"/>
    <w:rsid w:val="00BD1AF3"/>
    <w:rsid w:val="00BD395B"/>
    <w:rsid w:val="00BD442E"/>
    <w:rsid w:val="00BD4E65"/>
    <w:rsid w:val="00BD59A0"/>
    <w:rsid w:val="00BE293B"/>
    <w:rsid w:val="00BE7955"/>
    <w:rsid w:val="00BE7B65"/>
    <w:rsid w:val="00BE7C26"/>
    <w:rsid w:val="00BF30EA"/>
    <w:rsid w:val="00BF42D3"/>
    <w:rsid w:val="00BF562E"/>
    <w:rsid w:val="00C00740"/>
    <w:rsid w:val="00C013CB"/>
    <w:rsid w:val="00C01E87"/>
    <w:rsid w:val="00C02371"/>
    <w:rsid w:val="00C03888"/>
    <w:rsid w:val="00C173B7"/>
    <w:rsid w:val="00C17628"/>
    <w:rsid w:val="00C17B58"/>
    <w:rsid w:val="00C20B11"/>
    <w:rsid w:val="00C24153"/>
    <w:rsid w:val="00C24233"/>
    <w:rsid w:val="00C25AB8"/>
    <w:rsid w:val="00C265AA"/>
    <w:rsid w:val="00C3099C"/>
    <w:rsid w:val="00C33143"/>
    <w:rsid w:val="00C34059"/>
    <w:rsid w:val="00C35A94"/>
    <w:rsid w:val="00C403B3"/>
    <w:rsid w:val="00C45844"/>
    <w:rsid w:val="00C466EA"/>
    <w:rsid w:val="00C476E5"/>
    <w:rsid w:val="00C525D1"/>
    <w:rsid w:val="00C52F16"/>
    <w:rsid w:val="00C53083"/>
    <w:rsid w:val="00C53476"/>
    <w:rsid w:val="00C55C33"/>
    <w:rsid w:val="00C578E1"/>
    <w:rsid w:val="00C629F6"/>
    <w:rsid w:val="00C62C7F"/>
    <w:rsid w:val="00C662C3"/>
    <w:rsid w:val="00C67438"/>
    <w:rsid w:val="00C7104C"/>
    <w:rsid w:val="00C774FE"/>
    <w:rsid w:val="00C803DB"/>
    <w:rsid w:val="00C8633C"/>
    <w:rsid w:val="00C907B7"/>
    <w:rsid w:val="00C90D6C"/>
    <w:rsid w:val="00C93340"/>
    <w:rsid w:val="00C9436A"/>
    <w:rsid w:val="00C97DB6"/>
    <w:rsid w:val="00CA0301"/>
    <w:rsid w:val="00CA04EA"/>
    <w:rsid w:val="00CA3C6E"/>
    <w:rsid w:val="00CA6C25"/>
    <w:rsid w:val="00CA7000"/>
    <w:rsid w:val="00CB5991"/>
    <w:rsid w:val="00CB6209"/>
    <w:rsid w:val="00CB7B93"/>
    <w:rsid w:val="00CC0C8B"/>
    <w:rsid w:val="00CC2523"/>
    <w:rsid w:val="00CC5A5E"/>
    <w:rsid w:val="00CC5C3B"/>
    <w:rsid w:val="00CC5C67"/>
    <w:rsid w:val="00CD431F"/>
    <w:rsid w:val="00CD7515"/>
    <w:rsid w:val="00CE4D1E"/>
    <w:rsid w:val="00CE5069"/>
    <w:rsid w:val="00CE50EB"/>
    <w:rsid w:val="00CF7B2F"/>
    <w:rsid w:val="00D0336E"/>
    <w:rsid w:val="00D058D1"/>
    <w:rsid w:val="00D10B0D"/>
    <w:rsid w:val="00D1242B"/>
    <w:rsid w:val="00D1461B"/>
    <w:rsid w:val="00D178AE"/>
    <w:rsid w:val="00D31F23"/>
    <w:rsid w:val="00D336F7"/>
    <w:rsid w:val="00D3533F"/>
    <w:rsid w:val="00D35CE7"/>
    <w:rsid w:val="00D37340"/>
    <w:rsid w:val="00D43BB4"/>
    <w:rsid w:val="00D4444F"/>
    <w:rsid w:val="00D46418"/>
    <w:rsid w:val="00D52A32"/>
    <w:rsid w:val="00D55ABB"/>
    <w:rsid w:val="00D5717A"/>
    <w:rsid w:val="00D63EA2"/>
    <w:rsid w:val="00D64D1B"/>
    <w:rsid w:val="00D703FC"/>
    <w:rsid w:val="00D81380"/>
    <w:rsid w:val="00D87695"/>
    <w:rsid w:val="00D8780F"/>
    <w:rsid w:val="00D905F1"/>
    <w:rsid w:val="00D97E47"/>
    <w:rsid w:val="00DA30EA"/>
    <w:rsid w:val="00DA36F6"/>
    <w:rsid w:val="00DA375E"/>
    <w:rsid w:val="00DA5940"/>
    <w:rsid w:val="00DB2132"/>
    <w:rsid w:val="00DB31B9"/>
    <w:rsid w:val="00DB3201"/>
    <w:rsid w:val="00DB3F85"/>
    <w:rsid w:val="00DB48D3"/>
    <w:rsid w:val="00DB54AB"/>
    <w:rsid w:val="00DB55A5"/>
    <w:rsid w:val="00DC0C38"/>
    <w:rsid w:val="00DC1988"/>
    <w:rsid w:val="00DC24F0"/>
    <w:rsid w:val="00DC3AD5"/>
    <w:rsid w:val="00DC458A"/>
    <w:rsid w:val="00DC691E"/>
    <w:rsid w:val="00DD144D"/>
    <w:rsid w:val="00DD3652"/>
    <w:rsid w:val="00DE05DC"/>
    <w:rsid w:val="00DF0919"/>
    <w:rsid w:val="00DF44EE"/>
    <w:rsid w:val="00E01037"/>
    <w:rsid w:val="00E02A57"/>
    <w:rsid w:val="00E0307F"/>
    <w:rsid w:val="00E04438"/>
    <w:rsid w:val="00E04688"/>
    <w:rsid w:val="00E0728D"/>
    <w:rsid w:val="00E100EF"/>
    <w:rsid w:val="00E13FCC"/>
    <w:rsid w:val="00E17C52"/>
    <w:rsid w:val="00E20B5C"/>
    <w:rsid w:val="00E22C2C"/>
    <w:rsid w:val="00E231EB"/>
    <w:rsid w:val="00E25FF8"/>
    <w:rsid w:val="00E27DA3"/>
    <w:rsid w:val="00E3040A"/>
    <w:rsid w:val="00E34A6F"/>
    <w:rsid w:val="00E518AA"/>
    <w:rsid w:val="00E5333A"/>
    <w:rsid w:val="00E54185"/>
    <w:rsid w:val="00E561CC"/>
    <w:rsid w:val="00E56A08"/>
    <w:rsid w:val="00E57963"/>
    <w:rsid w:val="00E6147F"/>
    <w:rsid w:val="00E6388C"/>
    <w:rsid w:val="00E673FB"/>
    <w:rsid w:val="00E71370"/>
    <w:rsid w:val="00E72A83"/>
    <w:rsid w:val="00E73828"/>
    <w:rsid w:val="00E757B5"/>
    <w:rsid w:val="00E769AA"/>
    <w:rsid w:val="00E806A3"/>
    <w:rsid w:val="00E80F69"/>
    <w:rsid w:val="00E81F48"/>
    <w:rsid w:val="00E84F6A"/>
    <w:rsid w:val="00E9012E"/>
    <w:rsid w:val="00E96F71"/>
    <w:rsid w:val="00E97E27"/>
    <w:rsid w:val="00EA0ADF"/>
    <w:rsid w:val="00EA35CF"/>
    <w:rsid w:val="00EA4CE1"/>
    <w:rsid w:val="00EA5A7F"/>
    <w:rsid w:val="00EA626D"/>
    <w:rsid w:val="00EA6D76"/>
    <w:rsid w:val="00EB0385"/>
    <w:rsid w:val="00EB2BCB"/>
    <w:rsid w:val="00EB3B91"/>
    <w:rsid w:val="00EB5ED2"/>
    <w:rsid w:val="00EC0DBC"/>
    <w:rsid w:val="00EC1CCC"/>
    <w:rsid w:val="00ED0142"/>
    <w:rsid w:val="00ED0C01"/>
    <w:rsid w:val="00ED13D8"/>
    <w:rsid w:val="00ED30CD"/>
    <w:rsid w:val="00ED40C5"/>
    <w:rsid w:val="00ED574A"/>
    <w:rsid w:val="00ED60BD"/>
    <w:rsid w:val="00EE5D88"/>
    <w:rsid w:val="00EF2999"/>
    <w:rsid w:val="00EF6DFC"/>
    <w:rsid w:val="00EF75A3"/>
    <w:rsid w:val="00EF7C4B"/>
    <w:rsid w:val="00F036D2"/>
    <w:rsid w:val="00F03A54"/>
    <w:rsid w:val="00F04B2D"/>
    <w:rsid w:val="00F075E1"/>
    <w:rsid w:val="00F0768E"/>
    <w:rsid w:val="00F11EBA"/>
    <w:rsid w:val="00F13564"/>
    <w:rsid w:val="00F13C74"/>
    <w:rsid w:val="00F1586D"/>
    <w:rsid w:val="00F16374"/>
    <w:rsid w:val="00F21520"/>
    <w:rsid w:val="00F235E7"/>
    <w:rsid w:val="00F23787"/>
    <w:rsid w:val="00F27252"/>
    <w:rsid w:val="00F3395B"/>
    <w:rsid w:val="00F34D1F"/>
    <w:rsid w:val="00F3623A"/>
    <w:rsid w:val="00F36253"/>
    <w:rsid w:val="00F36825"/>
    <w:rsid w:val="00F36A98"/>
    <w:rsid w:val="00F37BC8"/>
    <w:rsid w:val="00F411B4"/>
    <w:rsid w:val="00F42EC3"/>
    <w:rsid w:val="00F43610"/>
    <w:rsid w:val="00F5112A"/>
    <w:rsid w:val="00F53AFB"/>
    <w:rsid w:val="00F54C17"/>
    <w:rsid w:val="00F557BB"/>
    <w:rsid w:val="00F55F69"/>
    <w:rsid w:val="00F56997"/>
    <w:rsid w:val="00F56BE7"/>
    <w:rsid w:val="00F576CB"/>
    <w:rsid w:val="00F60431"/>
    <w:rsid w:val="00F60AF6"/>
    <w:rsid w:val="00F63DF3"/>
    <w:rsid w:val="00F653C9"/>
    <w:rsid w:val="00F655AB"/>
    <w:rsid w:val="00F67804"/>
    <w:rsid w:val="00F76FA5"/>
    <w:rsid w:val="00F77FA6"/>
    <w:rsid w:val="00F80E2C"/>
    <w:rsid w:val="00F813A2"/>
    <w:rsid w:val="00F840C7"/>
    <w:rsid w:val="00F84DB5"/>
    <w:rsid w:val="00F85362"/>
    <w:rsid w:val="00F90300"/>
    <w:rsid w:val="00F91947"/>
    <w:rsid w:val="00F9356A"/>
    <w:rsid w:val="00F94E45"/>
    <w:rsid w:val="00F94FBC"/>
    <w:rsid w:val="00F95D6D"/>
    <w:rsid w:val="00FA2CA9"/>
    <w:rsid w:val="00FA6A81"/>
    <w:rsid w:val="00FB084F"/>
    <w:rsid w:val="00FB50F6"/>
    <w:rsid w:val="00FC044B"/>
    <w:rsid w:val="00FC1494"/>
    <w:rsid w:val="00FC1AC7"/>
    <w:rsid w:val="00FC1FC7"/>
    <w:rsid w:val="00FC4DF3"/>
    <w:rsid w:val="00FC6981"/>
    <w:rsid w:val="00FC78FE"/>
    <w:rsid w:val="00FC7F23"/>
    <w:rsid w:val="00FE1C71"/>
    <w:rsid w:val="00FE26AB"/>
    <w:rsid w:val="00FE612E"/>
    <w:rsid w:val="00FF5A1F"/>
    <w:rsid w:val="00FF63C3"/>
    <w:rsid w:val="4FF3593F"/>
    <w:rsid w:val="774FE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3593F"/>
  <w15:chartTrackingRefBased/>
  <w15:docId w15:val="{47B9E39C-F992-4151-8B55-183074E6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843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215BBB"/>
    <w:rPr>
      <w:color w:val="0000FF"/>
      <w:u w:val="single"/>
    </w:rPr>
  </w:style>
  <w:style w:type="table" w:styleId="TableGrid">
    <w:name w:val="Table Grid"/>
    <w:basedOn w:val="TableNormal"/>
    <w:uiPriority w:val="39"/>
    <w:rsid w:val="00020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55376"/>
    <w:rPr>
      <w:b/>
      <w:bCs/>
    </w:rPr>
  </w:style>
  <w:style w:type="paragraph" w:styleId="ListParagraph">
    <w:name w:val="List Paragraph"/>
    <w:basedOn w:val="Normal"/>
    <w:uiPriority w:val="34"/>
    <w:qFormat/>
    <w:rsid w:val="0042731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E26A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83B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3B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3B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B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3B49"/>
    <w:rPr>
      <w:b/>
      <w:bCs/>
      <w:sz w:val="20"/>
      <w:szCs w:val="20"/>
    </w:rPr>
  </w:style>
  <w:style w:type="paragraph" w:styleId="NoSpacing">
    <w:name w:val="No Spacing"/>
    <w:uiPriority w:val="1"/>
    <w:qFormat/>
    <w:rsid w:val="00115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2660ED"/>
    <w:rPr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semiHidden/>
    <w:unhideWhenUsed/>
    <w:rsid w:val="00214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4BE6"/>
  </w:style>
  <w:style w:type="paragraph" w:styleId="Footer">
    <w:name w:val="footer"/>
    <w:basedOn w:val="Normal"/>
    <w:link w:val="FooterChar"/>
    <w:uiPriority w:val="99"/>
    <w:semiHidden/>
    <w:unhideWhenUsed/>
    <w:rsid w:val="00214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4BE6"/>
  </w:style>
  <w:style w:type="paragraph" w:styleId="FootnoteText">
    <w:name w:val="footnote text"/>
    <w:basedOn w:val="Normal"/>
    <w:link w:val="FootnoteTextChar"/>
    <w:uiPriority w:val="99"/>
    <w:semiHidden/>
    <w:unhideWhenUsed/>
    <w:rsid w:val="00214BE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4B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14B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8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AB8A60FA7EEB41A71708AE1F73E818" ma:contentTypeVersion="6" ma:contentTypeDescription="Create a new document." ma:contentTypeScope="" ma:versionID="20bd1db857114118ba340667648d00e3">
  <xsd:schema xmlns:xsd="http://www.w3.org/2001/XMLSchema" xmlns:xs="http://www.w3.org/2001/XMLSchema" xmlns:p="http://schemas.microsoft.com/office/2006/metadata/properties" xmlns:ns2="6f4be08e-411c-46b5-96d9-21b09ce1a814" xmlns:ns3="36d56cdf-b6ba-4bb9-8577-55ab7af95163" targetNamespace="http://schemas.microsoft.com/office/2006/metadata/properties" ma:root="true" ma:fieldsID="ddf47222c14bb288c0ca0418ff98a8d3" ns2:_="" ns3:_="">
    <xsd:import namespace="6f4be08e-411c-46b5-96d9-21b09ce1a814"/>
    <xsd:import namespace="36d56cdf-b6ba-4bb9-8577-55ab7af951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be08e-411c-46b5-96d9-21b09ce1a8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56cdf-b6ba-4bb9-8577-55ab7af951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288C1-52B1-4382-9571-3EAFF37A45D0}">
  <ds:schemaRefs>
    <ds:schemaRef ds:uri="36d56cdf-b6ba-4bb9-8577-55ab7af95163"/>
    <ds:schemaRef ds:uri="6f4be08e-411c-46b5-96d9-21b09ce1a814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CCE3CB-5F57-43B2-8CBE-5687FABFE4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372047-D9DA-4318-85A8-21D2BEE8AD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76778A-2051-48D0-BF3C-43AF38C4B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be08e-411c-46b5-96d9-21b09ce1a814"/>
    <ds:schemaRef ds:uri="36d56cdf-b6ba-4bb9-8577-55ab7af95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3091</Words>
  <Characters>17620</Characters>
  <Application>Microsoft Office Word</Application>
  <DocSecurity>0</DocSecurity>
  <Lines>146</Lines>
  <Paragraphs>41</Paragraphs>
  <ScaleCrop>false</ScaleCrop>
  <Company/>
  <LinksUpToDate>false</LinksUpToDate>
  <CharactersWithSpaces>20670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Farina, Alissa</dc:creator>
  <cp:keywords/>
  <dc:description/>
  <cp:lastModifiedBy>Reinoso, Carol</cp:lastModifiedBy>
  <cp:revision>2</cp:revision>
  <dcterms:created xsi:type="dcterms:W3CDTF">2024-04-02T00:35:00Z</dcterms:created>
  <dcterms:modified xsi:type="dcterms:W3CDTF">2024-04-02T00:35:00Z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0x010100BFAB8A60FA7EEB41A71708AE1F73E818</vt:lpwstr>
  </property>
</Properties>
</file>