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9A99BD" w14:textId="77777777" w:rsidR="00EE7AB9" w:rsidRPr="004B0732" w:rsidRDefault="00EE7AB9" w:rsidP="00EE7AB9">
      <w:pPr>
        <w:pStyle w:val="Heading1"/>
      </w:pPr>
      <w:bookmarkStart w:id="0" w:name="_Toc162549169"/>
      <w:r w:rsidRPr="004B0732">
        <w:t>Section 7. Budget</w:t>
      </w:r>
      <w:bookmarkEnd w:id="0"/>
    </w:p>
    <w:p w14:paraId="1808DE46" w14:textId="77777777" w:rsidR="00EE7AB9" w:rsidRDefault="00EE7AB9" w:rsidP="00EE7AB9">
      <w:pPr>
        <w:jc w:val="both"/>
      </w:pPr>
      <w:r>
        <w:t>This budget narrative includes a detailed overview of the project budget, including an itemized budget table, and discussion of New Bedford’s approach to ensuring proper management of grant funds. This section is organized by budget category.</w:t>
      </w:r>
    </w:p>
    <w:p w14:paraId="2743EB96" w14:textId="77777777" w:rsidR="00EE7AB9" w:rsidRPr="00201773" w:rsidRDefault="00EE7AB9" w:rsidP="00EE7AB9">
      <w:pPr>
        <w:pStyle w:val="Heading2"/>
      </w:pPr>
      <w:bookmarkStart w:id="1" w:name="_Toc162549170"/>
      <w:r w:rsidRPr="00201773">
        <w:t>Personnel</w:t>
      </w:r>
      <w:bookmarkEnd w:id="1"/>
    </w:p>
    <w:p w14:paraId="73B1B042" w14:textId="4377C4B0" w:rsidR="00EE7AB9" w:rsidRDefault="00EE7AB9" w:rsidP="00EE7AB9">
      <w:pPr>
        <w:jc w:val="both"/>
      </w:pPr>
      <w:r>
        <w:t>This section outlines the personnel-related costs associated with the building One-Stop-Shop. Personnel costs cover direct expenses for the salaries of individuals directly engaged in project activities. It is anticipated that successful implementation of this program in the timeline will require New Bedford to hire 3 full-time positions to manage and operate the program and all the reporting requirements and utilize 1 shared staff member with other programs, resulting in a total staff cost for the program to of $1,353,780.</w:t>
      </w:r>
    </w:p>
    <w:p w14:paraId="02C3BADB" w14:textId="77777777" w:rsidR="00EE7AB9" w:rsidRDefault="00EE7AB9" w:rsidP="00EE7AB9">
      <w:pPr>
        <w:pStyle w:val="Heading4"/>
      </w:pPr>
      <w:r>
        <w:t>Staff Positions</w:t>
      </w:r>
    </w:p>
    <w:p w14:paraId="29E4262C" w14:textId="77777777" w:rsidR="00EE7AB9" w:rsidRDefault="00EE7AB9" w:rsidP="00EE7AB9">
      <w:r>
        <w:t>Listed below are the staff positions by title, along with corresponding details for each:</w:t>
      </w:r>
    </w:p>
    <w:p w14:paraId="30992BD2" w14:textId="77777777" w:rsidR="00EE7AB9" w:rsidRPr="00BF3BB2" w:rsidRDefault="00EE7AB9" w:rsidP="00EE7AB9">
      <w:pPr>
        <w:pStyle w:val="ListParagraph"/>
        <w:numPr>
          <w:ilvl w:val="0"/>
          <w:numId w:val="2"/>
        </w:numPr>
        <w:rPr>
          <w:b/>
          <w:bCs/>
        </w:rPr>
      </w:pPr>
      <w:r w:rsidRPr="00BF3BB2">
        <w:rPr>
          <w:b/>
          <w:bCs/>
        </w:rPr>
        <w:t xml:space="preserve">Position </w:t>
      </w:r>
      <w:r>
        <w:rPr>
          <w:b/>
          <w:bCs/>
        </w:rPr>
        <w:t>1</w:t>
      </w:r>
      <w:r w:rsidRPr="00BF3BB2">
        <w:rPr>
          <w:b/>
          <w:bCs/>
        </w:rPr>
        <w:t xml:space="preserve">: </w:t>
      </w:r>
      <w:r>
        <w:rPr>
          <w:b/>
          <w:bCs/>
        </w:rPr>
        <w:t>Program Manager</w:t>
      </w:r>
    </w:p>
    <w:p w14:paraId="7F32ECDB" w14:textId="77777777" w:rsidR="00EE7AB9" w:rsidRDefault="00EE7AB9" w:rsidP="00EE7AB9">
      <w:pPr>
        <w:pStyle w:val="ListParagraph"/>
        <w:numPr>
          <w:ilvl w:val="1"/>
          <w:numId w:val="2"/>
        </w:numPr>
      </w:pPr>
      <w:r>
        <w:t>Annual Salary: $75,000 (5% annual increase)</w:t>
      </w:r>
    </w:p>
    <w:p w14:paraId="5FB57808" w14:textId="77777777" w:rsidR="00EE7AB9" w:rsidRDefault="00EE7AB9" w:rsidP="00EE7AB9">
      <w:pPr>
        <w:pStyle w:val="ListParagraph"/>
        <w:numPr>
          <w:ilvl w:val="1"/>
          <w:numId w:val="2"/>
        </w:numPr>
      </w:pPr>
      <w:r>
        <w:t>Number of Employees: 1 FTE</w:t>
      </w:r>
    </w:p>
    <w:p w14:paraId="4FCAA917" w14:textId="77777777" w:rsidR="00EE7AB9" w:rsidRDefault="00EE7AB9" w:rsidP="00EE7AB9">
      <w:pPr>
        <w:pStyle w:val="ListParagraph"/>
        <w:numPr>
          <w:ilvl w:val="1"/>
          <w:numId w:val="2"/>
        </w:numPr>
      </w:pPr>
      <w:r>
        <w:t>Percentage of Time Assigned to Project: 100%</w:t>
      </w:r>
    </w:p>
    <w:p w14:paraId="2CC5BD8F" w14:textId="77777777" w:rsidR="00EE7AB9" w:rsidRDefault="00EE7AB9" w:rsidP="00EE7AB9">
      <w:pPr>
        <w:pStyle w:val="ListParagraph"/>
        <w:numPr>
          <w:ilvl w:val="1"/>
          <w:numId w:val="2"/>
        </w:numPr>
      </w:pPr>
      <w:r>
        <w:t xml:space="preserve">Total Cost for the Budget Period: </w:t>
      </w:r>
      <w:r w:rsidRPr="00B0191C">
        <w:t>$</w:t>
      </w:r>
      <w:r>
        <w:t>414,422</w:t>
      </w:r>
    </w:p>
    <w:p w14:paraId="3905E77F" w14:textId="77777777" w:rsidR="00EE7AB9" w:rsidRPr="00A461FC" w:rsidRDefault="00EE7AB9" w:rsidP="00EE7AB9">
      <w:pPr>
        <w:pStyle w:val="ListParagraph"/>
        <w:numPr>
          <w:ilvl w:val="0"/>
          <w:numId w:val="2"/>
        </w:numPr>
        <w:rPr>
          <w:b/>
          <w:bCs/>
        </w:rPr>
      </w:pPr>
      <w:r w:rsidRPr="00A461FC">
        <w:rPr>
          <w:b/>
          <w:bCs/>
        </w:rPr>
        <w:t xml:space="preserve">Position </w:t>
      </w:r>
      <w:r>
        <w:rPr>
          <w:b/>
          <w:bCs/>
        </w:rPr>
        <w:t>2</w:t>
      </w:r>
      <w:r w:rsidRPr="00A461FC">
        <w:rPr>
          <w:b/>
          <w:bCs/>
        </w:rPr>
        <w:t xml:space="preserve">: </w:t>
      </w:r>
      <w:r>
        <w:rPr>
          <w:b/>
          <w:bCs/>
        </w:rPr>
        <w:t>Buildings</w:t>
      </w:r>
      <w:r w:rsidRPr="00A461FC">
        <w:rPr>
          <w:b/>
          <w:bCs/>
        </w:rPr>
        <w:t xml:space="preserve"> Specialist</w:t>
      </w:r>
      <w:r>
        <w:rPr>
          <w:b/>
          <w:bCs/>
        </w:rPr>
        <w:t xml:space="preserve"> </w:t>
      </w:r>
    </w:p>
    <w:p w14:paraId="328ED718" w14:textId="77777777" w:rsidR="00EE7AB9" w:rsidRPr="00A461FC" w:rsidRDefault="00EE7AB9" w:rsidP="00EE7AB9">
      <w:pPr>
        <w:pStyle w:val="ListParagraph"/>
        <w:numPr>
          <w:ilvl w:val="1"/>
          <w:numId w:val="2"/>
        </w:numPr>
      </w:pPr>
      <w:r w:rsidRPr="00A461FC">
        <w:t>Annual Salary: $</w:t>
      </w:r>
      <w:r>
        <w:t>8</w:t>
      </w:r>
      <w:r w:rsidRPr="00A461FC">
        <w:t>5,000 (5% annual increase)</w:t>
      </w:r>
    </w:p>
    <w:p w14:paraId="2CDE7309" w14:textId="77777777" w:rsidR="00EE7AB9" w:rsidRPr="00A461FC" w:rsidRDefault="00EE7AB9" w:rsidP="00EE7AB9">
      <w:pPr>
        <w:pStyle w:val="ListParagraph"/>
        <w:numPr>
          <w:ilvl w:val="1"/>
          <w:numId w:val="2"/>
        </w:numPr>
      </w:pPr>
      <w:r w:rsidRPr="00A461FC">
        <w:t>Number of Employees: 1 FTE</w:t>
      </w:r>
    </w:p>
    <w:p w14:paraId="6CEFE666" w14:textId="77777777" w:rsidR="00EE7AB9" w:rsidRPr="00A461FC" w:rsidRDefault="00EE7AB9" w:rsidP="00EE7AB9">
      <w:pPr>
        <w:pStyle w:val="ListParagraph"/>
        <w:numPr>
          <w:ilvl w:val="1"/>
          <w:numId w:val="2"/>
        </w:numPr>
      </w:pPr>
      <w:r w:rsidRPr="00A461FC">
        <w:t>Percentage of Time Assigned to Project: 100%</w:t>
      </w:r>
    </w:p>
    <w:p w14:paraId="4A66D7DB" w14:textId="77777777" w:rsidR="00EE7AB9" w:rsidRPr="00A461FC" w:rsidRDefault="00EE7AB9" w:rsidP="00EE7AB9">
      <w:pPr>
        <w:pStyle w:val="ListParagraph"/>
        <w:numPr>
          <w:ilvl w:val="1"/>
          <w:numId w:val="2"/>
        </w:numPr>
      </w:pPr>
      <w:r w:rsidRPr="00A461FC">
        <w:t>Total Cost for the Budget Period: $4</w:t>
      </w:r>
      <w:r>
        <w:t>69,679</w:t>
      </w:r>
    </w:p>
    <w:p w14:paraId="6673CFB0" w14:textId="77777777" w:rsidR="00EE7AB9" w:rsidRPr="00BF3BB2" w:rsidRDefault="00EE7AB9" w:rsidP="00EE7AB9">
      <w:pPr>
        <w:pStyle w:val="ListParagraph"/>
        <w:numPr>
          <w:ilvl w:val="0"/>
          <w:numId w:val="2"/>
        </w:numPr>
        <w:rPr>
          <w:b/>
          <w:bCs/>
        </w:rPr>
      </w:pPr>
      <w:r w:rsidRPr="00BF3BB2">
        <w:rPr>
          <w:b/>
          <w:bCs/>
        </w:rPr>
        <w:t xml:space="preserve">Position </w:t>
      </w:r>
      <w:r>
        <w:rPr>
          <w:b/>
          <w:bCs/>
        </w:rPr>
        <w:t>3:</w:t>
      </w:r>
      <w:r w:rsidRPr="00BF3BB2">
        <w:rPr>
          <w:b/>
          <w:bCs/>
        </w:rPr>
        <w:t xml:space="preserve"> </w:t>
      </w:r>
      <w:r>
        <w:rPr>
          <w:b/>
          <w:bCs/>
        </w:rPr>
        <w:t>Program Administrator</w:t>
      </w:r>
    </w:p>
    <w:p w14:paraId="03F378B2" w14:textId="77777777" w:rsidR="00EE7AB9" w:rsidRDefault="00EE7AB9" w:rsidP="00EE7AB9">
      <w:pPr>
        <w:pStyle w:val="ListParagraph"/>
        <w:numPr>
          <w:ilvl w:val="1"/>
          <w:numId w:val="2"/>
        </w:numPr>
      </w:pPr>
      <w:r>
        <w:t>Annual Salary: $55,000 (5% annual increase)</w:t>
      </w:r>
    </w:p>
    <w:p w14:paraId="2E69EB67" w14:textId="77777777" w:rsidR="00EE7AB9" w:rsidRDefault="00EE7AB9" w:rsidP="00EE7AB9">
      <w:pPr>
        <w:pStyle w:val="ListParagraph"/>
        <w:numPr>
          <w:ilvl w:val="1"/>
          <w:numId w:val="2"/>
        </w:numPr>
      </w:pPr>
      <w:r>
        <w:t>Number of Employees: 1 FTE</w:t>
      </w:r>
    </w:p>
    <w:p w14:paraId="3078A4BD" w14:textId="77777777" w:rsidR="00EE7AB9" w:rsidRDefault="00EE7AB9" w:rsidP="00EE7AB9">
      <w:pPr>
        <w:pStyle w:val="ListParagraph"/>
        <w:numPr>
          <w:ilvl w:val="1"/>
          <w:numId w:val="2"/>
        </w:numPr>
      </w:pPr>
      <w:r>
        <w:t>Percentage of Time Assigned to Project: 100%</w:t>
      </w:r>
    </w:p>
    <w:p w14:paraId="1F54A3BB" w14:textId="77777777" w:rsidR="00EE7AB9" w:rsidRDefault="00EE7AB9" w:rsidP="00EE7AB9">
      <w:pPr>
        <w:pStyle w:val="ListParagraph"/>
        <w:numPr>
          <w:ilvl w:val="1"/>
          <w:numId w:val="2"/>
        </w:numPr>
      </w:pPr>
      <w:r>
        <w:t xml:space="preserve">Total Cost for the Budget Period: </w:t>
      </w:r>
      <w:r w:rsidRPr="00B0191C">
        <w:t>$</w:t>
      </w:r>
      <w:r>
        <w:t>303,910</w:t>
      </w:r>
    </w:p>
    <w:p w14:paraId="0D19F1D6" w14:textId="77777777" w:rsidR="00EE7AB9" w:rsidRPr="00BF3BB2" w:rsidRDefault="00EE7AB9" w:rsidP="00EE7AB9">
      <w:pPr>
        <w:pStyle w:val="ListParagraph"/>
        <w:numPr>
          <w:ilvl w:val="0"/>
          <w:numId w:val="2"/>
        </w:numPr>
        <w:rPr>
          <w:b/>
          <w:bCs/>
        </w:rPr>
      </w:pPr>
      <w:r w:rsidRPr="00BF3BB2">
        <w:rPr>
          <w:b/>
          <w:bCs/>
        </w:rPr>
        <w:t xml:space="preserve">Position </w:t>
      </w:r>
      <w:r>
        <w:rPr>
          <w:b/>
          <w:bCs/>
        </w:rPr>
        <w:t>4:</w:t>
      </w:r>
      <w:r w:rsidRPr="00BF3BB2">
        <w:rPr>
          <w:b/>
          <w:bCs/>
        </w:rPr>
        <w:t xml:space="preserve"> </w:t>
      </w:r>
      <w:r>
        <w:rPr>
          <w:b/>
          <w:bCs/>
        </w:rPr>
        <w:t>Energy Coordinator</w:t>
      </w:r>
    </w:p>
    <w:p w14:paraId="375F5B5C" w14:textId="77777777" w:rsidR="00EE7AB9" w:rsidRDefault="00EE7AB9" w:rsidP="00EE7AB9">
      <w:pPr>
        <w:pStyle w:val="ListParagraph"/>
        <w:numPr>
          <w:ilvl w:val="1"/>
          <w:numId w:val="2"/>
        </w:numPr>
      </w:pPr>
      <w:r>
        <w:t>Annual Salary: $60,000 (5% annual increase)</w:t>
      </w:r>
    </w:p>
    <w:p w14:paraId="6040B03C" w14:textId="77777777" w:rsidR="00EE7AB9" w:rsidRDefault="00EE7AB9" w:rsidP="00EE7AB9">
      <w:pPr>
        <w:pStyle w:val="ListParagraph"/>
        <w:numPr>
          <w:ilvl w:val="1"/>
          <w:numId w:val="2"/>
        </w:numPr>
      </w:pPr>
      <w:r>
        <w:t>Number of Employees: 1 FTE</w:t>
      </w:r>
    </w:p>
    <w:p w14:paraId="2CB5E981" w14:textId="77777777" w:rsidR="00EE7AB9" w:rsidRDefault="00EE7AB9" w:rsidP="00EE7AB9">
      <w:pPr>
        <w:pStyle w:val="ListParagraph"/>
        <w:numPr>
          <w:ilvl w:val="1"/>
          <w:numId w:val="2"/>
        </w:numPr>
      </w:pPr>
      <w:r>
        <w:t>Percentage of Time Assigned to Project: 50%</w:t>
      </w:r>
    </w:p>
    <w:p w14:paraId="59CBCF6E" w14:textId="77777777" w:rsidR="00EE7AB9" w:rsidRDefault="00EE7AB9" w:rsidP="00EE7AB9">
      <w:pPr>
        <w:pStyle w:val="ListParagraph"/>
        <w:numPr>
          <w:ilvl w:val="1"/>
          <w:numId w:val="2"/>
        </w:numPr>
      </w:pPr>
      <w:r>
        <w:t>Total Cost for the Budget Period: $165,769</w:t>
      </w:r>
    </w:p>
    <w:p w14:paraId="7AE1996E" w14:textId="77777777" w:rsidR="00EE7AB9" w:rsidRDefault="00EE7AB9" w:rsidP="00EE7AB9"/>
    <w:p w14:paraId="3BC8156F" w14:textId="77777777" w:rsidR="00EE7AB9" w:rsidRDefault="00EE7AB9" w:rsidP="00EE7AB9">
      <w:pPr>
        <w:pStyle w:val="Heading4"/>
      </w:pPr>
      <w:bookmarkStart w:id="2" w:name="_Toc162549171"/>
      <w:r w:rsidRPr="00A82EFE">
        <w:rPr>
          <w:rStyle w:val="Heading2Char"/>
          <w:i w:val="0"/>
          <w:iCs w:val="0"/>
        </w:rPr>
        <w:t>Fringe Benefits</w:t>
      </w:r>
      <w:bookmarkEnd w:id="2"/>
      <w:r>
        <w:t xml:space="preserve"> </w:t>
      </w:r>
    </w:p>
    <w:p w14:paraId="05EB2290" w14:textId="77777777" w:rsidR="00EE7AB9" w:rsidRDefault="00EE7AB9" w:rsidP="00EE7AB9">
      <w:r>
        <w:t>In accordance with New Bedford’s compensation structure, fringe benefits constitute an integral component of the overall remuneration provided to employees. This section outlines the percentage allocated for fringe benefits and the specific types of benefits included in the proposed fringe rate.</w:t>
      </w:r>
    </w:p>
    <w:p w14:paraId="28999C9F" w14:textId="77777777" w:rsidR="00EE7AB9" w:rsidRDefault="00EE7AB9" w:rsidP="00EE7AB9">
      <w:pPr>
        <w:pStyle w:val="Heading4"/>
      </w:pPr>
      <w:r>
        <w:lastRenderedPageBreak/>
        <w:t>Fringe Benefits Percentage</w:t>
      </w:r>
    </w:p>
    <w:p w14:paraId="281A3CFB" w14:textId="77777777" w:rsidR="00EE7AB9" w:rsidRPr="00AB74FC" w:rsidRDefault="00EE7AB9" w:rsidP="00EE7AB9">
      <w:r>
        <w:t xml:space="preserve">The fringe </w:t>
      </w:r>
      <w:r w:rsidRPr="00AB74FC">
        <w:t xml:space="preserve">benefits percentage utilized by New Bedford is </w:t>
      </w:r>
      <w:r w:rsidRPr="00A82EFE">
        <w:t>42.</w:t>
      </w:r>
      <w:r w:rsidRPr="00AB74FC">
        <w:t xml:space="preserve">95% of total employee salaries and wages. </w:t>
      </w:r>
    </w:p>
    <w:p w14:paraId="11A22C06" w14:textId="77777777" w:rsidR="00EE7AB9" w:rsidRPr="00AB74FC" w:rsidRDefault="00EE7AB9" w:rsidP="00EE7AB9">
      <w:pPr>
        <w:pStyle w:val="Heading4"/>
      </w:pPr>
      <w:r w:rsidRPr="00AB74FC">
        <w:t>Types of Included Fringe Benefits</w:t>
      </w:r>
    </w:p>
    <w:p w14:paraId="5ABF9E26" w14:textId="43B79195" w:rsidR="00EE7AB9" w:rsidRDefault="00EE7AB9" w:rsidP="49101B16">
      <w:pPr>
        <w:sectPr w:rsidR="00EE7AB9" w:rsidSect="00EE7AB9">
          <w:headerReference w:type="default" r:id="rId11"/>
          <w:footerReference w:type="default" r:id="rId12"/>
          <w:pgSz w:w="12240" w:h="15840"/>
          <w:pgMar w:top="900" w:right="1440" w:bottom="1440" w:left="1440" w:header="720" w:footer="720" w:gutter="0"/>
          <w:cols w:space="720"/>
          <w:docGrid w:linePitch="360"/>
        </w:sectPr>
      </w:pPr>
      <w:r>
        <w:t>The fringe benefits incorporated within this percentage encompass a range of allowances and services designed to enhance the overall compensation package. The fringe benefit rate includes the following:</w:t>
      </w:r>
    </w:p>
    <w:p w14:paraId="04230C79" w14:textId="77777777" w:rsidR="00EE7AB9" w:rsidRPr="00A82EFE" w:rsidRDefault="00EE7AB9" w:rsidP="00EE7AB9">
      <w:pPr>
        <w:pStyle w:val="ListParagraph"/>
        <w:numPr>
          <w:ilvl w:val="0"/>
          <w:numId w:val="1"/>
        </w:numPr>
      </w:pPr>
      <w:r>
        <w:t>Holidays</w:t>
      </w:r>
    </w:p>
    <w:p w14:paraId="4FA22A50" w14:textId="77777777" w:rsidR="00EE7AB9" w:rsidRPr="00A82EFE" w:rsidRDefault="00EE7AB9" w:rsidP="00EE7AB9">
      <w:pPr>
        <w:pStyle w:val="ListParagraph"/>
        <w:numPr>
          <w:ilvl w:val="0"/>
          <w:numId w:val="1"/>
        </w:numPr>
      </w:pPr>
      <w:r>
        <w:t>Vacation Leave</w:t>
      </w:r>
    </w:p>
    <w:p w14:paraId="1B3E2D49" w14:textId="77777777" w:rsidR="00EE7AB9" w:rsidRPr="00A82EFE" w:rsidRDefault="00EE7AB9" w:rsidP="00EE7AB9">
      <w:pPr>
        <w:pStyle w:val="ListParagraph"/>
        <w:numPr>
          <w:ilvl w:val="0"/>
          <w:numId w:val="1"/>
        </w:numPr>
      </w:pPr>
      <w:r>
        <w:t>Sick Leave</w:t>
      </w:r>
    </w:p>
    <w:p w14:paraId="3B5C046A" w14:textId="77777777" w:rsidR="00EE7AB9" w:rsidRPr="00A82EFE" w:rsidRDefault="00EE7AB9" w:rsidP="00EE7AB9">
      <w:pPr>
        <w:pStyle w:val="ListParagraph"/>
        <w:numPr>
          <w:ilvl w:val="0"/>
          <w:numId w:val="1"/>
        </w:numPr>
      </w:pPr>
      <w:r>
        <w:t>Medicare</w:t>
      </w:r>
    </w:p>
    <w:p w14:paraId="54222781" w14:textId="77777777" w:rsidR="00EE7AB9" w:rsidRPr="00A82EFE" w:rsidRDefault="00EE7AB9" w:rsidP="00EE7AB9">
      <w:pPr>
        <w:pStyle w:val="ListParagraph"/>
        <w:numPr>
          <w:ilvl w:val="0"/>
          <w:numId w:val="1"/>
        </w:numPr>
      </w:pPr>
      <w:r>
        <w:t>Unemployment</w:t>
      </w:r>
    </w:p>
    <w:p w14:paraId="3D526744" w14:textId="77777777" w:rsidR="00EE7AB9" w:rsidRPr="00A82EFE" w:rsidRDefault="00EE7AB9" w:rsidP="00EE7AB9">
      <w:pPr>
        <w:pStyle w:val="ListParagraph"/>
        <w:numPr>
          <w:ilvl w:val="0"/>
          <w:numId w:val="1"/>
        </w:numPr>
      </w:pPr>
      <w:r>
        <w:t>Worker’s Compensation</w:t>
      </w:r>
    </w:p>
    <w:p w14:paraId="1D5068A8" w14:textId="77777777" w:rsidR="00EE7AB9" w:rsidRPr="00A82EFE" w:rsidRDefault="00EE7AB9" w:rsidP="00EE7AB9">
      <w:pPr>
        <w:pStyle w:val="ListParagraph"/>
        <w:numPr>
          <w:ilvl w:val="0"/>
          <w:numId w:val="1"/>
        </w:numPr>
      </w:pPr>
      <w:r>
        <w:t>Retirement</w:t>
      </w:r>
    </w:p>
    <w:p w14:paraId="30CBBD6A" w14:textId="77777777" w:rsidR="00EE7AB9" w:rsidRPr="00A82EFE" w:rsidRDefault="00EE7AB9" w:rsidP="00EE7AB9">
      <w:pPr>
        <w:pStyle w:val="ListParagraph"/>
        <w:numPr>
          <w:ilvl w:val="0"/>
          <w:numId w:val="1"/>
        </w:numPr>
      </w:pPr>
      <w:r>
        <w:t>Health Benefits</w:t>
      </w:r>
    </w:p>
    <w:p w14:paraId="132E50D2" w14:textId="77777777" w:rsidR="00EE7AB9" w:rsidRPr="00A82EFE" w:rsidRDefault="00EE7AB9" w:rsidP="00EE7AB9">
      <w:pPr>
        <w:pStyle w:val="ListParagraph"/>
        <w:numPr>
          <w:ilvl w:val="0"/>
          <w:numId w:val="1"/>
        </w:numPr>
      </w:pPr>
      <w:r>
        <w:t>Life Insurance Benefits</w:t>
      </w:r>
    </w:p>
    <w:p w14:paraId="72DF3C70" w14:textId="77777777" w:rsidR="00EE7AB9" w:rsidRDefault="00EE7AB9" w:rsidP="00EE7AB9">
      <w:pPr>
        <w:pStyle w:val="Heading2"/>
        <w:sectPr w:rsidR="00EE7AB9" w:rsidSect="00EE7AB9">
          <w:headerReference w:type="default" r:id="rId13"/>
          <w:type w:val="continuous"/>
          <w:pgSz w:w="12240" w:h="15840"/>
          <w:pgMar w:top="1440" w:right="1440" w:bottom="1440" w:left="1440" w:header="720" w:footer="720" w:gutter="0"/>
          <w:cols w:num="2" w:space="720"/>
          <w:docGrid w:linePitch="360"/>
        </w:sectPr>
      </w:pPr>
    </w:p>
    <w:p w14:paraId="791E7EB5" w14:textId="77777777" w:rsidR="00EE7AB9" w:rsidRDefault="00EE7AB9" w:rsidP="00EE7AB9">
      <w:pPr>
        <w:pStyle w:val="Heading2"/>
      </w:pPr>
    </w:p>
    <w:p w14:paraId="21EFE6DC" w14:textId="77777777" w:rsidR="00EE7AB9" w:rsidRPr="00201773" w:rsidRDefault="00EE7AB9" w:rsidP="00EE7AB9">
      <w:pPr>
        <w:pStyle w:val="Heading2"/>
      </w:pPr>
      <w:bookmarkStart w:id="3" w:name="_Toc162549172"/>
      <w:r w:rsidRPr="00201773">
        <w:t>Travel</w:t>
      </w:r>
      <w:bookmarkEnd w:id="3"/>
    </w:p>
    <w:p w14:paraId="0B783834" w14:textId="77777777" w:rsidR="00EE7AB9" w:rsidRDefault="00EE7AB9" w:rsidP="00EE7AB9">
      <w:r>
        <w:t>Travel costs are categorized based on the nature of the travel, including mileage, per diem, the estimated number of trips, number of travelers, and other associated costs. Only expenses incurred by City Personnel are considered within this category.</w:t>
      </w:r>
    </w:p>
    <w:p w14:paraId="1E10D1CC" w14:textId="77777777" w:rsidR="00EE7AB9" w:rsidRDefault="00EE7AB9" w:rsidP="00EE7AB9">
      <w:pPr>
        <w:pStyle w:val="Heading4"/>
      </w:pPr>
      <w:r>
        <w:t>Out-of-State Travel</w:t>
      </w:r>
    </w:p>
    <w:p w14:paraId="064D4DB7" w14:textId="77777777" w:rsidR="00EE7AB9" w:rsidRDefault="00EE7AB9" w:rsidP="00EE7AB9">
      <w:pPr>
        <w:jc w:val="both"/>
      </w:pPr>
      <w:r>
        <w:t>The proposed project anticipates that the Program Manager will make 2 trips per year throughout the grant period to attend events and conferences across the U.S. and 1 trip within New England, as it is intended for the One Stop Shop to be a replicable model for other regions.</w:t>
      </w:r>
    </w:p>
    <w:p w14:paraId="5EAB0759" w14:textId="77777777" w:rsidR="00EE7AB9" w:rsidRDefault="00EE7AB9" w:rsidP="00EE7AB9">
      <w:pPr>
        <w:jc w:val="both"/>
      </w:pPr>
      <w:r>
        <w:t>Per diem allowances are budgeted to cover daily subsistence expenses for project-related travel. We used the 2024 per diem rates for Washington DC from the U.S. General Services Administration (GSA). The per diem rate employed is $79 per day, and the number of days for which per diem is applicable is 4 days per year. This allocation is intended for expenses related to meals and incidental costs during travel. The assumed cost of hotel accommodations is $225 per day (the average GSA rate for hotels for Washington DC in 2024), with 4 days per year. The assumed cost of airfare is $400 roundtrip for 2 roundtrip visits per year. Ground travel (taxis and rideshares) for out-of-state trips is assumed to cost $45 per year, and parking is assumed to cost $20 per day for 4 days per year.</w:t>
      </w:r>
    </w:p>
    <w:p w14:paraId="6245BF11" w14:textId="77777777" w:rsidR="00EE7AB9" w:rsidRDefault="00EE7AB9" w:rsidP="00EE7AB9">
      <w:pPr>
        <w:pStyle w:val="Heading4"/>
      </w:pPr>
      <w:r>
        <w:t>In-State/New England Travel</w:t>
      </w:r>
    </w:p>
    <w:p w14:paraId="28BFD1EF" w14:textId="77777777" w:rsidR="00EE7AB9" w:rsidRDefault="00EE7AB9" w:rsidP="00EE7AB9">
      <w:pPr>
        <w:jc w:val="both"/>
      </w:pPr>
      <w:r w:rsidRPr="00B836D3">
        <w:t xml:space="preserve">Mileage for local travel </w:t>
      </w:r>
      <w:r>
        <w:t xml:space="preserve">is assumed to be </w:t>
      </w:r>
      <w:r w:rsidRPr="00B836D3">
        <w:t>100 miles per year</w:t>
      </w:r>
      <w:r>
        <w:t xml:space="preserve"> for meetings and conferences within New England</w:t>
      </w:r>
      <w:r w:rsidRPr="00B836D3">
        <w:t>. Mileage rates have been increasing approximately $0.025 per year. With the 2024 rate at $0.67, we assume the following rates for each year: $0.695 (2025); $0.72 (2026); $0.745 (2027); $0.77 (2028).</w:t>
      </w:r>
    </w:p>
    <w:p w14:paraId="61E580BC" w14:textId="77777777" w:rsidR="00EE7AB9" w:rsidRPr="00201773" w:rsidRDefault="00EE7AB9" w:rsidP="00EE7AB9">
      <w:pPr>
        <w:pStyle w:val="Heading2"/>
      </w:pPr>
      <w:bookmarkStart w:id="4" w:name="_Toc162549173"/>
      <w:r w:rsidRPr="00201773">
        <w:t>Supplies</w:t>
      </w:r>
      <w:bookmarkEnd w:id="4"/>
    </w:p>
    <w:p w14:paraId="3C888E01" w14:textId="77777777" w:rsidR="00EE7AB9" w:rsidRDefault="00EE7AB9" w:rsidP="00EE7AB9">
      <w:r>
        <w:t xml:space="preserve">This section provides a breakdown of the tangible personal property categorized as "supplies" for the proposed project. "Supplies" refer to all tangible personal property other than "equipment," and include the following categories: Office Supplies. </w:t>
      </w:r>
    </w:p>
    <w:p w14:paraId="5DBC90CE" w14:textId="77777777" w:rsidR="00EE7AB9" w:rsidRDefault="00EE7AB9" w:rsidP="00EE7AB9">
      <w:pPr>
        <w:pStyle w:val="Heading4"/>
      </w:pPr>
      <w:r>
        <w:lastRenderedPageBreak/>
        <w:t>Supplies Categories</w:t>
      </w:r>
    </w:p>
    <w:p w14:paraId="260C23E0" w14:textId="77777777" w:rsidR="00EE7AB9" w:rsidRDefault="00EE7AB9" w:rsidP="00EE7AB9">
      <w:r>
        <w:t>Listed below are the categories of supplies to be procured under the project:</w:t>
      </w:r>
    </w:p>
    <w:p w14:paraId="3AC91793" w14:textId="77777777" w:rsidR="00EE7AB9" w:rsidRPr="003C1ED2" w:rsidRDefault="00EE7AB9" w:rsidP="00EE7AB9">
      <w:pPr>
        <w:pStyle w:val="ListParagraph"/>
        <w:numPr>
          <w:ilvl w:val="0"/>
          <w:numId w:val="3"/>
        </w:numPr>
        <w:rPr>
          <w:b/>
          <w:bCs/>
        </w:rPr>
      </w:pPr>
      <w:r w:rsidRPr="003C1ED2">
        <w:rPr>
          <w:b/>
          <w:bCs/>
        </w:rPr>
        <w:t xml:space="preserve">Category 1: </w:t>
      </w:r>
      <w:r>
        <w:rPr>
          <w:b/>
          <w:bCs/>
        </w:rPr>
        <w:t>Office Supplies</w:t>
      </w:r>
    </w:p>
    <w:p w14:paraId="4F9A3C04" w14:textId="77777777" w:rsidR="00EE7AB9" w:rsidRDefault="00EE7AB9" w:rsidP="00EE7AB9">
      <w:pPr>
        <w:pStyle w:val="ListParagraph"/>
        <w:numPr>
          <w:ilvl w:val="1"/>
          <w:numId w:val="3"/>
        </w:numPr>
      </w:pPr>
      <w:r>
        <w:t>Description of Supplies: Laptop Computers for new Personnel</w:t>
      </w:r>
    </w:p>
    <w:p w14:paraId="6AFD4895" w14:textId="77777777" w:rsidR="00EE7AB9" w:rsidRDefault="00EE7AB9" w:rsidP="00EE7AB9">
      <w:pPr>
        <w:pStyle w:val="ListParagraph"/>
        <w:numPr>
          <w:ilvl w:val="1"/>
          <w:numId w:val="3"/>
        </w:numPr>
      </w:pPr>
      <w:r>
        <w:t>Estimated Cost: $2,500 per laptop.</w:t>
      </w:r>
    </w:p>
    <w:p w14:paraId="11D661E2" w14:textId="77777777" w:rsidR="00EE7AB9" w:rsidRDefault="00EE7AB9" w:rsidP="00EE7AB9">
      <w:pPr>
        <w:pStyle w:val="ListParagraph"/>
        <w:numPr>
          <w:ilvl w:val="1"/>
          <w:numId w:val="3"/>
        </w:numPr>
      </w:pPr>
      <w:r>
        <w:t>Total Cost: $10,000 (assumes 4 new laptops)</w:t>
      </w:r>
    </w:p>
    <w:p w14:paraId="6875E85A" w14:textId="77777777" w:rsidR="00EE7AB9" w:rsidRPr="00201773" w:rsidRDefault="00EE7AB9" w:rsidP="00EE7AB9">
      <w:pPr>
        <w:pStyle w:val="Heading2"/>
      </w:pPr>
      <w:bookmarkStart w:id="5" w:name="_Toc162549174"/>
      <w:r w:rsidRPr="00201773">
        <w:t>Contractual</w:t>
      </w:r>
      <w:bookmarkEnd w:id="5"/>
    </w:p>
    <w:p w14:paraId="0E5FA8F4" w14:textId="77777777" w:rsidR="00EE7AB9" w:rsidRDefault="00EE7AB9" w:rsidP="00EE7AB9">
      <w:r>
        <w:t xml:space="preserve">This section outlines the proposed contractual services for the project. </w:t>
      </w:r>
    </w:p>
    <w:p w14:paraId="06E14D78" w14:textId="77777777" w:rsidR="00EE7AB9" w:rsidRPr="00756D40" w:rsidRDefault="00EE7AB9" w:rsidP="00EE7AB9">
      <w:pPr>
        <w:pStyle w:val="Heading5"/>
      </w:pPr>
      <w:r>
        <w:t>Contract 1: Program Design &amp; Coordination Contractor(s)</w:t>
      </w:r>
    </w:p>
    <w:p w14:paraId="0C65AA3F" w14:textId="77777777" w:rsidR="00EE7AB9" w:rsidRPr="0090060A" w:rsidRDefault="00EE7AB9" w:rsidP="00EE7AB9">
      <w:r w:rsidRPr="55A1964D">
        <w:rPr>
          <w:b/>
          <w:bCs/>
          <w:i/>
          <w:iCs/>
        </w:rPr>
        <w:t>Estimated Cost</w:t>
      </w:r>
      <w:r w:rsidRPr="55A1964D">
        <w:rPr>
          <w:i/>
          <w:iCs/>
        </w:rPr>
        <w:t>:</w:t>
      </w:r>
      <w:r>
        <w:t xml:space="preserve"> $150,000 </w:t>
      </w:r>
    </w:p>
    <w:p w14:paraId="3340E876" w14:textId="4A294DA7" w:rsidR="00EE7AB9" w:rsidRDefault="00EE7AB9" w:rsidP="00EE7AB9">
      <w:r w:rsidRPr="55A1964D">
        <w:rPr>
          <w:b/>
          <w:bCs/>
          <w:i/>
          <w:iCs/>
        </w:rPr>
        <w:t>Scope of Work</w:t>
      </w:r>
      <w:r w:rsidRPr="55A1964D">
        <w:rPr>
          <w:i/>
          <w:iCs/>
        </w:rPr>
        <w:t>:</w:t>
      </w:r>
      <w:r>
        <w:t xml:space="preserve"> New Bedford intends to engage a vendor to supplement the City staff’s capacity to  drive the process to design the One Stop Shop, support the development of the Requests for Proposals for the Program Administrator and the Construction Management Contractors, develop initial marketing materials, and manage the extensive coordination required at the beginning of grant, before the other Contractors and the new staff are hired to bring all the stakeholders together to deliver the outcomes proposed within the CPRG timeline.</w:t>
      </w:r>
    </w:p>
    <w:p w14:paraId="5C22CBD6" w14:textId="4050C04A" w:rsidR="00EE7AB9" w:rsidRDefault="00EE7AB9" w:rsidP="00EE7AB9">
      <w:r w:rsidRPr="00756D40">
        <w:rPr>
          <w:b/>
          <w:bCs/>
          <w:i/>
          <w:iCs/>
        </w:rPr>
        <w:t>Proposed Duration</w:t>
      </w:r>
      <w:r w:rsidRPr="00756D40">
        <w:rPr>
          <w:i/>
          <w:iCs/>
        </w:rPr>
        <w:t>:</w:t>
      </w:r>
      <w:r>
        <w:t xml:space="preserve"> October 2024 through September 2026</w:t>
      </w:r>
    </w:p>
    <w:p w14:paraId="3DF2A9D5" w14:textId="77777777" w:rsidR="00EE7AB9" w:rsidRDefault="00EE7AB9" w:rsidP="00EE7AB9">
      <w:r w:rsidRPr="00756D40">
        <w:rPr>
          <w:b/>
          <w:bCs/>
          <w:i/>
          <w:iCs/>
        </w:rPr>
        <w:t>Procurement Method</w:t>
      </w:r>
      <w:r w:rsidRPr="00756D40">
        <w:rPr>
          <w:i/>
          <w:iCs/>
        </w:rPr>
        <w:t>:</w:t>
      </w:r>
      <w:r>
        <w:t xml:space="preserve"> Competitive. The City may leverage existing contracts that have been competitively bid to provide these services in the interest of time and to maintain consistency with the work that is already underway through the EECBG and other funding sources.   </w:t>
      </w:r>
    </w:p>
    <w:p w14:paraId="216A2919" w14:textId="77777777" w:rsidR="00EE7AB9" w:rsidRDefault="00EE7AB9" w:rsidP="00EE7AB9">
      <w:pPr>
        <w:rPr>
          <w:b/>
          <w:bCs/>
          <w:u w:val="single"/>
        </w:rPr>
      </w:pPr>
    </w:p>
    <w:p w14:paraId="00B759F6" w14:textId="77777777" w:rsidR="00EE7AB9" w:rsidRPr="00756D40" w:rsidRDefault="00EE7AB9" w:rsidP="00EE7AB9">
      <w:pPr>
        <w:pStyle w:val="Heading5"/>
      </w:pPr>
      <w:r>
        <w:t>Contract 2: Program Administration Contractor</w:t>
      </w:r>
    </w:p>
    <w:p w14:paraId="1502D67C" w14:textId="77777777" w:rsidR="00EE7AB9" w:rsidRPr="0090060A" w:rsidRDefault="00EE7AB9" w:rsidP="00EE7AB9">
      <w:r w:rsidRPr="55A1964D">
        <w:rPr>
          <w:b/>
          <w:bCs/>
          <w:i/>
          <w:iCs/>
        </w:rPr>
        <w:t>Estimated Cost</w:t>
      </w:r>
      <w:r w:rsidRPr="55A1964D">
        <w:rPr>
          <w:i/>
          <w:iCs/>
        </w:rPr>
        <w:t>:</w:t>
      </w:r>
      <w:r>
        <w:t xml:space="preserve"> $6,796,526 for a Program Administrator for the One Stop Shop and $20,000,000 for implementation of home energy retrofits that will run through the One Stop Shop.</w:t>
      </w:r>
    </w:p>
    <w:p w14:paraId="28EB1BA8" w14:textId="77777777" w:rsidR="00EE7AB9" w:rsidRDefault="00EE7AB9" w:rsidP="00EE7AB9">
      <w:r w:rsidRPr="55A1964D">
        <w:rPr>
          <w:b/>
          <w:bCs/>
          <w:i/>
          <w:iCs/>
        </w:rPr>
        <w:t>Scope of Work</w:t>
      </w:r>
      <w:r w:rsidRPr="55A1964D">
        <w:rPr>
          <w:i/>
          <w:iCs/>
        </w:rPr>
        <w:t>:</w:t>
      </w:r>
      <w:r>
        <w:t xml:space="preserve"> New Bedford intends to contract an organization to serve as the Program Administrator  for the One Stop Shop. This organization will have a team of staff dedicated to overseeing and marketing the program, identifying financial and technical resources, coordinating with community partners, evaluating the program, reporting to the City of New Bedford, and directly administering funds for project costs.</w:t>
      </w:r>
    </w:p>
    <w:p w14:paraId="5E90BB62" w14:textId="77777777" w:rsidR="00EE7AB9" w:rsidRDefault="00EE7AB9" w:rsidP="00EE7AB9">
      <w:r w:rsidRPr="00756D40">
        <w:rPr>
          <w:b/>
          <w:bCs/>
          <w:i/>
          <w:iCs/>
        </w:rPr>
        <w:t>Proposed Duration</w:t>
      </w:r>
      <w:r w:rsidRPr="00756D40">
        <w:rPr>
          <w:i/>
          <w:iCs/>
        </w:rPr>
        <w:t>:</w:t>
      </w:r>
      <w:r>
        <w:t xml:space="preserve"> January 2025 through October 2029</w:t>
      </w:r>
    </w:p>
    <w:p w14:paraId="71717B66" w14:textId="77777777" w:rsidR="00EE7AB9" w:rsidRDefault="00EE7AB9" w:rsidP="00EE7AB9">
      <w:r w:rsidRPr="00756D40">
        <w:rPr>
          <w:b/>
          <w:bCs/>
          <w:i/>
          <w:iCs/>
        </w:rPr>
        <w:t>Procurement Method</w:t>
      </w:r>
      <w:r w:rsidRPr="00756D40">
        <w:rPr>
          <w:i/>
          <w:iCs/>
        </w:rPr>
        <w:t>:</w:t>
      </w:r>
      <w:r>
        <w:t xml:space="preserve"> Competitive</w:t>
      </w:r>
    </w:p>
    <w:p w14:paraId="2997E3A7" w14:textId="77777777" w:rsidR="00EE7AB9" w:rsidRPr="004D58AA" w:rsidRDefault="00EE7AB9" w:rsidP="00EE7AB9">
      <w:pPr>
        <w:spacing w:after="0"/>
        <w:rPr>
          <w:sz w:val="20"/>
          <w:szCs w:val="20"/>
        </w:rPr>
      </w:pPr>
      <w:r w:rsidRPr="55A1964D">
        <w:rPr>
          <w:b/>
          <w:bCs/>
          <w:i/>
          <w:iCs/>
        </w:rPr>
        <w:t>Breakdown of Staff and Internal Costs</w:t>
      </w:r>
      <w:r w:rsidRPr="55A1964D">
        <w:rPr>
          <w:i/>
          <w:iCs/>
        </w:rPr>
        <w:t>:</w:t>
      </w:r>
      <w:r>
        <w:t xml:space="preserve"> It is assumed that the organization will need to hire or identify 9 full-time personnel, including 1 Project Director, 1 Finance Manager, 1 Finance Assistant, 1 Marketing Manager, 1 Marketing Assistant, and 4 Concierges. All staff will be full-time employees and are expected to receive a 5% annual salary increase. Leveraging program documentation from the existing Energy Trust of Oregon</w:t>
      </w:r>
      <w:r>
        <w:rPr>
          <w:rStyle w:val="FootnoteReference"/>
        </w:rPr>
        <w:footnoteReference w:id="1"/>
      </w:r>
      <w:r>
        <w:t>, New Bedford assumes a 1:1 ratio of staff costs to internal costs for the Program Administrator</w:t>
      </w:r>
      <w:r w:rsidRPr="004D58AA">
        <w:rPr>
          <w:sz w:val="24"/>
          <w:szCs w:val="24"/>
        </w:rPr>
        <w:t xml:space="preserve">. </w:t>
      </w:r>
      <w:r w:rsidRPr="004D58AA">
        <w:rPr>
          <w:b/>
          <w:bCs/>
        </w:rPr>
        <w:t xml:space="preserve"> </w:t>
      </w:r>
      <w:r w:rsidRPr="004D58AA">
        <w:t>These costs are summarized in Table 2.</w:t>
      </w:r>
    </w:p>
    <w:p w14:paraId="43055137" w14:textId="77777777" w:rsidR="00EE7AB9" w:rsidRDefault="00EE7AB9" w:rsidP="00EE7AB9">
      <w:pPr>
        <w:spacing w:after="0"/>
        <w:rPr>
          <w:b/>
          <w:bCs/>
          <w:sz w:val="20"/>
          <w:szCs w:val="20"/>
        </w:rPr>
      </w:pPr>
    </w:p>
    <w:p w14:paraId="3E0972C3" w14:textId="77777777" w:rsidR="00EE7AB9" w:rsidRPr="00974E16" w:rsidRDefault="00EE7AB9" w:rsidP="00EE7AB9">
      <w:pPr>
        <w:spacing w:after="0"/>
        <w:rPr>
          <w:b/>
          <w:bCs/>
          <w:sz w:val="20"/>
          <w:szCs w:val="20"/>
        </w:rPr>
      </w:pPr>
      <w:r w:rsidRPr="55A1964D">
        <w:rPr>
          <w:b/>
          <w:bCs/>
          <w:sz w:val="20"/>
          <w:szCs w:val="20"/>
        </w:rPr>
        <w:t xml:space="preserve">Table 2. Staff and Internal Costs for </w:t>
      </w:r>
      <w:r>
        <w:rPr>
          <w:b/>
          <w:bCs/>
          <w:sz w:val="20"/>
          <w:szCs w:val="20"/>
        </w:rPr>
        <w:t>the Program Administrator</w:t>
      </w:r>
    </w:p>
    <w:tbl>
      <w:tblPr>
        <w:tblStyle w:val="TableGrid"/>
        <w:tblW w:w="9508" w:type="dxa"/>
        <w:tblLook w:val="04A0" w:firstRow="1" w:lastRow="0" w:firstColumn="1" w:lastColumn="0" w:noHBand="0" w:noVBand="1"/>
      </w:tblPr>
      <w:tblGrid>
        <w:gridCol w:w="1075"/>
        <w:gridCol w:w="1515"/>
        <w:gridCol w:w="1346"/>
        <w:gridCol w:w="1395"/>
        <w:gridCol w:w="1414"/>
        <w:gridCol w:w="1345"/>
        <w:gridCol w:w="1418"/>
      </w:tblGrid>
      <w:tr w:rsidR="00EE7AB9" w14:paraId="2C46FE97" w14:textId="77777777" w:rsidTr="00A82EFE">
        <w:tc>
          <w:tcPr>
            <w:tcW w:w="1075" w:type="dxa"/>
            <w:shd w:val="clear" w:color="auto" w:fill="D9F2D0" w:themeFill="accent6" w:themeFillTint="33"/>
          </w:tcPr>
          <w:p w14:paraId="0B847D22" w14:textId="77777777" w:rsidR="00EE7AB9" w:rsidRPr="00542567" w:rsidRDefault="00EE7AB9" w:rsidP="00A82EFE">
            <w:pPr>
              <w:jc w:val="center"/>
              <w:rPr>
                <w:b/>
                <w:bCs/>
              </w:rPr>
            </w:pPr>
            <w:r w:rsidRPr="00542567">
              <w:rPr>
                <w:b/>
                <w:bCs/>
              </w:rPr>
              <w:t>Cost Type</w:t>
            </w:r>
          </w:p>
        </w:tc>
        <w:tc>
          <w:tcPr>
            <w:tcW w:w="1515" w:type="dxa"/>
            <w:shd w:val="clear" w:color="auto" w:fill="D9F2D0" w:themeFill="accent6" w:themeFillTint="33"/>
          </w:tcPr>
          <w:p w14:paraId="74C1301B" w14:textId="77777777" w:rsidR="00EE7AB9" w:rsidRPr="00542567" w:rsidRDefault="00EE7AB9" w:rsidP="00A82EFE">
            <w:pPr>
              <w:jc w:val="center"/>
              <w:rPr>
                <w:b/>
                <w:bCs/>
              </w:rPr>
            </w:pPr>
            <w:r w:rsidRPr="00542567">
              <w:rPr>
                <w:b/>
                <w:bCs/>
              </w:rPr>
              <w:t>Year 1</w:t>
            </w:r>
          </w:p>
        </w:tc>
        <w:tc>
          <w:tcPr>
            <w:tcW w:w="1346" w:type="dxa"/>
            <w:shd w:val="clear" w:color="auto" w:fill="D9F2D0" w:themeFill="accent6" w:themeFillTint="33"/>
          </w:tcPr>
          <w:p w14:paraId="325F62D6" w14:textId="77777777" w:rsidR="00EE7AB9" w:rsidRPr="00542567" w:rsidRDefault="00EE7AB9" w:rsidP="00A82EFE">
            <w:pPr>
              <w:jc w:val="center"/>
              <w:rPr>
                <w:b/>
                <w:bCs/>
              </w:rPr>
            </w:pPr>
            <w:r w:rsidRPr="00542567">
              <w:rPr>
                <w:b/>
                <w:bCs/>
              </w:rPr>
              <w:t>Year 2</w:t>
            </w:r>
          </w:p>
        </w:tc>
        <w:tc>
          <w:tcPr>
            <w:tcW w:w="1395" w:type="dxa"/>
            <w:shd w:val="clear" w:color="auto" w:fill="D9F2D0" w:themeFill="accent6" w:themeFillTint="33"/>
          </w:tcPr>
          <w:p w14:paraId="105F7C4B" w14:textId="77777777" w:rsidR="00EE7AB9" w:rsidRPr="00542567" w:rsidRDefault="00EE7AB9" w:rsidP="00A82EFE">
            <w:pPr>
              <w:jc w:val="center"/>
              <w:rPr>
                <w:b/>
                <w:bCs/>
              </w:rPr>
            </w:pPr>
            <w:r w:rsidRPr="00542567">
              <w:rPr>
                <w:b/>
                <w:bCs/>
              </w:rPr>
              <w:t>Year 3</w:t>
            </w:r>
          </w:p>
        </w:tc>
        <w:tc>
          <w:tcPr>
            <w:tcW w:w="1414" w:type="dxa"/>
            <w:shd w:val="clear" w:color="auto" w:fill="D9F2D0" w:themeFill="accent6" w:themeFillTint="33"/>
          </w:tcPr>
          <w:p w14:paraId="3A3006D6" w14:textId="77777777" w:rsidR="00EE7AB9" w:rsidRPr="00542567" w:rsidRDefault="00EE7AB9" w:rsidP="00A82EFE">
            <w:pPr>
              <w:jc w:val="center"/>
              <w:rPr>
                <w:b/>
                <w:bCs/>
              </w:rPr>
            </w:pPr>
            <w:r w:rsidRPr="00542567">
              <w:rPr>
                <w:b/>
                <w:bCs/>
              </w:rPr>
              <w:t>Year 4</w:t>
            </w:r>
          </w:p>
        </w:tc>
        <w:tc>
          <w:tcPr>
            <w:tcW w:w="1345" w:type="dxa"/>
            <w:shd w:val="clear" w:color="auto" w:fill="D9F2D0" w:themeFill="accent6" w:themeFillTint="33"/>
          </w:tcPr>
          <w:p w14:paraId="5F83256B" w14:textId="77777777" w:rsidR="00EE7AB9" w:rsidRPr="00542567" w:rsidRDefault="00EE7AB9" w:rsidP="00A82EFE">
            <w:pPr>
              <w:jc w:val="center"/>
              <w:rPr>
                <w:b/>
                <w:bCs/>
              </w:rPr>
            </w:pPr>
            <w:r w:rsidRPr="00542567">
              <w:rPr>
                <w:b/>
                <w:bCs/>
              </w:rPr>
              <w:t>Year 5</w:t>
            </w:r>
          </w:p>
        </w:tc>
        <w:tc>
          <w:tcPr>
            <w:tcW w:w="1418" w:type="dxa"/>
            <w:shd w:val="clear" w:color="auto" w:fill="D9F2D0" w:themeFill="accent6" w:themeFillTint="33"/>
          </w:tcPr>
          <w:p w14:paraId="453F665E" w14:textId="77777777" w:rsidR="00EE7AB9" w:rsidRPr="00542567" w:rsidRDefault="00EE7AB9" w:rsidP="00A82EFE">
            <w:pPr>
              <w:jc w:val="center"/>
              <w:rPr>
                <w:b/>
                <w:bCs/>
              </w:rPr>
            </w:pPr>
            <w:r w:rsidRPr="00542567">
              <w:rPr>
                <w:b/>
                <w:bCs/>
              </w:rPr>
              <w:t>Total</w:t>
            </w:r>
          </w:p>
        </w:tc>
      </w:tr>
      <w:tr w:rsidR="00EE7AB9" w14:paraId="74ED4A99" w14:textId="77777777" w:rsidTr="00A82EFE">
        <w:trPr>
          <w:trHeight w:val="537"/>
        </w:trPr>
        <w:tc>
          <w:tcPr>
            <w:tcW w:w="1075" w:type="dxa"/>
            <w:shd w:val="clear" w:color="auto" w:fill="F2CEED" w:themeFill="accent5" w:themeFillTint="33"/>
          </w:tcPr>
          <w:p w14:paraId="3AA1A38C" w14:textId="77777777" w:rsidR="00EE7AB9" w:rsidRPr="00542567" w:rsidRDefault="00EE7AB9" w:rsidP="00A82EFE">
            <w:pPr>
              <w:jc w:val="center"/>
              <w:rPr>
                <w:b/>
                <w:bCs/>
                <w:i/>
                <w:iCs/>
              </w:rPr>
            </w:pPr>
            <w:r w:rsidRPr="00542567">
              <w:rPr>
                <w:b/>
                <w:bCs/>
                <w:i/>
                <w:iCs/>
              </w:rPr>
              <w:t>Staff Costs</w:t>
            </w:r>
          </w:p>
        </w:tc>
        <w:tc>
          <w:tcPr>
            <w:tcW w:w="1515" w:type="dxa"/>
            <w:vAlign w:val="bottom"/>
          </w:tcPr>
          <w:p w14:paraId="660C10A4" w14:textId="77777777" w:rsidR="00EE7AB9" w:rsidRDefault="00EE7AB9" w:rsidP="00A82EFE">
            <w:pPr>
              <w:jc w:val="center"/>
              <w:rPr>
                <w:i/>
                <w:iCs/>
              </w:rPr>
            </w:pPr>
            <w:r>
              <w:rPr>
                <w:rFonts w:ascii="Calibri" w:hAnsi="Calibri" w:cs="Calibri"/>
                <w:color w:val="000000"/>
              </w:rPr>
              <w:t xml:space="preserve"> $ 615,000 </w:t>
            </w:r>
          </w:p>
        </w:tc>
        <w:tc>
          <w:tcPr>
            <w:tcW w:w="1346" w:type="dxa"/>
            <w:vAlign w:val="bottom"/>
          </w:tcPr>
          <w:p w14:paraId="77E75B29" w14:textId="77777777" w:rsidR="00EE7AB9" w:rsidRDefault="00EE7AB9" w:rsidP="00A82EFE">
            <w:pPr>
              <w:jc w:val="center"/>
              <w:rPr>
                <w:i/>
                <w:iCs/>
              </w:rPr>
            </w:pPr>
            <w:r>
              <w:rPr>
                <w:rFonts w:ascii="Calibri" w:hAnsi="Calibri" w:cs="Calibri"/>
                <w:color w:val="000000"/>
              </w:rPr>
              <w:t xml:space="preserve"> $ 645,750 </w:t>
            </w:r>
          </w:p>
        </w:tc>
        <w:tc>
          <w:tcPr>
            <w:tcW w:w="1395" w:type="dxa"/>
            <w:vAlign w:val="bottom"/>
          </w:tcPr>
          <w:p w14:paraId="01A13034" w14:textId="77777777" w:rsidR="00EE7AB9" w:rsidRDefault="00EE7AB9" w:rsidP="00A82EFE">
            <w:pPr>
              <w:jc w:val="center"/>
              <w:rPr>
                <w:i/>
                <w:iCs/>
              </w:rPr>
            </w:pPr>
            <w:r>
              <w:rPr>
                <w:rFonts w:ascii="Calibri" w:hAnsi="Calibri" w:cs="Calibri"/>
                <w:color w:val="000000"/>
              </w:rPr>
              <w:t xml:space="preserve"> $ 678,038 </w:t>
            </w:r>
          </w:p>
        </w:tc>
        <w:tc>
          <w:tcPr>
            <w:tcW w:w="1414" w:type="dxa"/>
            <w:vAlign w:val="bottom"/>
          </w:tcPr>
          <w:p w14:paraId="1FC2FB8E" w14:textId="77777777" w:rsidR="00EE7AB9" w:rsidRDefault="00EE7AB9" w:rsidP="00A82EFE">
            <w:pPr>
              <w:jc w:val="center"/>
              <w:rPr>
                <w:i/>
                <w:iCs/>
              </w:rPr>
            </w:pPr>
            <w:r>
              <w:rPr>
                <w:rFonts w:ascii="Calibri" w:hAnsi="Calibri" w:cs="Calibri"/>
                <w:color w:val="000000"/>
              </w:rPr>
              <w:t xml:space="preserve"> $ 711,939 </w:t>
            </w:r>
          </w:p>
        </w:tc>
        <w:tc>
          <w:tcPr>
            <w:tcW w:w="1345" w:type="dxa"/>
            <w:vAlign w:val="bottom"/>
          </w:tcPr>
          <w:p w14:paraId="16394710" w14:textId="77777777" w:rsidR="00EE7AB9" w:rsidRDefault="00EE7AB9" w:rsidP="00A82EFE">
            <w:pPr>
              <w:jc w:val="center"/>
              <w:rPr>
                <w:i/>
                <w:iCs/>
              </w:rPr>
            </w:pPr>
            <w:r>
              <w:rPr>
                <w:rFonts w:ascii="Calibri" w:hAnsi="Calibri" w:cs="Calibri"/>
                <w:color w:val="000000"/>
              </w:rPr>
              <w:t xml:space="preserve"> $ 747,536 </w:t>
            </w:r>
          </w:p>
        </w:tc>
        <w:tc>
          <w:tcPr>
            <w:tcW w:w="1418" w:type="dxa"/>
            <w:vAlign w:val="bottom"/>
          </w:tcPr>
          <w:p w14:paraId="2E67F2F0" w14:textId="77777777" w:rsidR="00EE7AB9" w:rsidRPr="00D84611" w:rsidRDefault="00EE7AB9" w:rsidP="00A82EFE">
            <w:pPr>
              <w:jc w:val="center"/>
            </w:pPr>
            <w:r>
              <w:rPr>
                <w:rFonts w:ascii="Calibri" w:hAnsi="Calibri" w:cs="Calibri"/>
                <w:color w:val="000000"/>
              </w:rPr>
              <w:t xml:space="preserve"> </w:t>
            </w:r>
          </w:p>
          <w:p w14:paraId="64DFB345" w14:textId="77777777" w:rsidR="00EE7AB9" w:rsidRPr="002B0081" w:rsidRDefault="00EE7AB9" w:rsidP="00A82EFE">
            <w:pPr>
              <w:jc w:val="center"/>
              <w:rPr>
                <w:rFonts w:ascii="Calibri" w:hAnsi="Calibri" w:cs="Calibri"/>
                <w:color w:val="000000"/>
              </w:rPr>
            </w:pPr>
            <w:r>
              <w:rPr>
                <w:rFonts w:ascii="Calibri" w:hAnsi="Calibri" w:cs="Calibri"/>
                <w:color w:val="000000"/>
              </w:rPr>
              <w:t xml:space="preserve">$ 3,398,263 </w:t>
            </w:r>
          </w:p>
        </w:tc>
      </w:tr>
      <w:tr w:rsidR="00EE7AB9" w14:paraId="01EE7C36" w14:textId="77777777" w:rsidTr="00A82EFE">
        <w:trPr>
          <w:trHeight w:val="537"/>
        </w:trPr>
        <w:tc>
          <w:tcPr>
            <w:tcW w:w="1075" w:type="dxa"/>
            <w:shd w:val="clear" w:color="auto" w:fill="F2CEED" w:themeFill="accent5" w:themeFillTint="33"/>
          </w:tcPr>
          <w:p w14:paraId="4E53C0B9" w14:textId="77777777" w:rsidR="00EE7AB9" w:rsidRPr="00542567" w:rsidRDefault="00EE7AB9" w:rsidP="00A82EFE">
            <w:pPr>
              <w:jc w:val="center"/>
              <w:rPr>
                <w:b/>
                <w:bCs/>
                <w:i/>
                <w:iCs/>
              </w:rPr>
            </w:pPr>
            <w:r w:rsidRPr="00542567">
              <w:rPr>
                <w:b/>
                <w:bCs/>
                <w:i/>
                <w:iCs/>
              </w:rPr>
              <w:t>Internal Costs</w:t>
            </w:r>
          </w:p>
        </w:tc>
        <w:tc>
          <w:tcPr>
            <w:tcW w:w="1515" w:type="dxa"/>
            <w:vAlign w:val="bottom"/>
          </w:tcPr>
          <w:p w14:paraId="7E155DD5" w14:textId="77777777" w:rsidR="00EE7AB9" w:rsidRDefault="00EE7AB9" w:rsidP="00A82EFE">
            <w:pPr>
              <w:jc w:val="center"/>
              <w:rPr>
                <w:i/>
                <w:iCs/>
              </w:rPr>
            </w:pPr>
            <w:r>
              <w:rPr>
                <w:rFonts w:ascii="Calibri" w:hAnsi="Calibri" w:cs="Calibri"/>
                <w:color w:val="000000"/>
              </w:rPr>
              <w:t xml:space="preserve"> $ 615,000 </w:t>
            </w:r>
          </w:p>
        </w:tc>
        <w:tc>
          <w:tcPr>
            <w:tcW w:w="1346" w:type="dxa"/>
            <w:vAlign w:val="bottom"/>
          </w:tcPr>
          <w:p w14:paraId="14BDB269" w14:textId="77777777" w:rsidR="00EE7AB9" w:rsidRDefault="00EE7AB9" w:rsidP="00A82EFE">
            <w:pPr>
              <w:jc w:val="center"/>
              <w:rPr>
                <w:i/>
                <w:iCs/>
              </w:rPr>
            </w:pPr>
            <w:r>
              <w:rPr>
                <w:rFonts w:ascii="Calibri" w:hAnsi="Calibri" w:cs="Calibri"/>
                <w:color w:val="000000"/>
              </w:rPr>
              <w:t xml:space="preserve"> $ 645,750 </w:t>
            </w:r>
          </w:p>
        </w:tc>
        <w:tc>
          <w:tcPr>
            <w:tcW w:w="1395" w:type="dxa"/>
            <w:vAlign w:val="bottom"/>
          </w:tcPr>
          <w:p w14:paraId="4C722DB3" w14:textId="77777777" w:rsidR="00EE7AB9" w:rsidRDefault="00EE7AB9" w:rsidP="00A82EFE">
            <w:pPr>
              <w:jc w:val="center"/>
              <w:rPr>
                <w:i/>
                <w:iCs/>
              </w:rPr>
            </w:pPr>
            <w:r>
              <w:rPr>
                <w:rFonts w:ascii="Calibri" w:hAnsi="Calibri" w:cs="Calibri"/>
                <w:color w:val="000000"/>
              </w:rPr>
              <w:t xml:space="preserve"> $ 678,038 </w:t>
            </w:r>
          </w:p>
        </w:tc>
        <w:tc>
          <w:tcPr>
            <w:tcW w:w="1414" w:type="dxa"/>
            <w:vAlign w:val="bottom"/>
          </w:tcPr>
          <w:p w14:paraId="535017C6" w14:textId="77777777" w:rsidR="00EE7AB9" w:rsidRDefault="00EE7AB9" w:rsidP="00A82EFE">
            <w:pPr>
              <w:jc w:val="center"/>
              <w:rPr>
                <w:i/>
                <w:iCs/>
              </w:rPr>
            </w:pPr>
            <w:r>
              <w:rPr>
                <w:rFonts w:ascii="Calibri" w:hAnsi="Calibri" w:cs="Calibri"/>
                <w:color w:val="000000"/>
              </w:rPr>
              <w:t xml:space="preserve"> $ 711,939 </w:t>
            </w:r>
          </w:p>
        </w:tc>
        <w:tc>
          <w:tcPr>
            <w:tcW w:w="1345" w:type="dxa"/>
            <w:vAlign w:val="bottom"/>
          </w:tcPr>
          <w:p w14:paraId="42ACE869" w14:textId="77777777" w:rsidR="00EE7AB9" w:rsidRDefault="00EE7AB9" w:rsidP="00A82EFE">
            <w:pPr>
              <w:jc w:val="center"/>
              <w:rPr>
                <w:i/>
                <w:iCs/>
              </w:rPr>
            </w:pPr>
            <w:r>
              <w:rPr>
                <w:rFonts w:ascii="Calibri" w:hAnsi="Calibri" w:cs="Calibri"/>
                <w:color w:val="000000"/>
              </w:rPr>
              <w:t xml:space="preserve"> $ 747,536 </w:t>
            </w:r>
          </w:p>
        </w:tc>
        <w:tc>
          <w:tcPr>
            <w:tcW w:w="1418" w:type="dxa"/>
            <w:vAlign w:val="bottom"/>
          </w:tcPr>
          <w:p w14:paraId="7E5CEA0B" w14:textId="77777777" w:rsidR="00EE7AB9" w:rsidRPr="00D84611" w:rsidRDefault="00EE7AB9" w:rsidP="00A82EFE">
            <w:pPr>
              <w:jc w:val="center"/>
            </w:pPr>
            <w:r>
              <w:rPr>
                <w:rFonts w:ascii="Calibri" w:hAnsi="Calibri" w:cs="Calibri"/>
                <w:color w:val="000000"/>
              </w:rPr>
              <w:t xml:space="preserve"> </w:t>
            </w:r>
          </w:p>
          <w:p w14:paraId="4D8BA966" w14:textId="77777777" w:rsidR="00EE7AB9" w:rsidRDefault="00EE7AB9" w:rsidP="00A82EFE">
            <w:pPr>
              <w:jc w:val="center"/>
              <w:rPr>
                <w:i/>
                <w:iCs/>
              </w:rPr>
            </w:pPr>
            <w:r>
              <w:rPr>
                <w:rFonts w:ascii="Calibri" w:hAnsi="Calibri" w:cs="Calibri"/>
                <w:color w:val="000000"/>
              </w:rPr>
              <w:t xml:space="preserve">$ 3,398,263 </w:t>
            </w:r>
          </w:p>
        </w:tc>
      </w:tr>
      <w:tr w:rsidR="00EE7AB9" w14:paraId="299DFF44" w14:textId="77777777" w:rsidTr="00A82EFE">
        <w:trPr>
          <w:trHeight w:val="537"/>
        </w:trPr>
        <w:tc>
          <w:tcPr>
            <w:tcW w:w="1075" w:type="dxa"/>
            <w:shd w:val="clear" w:color="auto" w:fill="D9D9D9" w:themeFill="background1" w:themeFillShade="D9"/>
          </w:tcPr>
          <w:p w14:paraId="351FC20A" w14:textId="77777777" w:rsidR="00EE7AB9" w:rsidRPr="00542567" w:rsidRDefault="00EE7AB9" w:rsidP="00A82EFE">
            <w:pPr>
              <w:jc w:val="center"/>
              <w:rPr>
                <w:b/>
                <w:bCs/>
                <w:i/>
                <w:iCs/>
              </w:rPr>
            </w:pPr>
            <w:r>
              <w:rPr>
                <w:b/>
                <w:bCs/>
                <w:i/>
                <w:iCs/>
              </w:rPr>
              <w:t>TOTAL</w:t>
            </w:r>
          </w:p>
        </w:tc>
        <w:tc>
          <w:tcPr>
            <w:tcW w:w="1515" w:type="dxa"/>
            <w:shd w:val="clear" w:color="auto" w:fill="D9D9D9" w:themeFill="background1" w:themeFillShade="D9"/>
            <w:vAlign w:val="bottom"/>
          </w:tcPr>
          <w:p w14:paraId="1E63C9BC" w14:textId="77777777" w:rsidR="00EE7AB9" w:rsidRPr="00E05373" w:rsidRDefault="00EE7AB9" w:rsidP="00A82EFE">
            <w:pPr>
              <w:jc w:val="center"/>
              <w:rPr>
                <w:b/>
                <w:bCs/>
              </w:rPr>
            </w:pPr>
            <w:r>
              <w:rPr>
                <w:rFonts w:ascii="Calibri" w:hAnsi="Calibri" w:cs="Calibri"/>
                <w:color w:val="000000"/>
              </w:rPr>
              <w:t xml:space="preserve"> $ 1,230,000 </w:t>
            </w:r>
          </w:p>
        </w:tc>
        <w:tc>
          <w:tcPr>
            <w:tcW w:w="1346" w:type="dxa"/>
            <w:shd w:val="clear" w:color="auto" w:fill="D9D9D9" w:themeFill="background1" w:themeFillShade="D9"/>
            <w:vAlign w:val="bottom"/>
          </w:tcPr>
          <w:p w14:paraId="753F0271" w14:textId="77777777" w:rsidR="00EE7AB9" w:rsidRPr="00E05373" w:rsidRDefault="00EE7AB9" w:rsidP="00A82EFE">
            <w:pPr>
              <w:jc w:val="center"/>
              <w:rPr>
                <w:b/>
                <w:bCs/>
              </w:rPr>
            </w:pPr>
            <w:r>
              <w:rPr>
                <w:rFonts w:ascii="Calibri" w:hAnsi="Calibri" w:cs="Calibri"/>
                <w:color w:val="000000"/>
              </w:rPr>
              <w:t xml:space="preserve"> $ 1,291,500 </w:t>
            </w:r>
          </w:p>
        </w:tc>
        <w:tc>
          <w:tcPr>
            <w:tcW w:w="1395" w:type="dxa"/>
            <w:shd w:val="clear" w:color="auto" w:fill="D9D9D9" w:themeFill="background1" w:themeFillShade="D9"/>
            <w:vAlign w:val="bottom"/>
          </w:tcPr>
          <w:p w14:paraId="0D4D9E64" w14:textId="77777777" w:rsidR="00EE7AB9" w:rsidRPr="00E05373" w:rsidRDefault="00EE7AB9" w:rsidP="00A82EFE">
            <w:pPr>
              <w:jc w:val="center"/>
              <w:rPr>
                <w:b/>
                <w:bCs/>
              </w:rPr>
            </w:pPr>
            <w:r>
              <w:rPr>
                <w:rFonts w:ascii="Calibri" w:hAnsi="Calibri" w:cs="Calibri"/>
                <w:color w:val="000000"/>
              </w:rPr>
              <w:t xml:space="preserve"> $ 1,356,075 </w:t>
            </w:r>
          </w:p>
        </w:tc>
        <w:tc>
          <w:tcPr>
            <w:tcW w:w="1414" w:type="dxa"/>
            <w:shd w:val="clear" w:color="auto" w:fill="D9D9D9" w:themeFill="background1" w:themeFillShade="D9"/>
            <w:vAlign w:val="bottom"/>
          </w:tcPr>
          <w:p w14:paraId="75C2272F" w14:textId="77777777" w:rsidR="00EE7AB9" w:rsidRPr="00E05373" w:rsidRDefault="00EE7AB9" w:rsidP="00A82EFE">
            <w:pPr>
              <w:jc w:val="center"/>
              <w:rPr>
                <w:b/>
                <w:bCs/>
              </w:rPr>
            </w:pPr>
            <w:r>
              <w:rPr>
                <w:rFonts w:ascii="Calibri" w:hAnsi="Calibri" w:cs="Calibri"/>
                <w:color w:val="000000"/>
              </w:rPr>
              <w:t xml:space="preserve"> $ 1,423,879 </w:t>
            </w:r>
          </w:p>
        </w:tc>
        <w:tc>
          <w:tcPr>
            <w:tcW w:w="1345" w:type="dxa"/>
            <w:shd w:val="clear" w:color="auto" w:fill="D9D9D9" w:themeFill="background1" w:themeFillShade="D9"/>
            <w:vAlign w:val="bottom"/>
          </w:tcPr>
          <w:p w14:paraId="34663381" w14:textId="77777777" w:rsidR="00EE7AB9" w:rsidRPr="00E05373" w:rsidRDefault="00EE7AB9" w:rsidP="00A82EFE">
            <w:pPr>
              <w:jc w:val="center"/>
              <w:rPr>
                <w:b/>
                <w:bCs/>
              </w:rPr>
            </w:pPr>
            <w:r>
              <w:rPr>
                <w:rFonts w:ascii="Calibri" w:hAnsi="Calibri" w:cs="Calibri"/>
                <w:color w:val="000000"/>
              </w:rPr>
              <w:t xml:space="preserve"> $ 1,495,073 </w:t>
            </w:r>
          </w:p>
        </w:tc>
        <w:tc>
          <w:tcPr>
            <w:tcW w:w="1418" w:type="dxa"/>
            <w:shd w:val="clear" w:color="auto" w:fill="D9D9D9" w:themeFill="background1" w:themeFillShade="D9"/>
          </w:tcPr>
          <w:p w14:paraId="4FD2B866" w14:textId="77777777" w:rsidR="00EE7AB9" w:rsidRDefault="00EE7AB9" w:rsidP="00A82EFE">
            <w:pPr>
              <w:jc w:val="center"/>
              <w:rPr>
                <w:rFonts w:ascii="Calibri" w:hAnsi="Calibri" w:cs="Calibri"/>
                <w:color w:val="000000"/>
              </w:rPr>
            </w:pPr>
          </w:p>
          <w:p w14:paraId="61F90768" w14:textId="77777777" w:rsidR="00EE7AB9" w:rsidRPr="0090060A" w:rsidRDefault="00EE7AB9" w:rsidP="00A82EFE">
            <w:pPr>
              <w:jc w:val="center"/>
              <w:rPr>
                <w:rFonts w:ascii="Calibri" w:hAnsi="Calibri" w:cs="Calibri"/>
                <w:color w:val="000000"/>
              </w:rPr>
            </w:pPr>
            <w:r>
              <w:rPr>
                <w:rFonts w:ascii="Calibri" w:hAnsi="Calibri" w:cs="Calibri"/>
                <w:color w:val="000000"/>
              </w:rPr>
              <w:t xml:space="preserve">$ 6,796,526 </w:t>
            </w:r>
          </w:p>
        </w:tc>
      </w:tr>
    </w:tbl>
    <w:p w14:paraId="2D56AF6B" w14:textId="77777777" w:rsidR="00EE7AB9" w:rsidRDefault="00EE7AB9" w:rsidP="00EE7AB9">
      <w:pPr>
        <w:spacing w:after="0"/>
        <w:rPr>
          <w:b/>
          <w:bCs/>
          <w:i/>
          <w:iCs/>
        </w:rPr>
      </w:pPr>
    </w:p>
    <w:p w14:paraId="71945BEF" w14:textId="77777777" w:rsidR="00EE7AB9" w:rsidRDefault="00EE7AB9" w:rsidP="00EE7AB9">
      <w:pPr>
        <w:spacing w:after="0"/>
        <w:jc w:val="both"/>
      </w:pPr>
      <w:r>
        <w:rPr>
          <w:b/>
          <w:bCs/>
          <w:i/>
          <w:iCs/>
        </w:rPr>
        <w:t>B</w:t>
      </w:r>
      <w:r w:rsidRPr="007356F7">
        <w:rPr>
          <w:b/>
          <w:bCs/>
          <w:i/>
          <w:iCs/>
        </w:rPr>
        <w:t>reakdown of Project Costs</w:t>
      </w:r>
      <w:r w:rsidRPr="00893C37">
        <w:t>: New Bedford aims to have $20,000,000 in project funds go directly to assisting low-income households</w:t>
      </w:r>
      <w:r>
        <w:rPr>
          <w:i/>
          <w:iCs/>
        </w:rPr>
        <w:t>.</w:t>
      </w:r>
      <w:r w:rsidRPr="007356F7">
        <w:t xml:space="preserve"> In order to perform the required analyses for Sections 2, 3, and 4 of this grant narrative, </w:t>
      </w:r>
      <w:r>
        <w:t>New Bedford</w:t>
      </w:r>
      <w:r w:rsidRPr="007356F7">
        <w:t xml:space="preserve"> </w:t>
      </w:r>
      <w:r>
        <w:t>distributed these funds across projects assuming</w:t>
      </w:r>
      <w:r w:rsidRPr="007356F7">
        <w:t xml:space="preserve"> an average cost of $</w:t>
      </w:r>
      <w:r>
        <w:t>17,290</w:t>
      </w:r>
      <w:r w:rsidRPr="007356F7">
        <w:t xml:space="preserve"> per weatherization project and $</w:t>
      </w:r>
      <w:r>
        <w:t>29,000</w:t>
      </w:r>
      <w:r w:rsidRPr="007356F7">
        <w:t xml:space="preserve"> per whole-home weatherization and efficiency and decarbonization retrofit projects. These costs were sourced from the </w:t>
      </w:r>
      <w:r>
        <w:t>Lawrence Berkely National Labs’ compilation of retrofit costs</w:t>
      </w:r>
      <w:r>
        <w:rPr>
          <w:rStyle w:val="FootnoteReference"/>
        </w:rPr>
        <w:footnoteReference w:id="2"/>
      </w:r>
      <w:r>
        <w:t>, minus relevant available rebates from the MassSave Utility Rebate Program</w:t>
      </w:r>
      <w:r>
        <w:rPr>
          <w:rStyle w:val="FootnoteReference"/>
        </w:rPr>
        <w:footnoteReference w:id="3"/>
      </w:r>
      <w:r>
        <w:t xml:space="preserve">. </w:t>
      </w:r>
      <w:r w:rsidRPr="007356F7">
        <w:t xml:space="preserve"> </w:t>
      </w:r>
    </w:p>
    <w:p w14:paraId="6397C546" w14:textId="77777777" w:rsidR="00EE7AB9" w:rsidRDefault="00EE7AB9" w:rsidP="00EE7AB9">
      <w:pPr>
        <w:pStyle w:val="Heading5"/>
      </w:pPr>
    </w:p>
    <w:p w14:paraId="50780C89" w14:textId="77777777" w:rsidR="00EE7AB9" w:rsidRPr="0090060A" w:rsidRDefault="00EE7AB9" w:rsidP="00EE7AB9">
      <w:pPr>
        <w:pStyle w:val="Heading5"/>
      </w:pPr>
      <w:r w:rsidRPr="0090060A">
        <w:t xml:space="preserve">Contract </w:t>
      </w:r>
      <w:r>
        <w:t>3</w:t>
      </w:r>
      <w:r w:rsidRPr="0090060A">
        <w:t xml:space="preserve">: Construction </w:t>
      </w:r>
      <w:r>
        <w:t>Management Contractor</w:t>
      </w:r>
    </w:p>
    <w:p w14:paraId="2885B225" w14:textId="77777777" w:rsidR="00EE7AB9" w:rsidRPr="0090060A" w:rsidRDefault="00EE7AB9" w:rsidP="00EE7AB9">
      <w:r w:rsidRPr="0090060A">
        <w:rPr>
          <w:b/>
          <w:bCs/>
          <w:i/>
          <w:iCs/>
        </w:rPr>
        <w:t>Estimated Cost</w:t>
      </w:r>
      <w:r w:rsidRPr="0090060A">
        <w:rPr>
          <w:i/>
          <w:iCs/>
        </w:rPr>
        <w:t>:</w:t>
      </w:r>
      <w:r w:rsidRPr="0090060A">
        <w:t xml:space="preserve"> $3,</w:t>
      </w:r>
      <w:r>
        <w:t>260,122 for Construction Management Oversight.</w:t>
      </w:r>
    </w:p>
    <w:p w14:paraId="2C100F22" w14:textId="77777777" w:rsidR="00EE7AB9" w:rsidRPr="0090060A" w:rsidRDefault="00EE7AB9" w:rsidP="00EE7AB9">
      <w:r w:rsidRPr="0090060A">
        <w:rPr>
          <w:b/>
          <w:bCs/>
          <w:i/>
          <w:iCs/>
        </w:rPr>
        <w:t>Scope of Work</w:t>
      </w:r>
      <w:r w:rsidRPr="0090060A">
        <w:rPr>
          <w:i/>
          <w:iCs/>
        </w:rPr>
        <w:t>:</w:t>
      </w:r>
      <w:r w:rsidRPr="0090060A">
        <w:t xml:space="preserve"> New Bedford intends to contract with an organization to serve as the </w:t>
      </w:r>
      <w:r>
        <w:t>Construction Management lead</w:t>
      </w:r>
      <w:r w:rsidRPr="0090060A">
        <w:t xml:space="preserve"> for the program. This organization will have a team of staff dedicated to supervising and coordinating the home </w:t>
      </w:r>
      <w:r>
        <w:t>assessments</w:t>
      </w:r>
      <w:r w:rsidRPr="0090060A">
        <w:t>,</w:t>
      </w:r>
      <w:r>
        <w:t xml:space="preserve"> retrofits, and measurement and verification work and reporting all required information back to program administrator and City of New Bedford.</w:t>
      </w:r>
    </w:p>
    <w:p w14:paraId="7F214F15" w14:textId="77777777" w:rsidR="00EE7AB9" w:rsidRPr="0090060A" w:rsidRDefault="00EE7AB9" w:rsidP="00EE7AB9">
      <w:r w:rsidRPr="0090060A">
        <w:rPr>
          <w:b/>
          <w:bCs/>
          <w:i/>
          <w:iCs/>
        </w:rPr>
        <w:t>Proposed Duration</w:t>
      </w:r>
      <w:r w:rsidRPr="0090060A">
        <w:rPr>
          <w:i/>
          <w:iCs/>
        </w:rPr>
        <w:t>:</w:t>
      </w:r>
      <w:r w:rsidRPr="0090060A">
        <w:t xml:space="preserve"> January 2025 through </w:t>
      </w:r>
      <w:r>
        <w:t>October</w:t>
      </w:r>
      <w:r w:rsidRPr="0090060A">
        <w:t xml:space="preserve"> 2029</w:t>
      </w:r>
    </w:p>
    <w:p w14:paraId="3BE3E0A0" w14:textId="77777777" w:rsidR="00EE7AB9" w:rsidRPr="0090060A" w:rsidRDefault="00EE7AB9" w:rsidP="00EE7AB9">
      <w:r w:rsidRPr="0090060A">
        <w:rPr>
          <w:b/>
          <w:bCs/>
          <w:i/>
          <w:iCs/>
        </w:rPr>
        <w:t>Procurement Method</w:t>
      </w:r>
      <w:r w:rsidRPr="0090060A">
        <w:rPr>
          <w:i/>
          <w:iCs/>
        </w:rPr>
        <w:t>:</w:t>
      </w:r>
      <w:r w:rsidRPr="0090060A">
        <w:t xml:space="preserve"> Competitive</w:t>
      </w:r>
    </w:p>
    <w:p w14:paraId="302D27AD" w14:textId="77777777" w:rsidR="00EE7AB9" w:rsidRPr="0090060A" w:rsidRDefault="00EE7AB9" w:rsidP="00EE7AB9">
      <w:pPr>
        <w:spacing w:after="0"/>
        <w:rPr>
          <w:sz w:val="20"/>
          <w:szCs w:val="20"/>
        </w:rPr>
      </w:pPr>
      <w:r w:rsidRPr="00A82EFE">
        <w:rPr>
          <w:b/>
          <w:bCs/>
          <w:i/>
          <w:iCs/>
        </w:rPr>
        <w:t>Breakdown of Staff and Internal Costs</w:t>
      </w:r>
      <w:r w:rsidRPr="00A82EFE">
        <w:rPr>
          <w:i/>
          <w:iCs/>
        </w:rPr>
        <w:t>:</w:t>
      </w:r>
      <w:r w:rsidRPr="00A82EFE">
        <w:t xml:space="preserve"> It is assumed that the organization will need to hire or identify 4 full-time personnel, including 1 Construction Supervisor and 3 Home Assessors/Project Managers. All staff will be full-time employees and are expected to receive a 5% annual salary increase. Leveraging program documentation from the existing Energy Trust of Oregon</w:t>
      </w:r>
      <w:r w:rsidRPr="00A82EFE">
        <w:rPr>
          <w:rStyle w:val="FootnoteReference"/>
        </w:rPr>
        <w:footnoteReference w:id="4"/>
      </w:r>
      <w:r w:rsidRPr="00A82EFE">
        <w:t xml:space="preserve">, New Bedford assumes a 1:1 ratio of staff costs to internal costs for the </w:t>
      </w:r>
      <w:r>
        <w:t>Construction Management Contractor</w:t>
      </w:r>
      <w:r w:rsidRPr="00A82EFE">
        <w:rPr>
          <w:sz w:val="24"/>
          <w:szCs w:val="24"/>
        </w:rPr>
        <w:t xml:space="preserve">. </w:t>
      </w:r>
      <w:r w:rsidRPr="00A82EFE">
        <w:rPr>
          <w:b/>
          <w:bCs/>
        </w:rPr>
        <w:t xml:space="preserve"> </w:t>
      </w:r>
      <w:r w:rsidRPr="00A82EFE">
        <w:t>These costs are summarized in Table 3.</w:t>
      </w:r>
    </w:p>
    <w:p w14:paraId="4F57F19C" w14:textId="77777777" w:rsidR="00EE7AB9" w:rsidRPr="0090060A" w:rsidRDefault="00EE7AB9" w:rsidP="00EE7AB9">
      <w:pPr>
        <w:spacing w:after="0"/>
        <w:rPr>
          <w:b/>
          <w:bCs/>
          <w:sz w:val="20"/>
          <w:szCs w:val="20"/>
        </w:rPr>
      </w:pPr>
    </w:p>
    <w:p w14:paraId="7BDCDEBC" w14:textId="77777777" w:rsidR="00EE7AB9" w:rsidRPr="0090060A" w:rsidRDefault="00EE7AB9" w:rsidP="00EE7AB9">
      <w:pPr>
        <w:spacing w:after="0"/>
        <w:rPr>
          <w:b/>
          <w:bCs/>
          <w:sz w:val="20"/>
          <w:szCs w:val="20"/>
        </w:rPr>
      </w:pPr>
      <w:r w:rsidRPr="0090060A">
        <w:rPr>
          <w:b/>
          <w:bCs/>
          <w:sz w:val="20"/>
          <w:szCs w:val="20"/>
        </w:rPr>
        <w:t xml:space="preserve">Table </w:t>
      </w:r>
      <w:r>
        <w:rPr>
          <w:b/>
          <w:bCs/>
          <w:sz w:val="20"/>
          <w:szCs w:val="20"/>
        </w:rPr>
        <w:t>3</w:t>
      </w:r>
      <w:r w:rsidRPr="0090060A">
        <w:rPr>
          <w:b/>
          <w:bCs/>
          <w:sz w:val="20"/>
          <w:szCs w:val="20"/>
        </w:rPr>
        <w:t xml:space="preserve">. Staff and Internal Costs for Construction </w:t>
      </w:r>
      <w:r>
        <w:rPr>
          <w:b/>
          <w:bCs/>
          <w:sz w:val="20"/>
          <w:szCs w:val="20"/>
        </w:rPr>
        <w:t>Management</w:t>
      </w:r>
      <w:r w:rsidRPr="0090060A">
        <w:rPr>
          <w:b/>
          <w:bCs/>
          <w:sz w:val="20"/>
          <w:szCs w:val="20"/>
        </w:rPr>
        <w:t xml:space="preserve"> </w:t>
      </w:r>
      <w:r>
        <w:rPr>
          <w:b/>
          <w:bCs/>
          <w:sz w:val="20"/>
          <w:szCs w:val="20"/>
        </w:rPr>
        <w:t>Contractor</w:t>
      </w:r>
    </w:p>
    <w:tbl>
      <w:tblPr>
        <w:tblStyle w:val="TableGrid"/>
        <w:tblW w:w="9508" w:type="dxa"/>
        <w:tblLook w:val="04A0" w:firstRow="1" w:lastRow="0" w:firstColumn="1" w:lastColumn="0" w:noHBand="0" w:noVBand="1"/>
      </w:tblPr>
      <w:tblGrid>
        <w:gridCol w:w="1075"/>
        <w:gridCol w:w="1515"/>
        <w:gridCol w:w="1346"/>
        <w:gridCol w:w="1395"/>
        <w:gridCol w:w="1414"/>
        <w:gridCol w:w="1345"/>
        <w:gridCol w:w="1418"/>
      </w:tblGrid>
      <w:tr w:rsidR="00EE7AB9" w:rsidRPr="00670AC9" w14:paraId="56440B23" w14:textId="77777777" w:rsidTr="00A82EFE">
        <w:tc>
          <w:tcPr>
            <w:tcW w:w="1075" w:type="dxa"/>
            <w:shd w:val="clear" w:color="auto" w:fill="D9F2D0" w:themeFill="accent6" w:themeFillTint="33"/>
          </w:tcPr>
          <w:p w14:paraId="6359D62B" w14:textId="77777777" w:rsidR="00EE7AB9" w:rsidRPr="00B33397" w:rsidRDefault="00EE7AB9" w:rsidP="00A82EFE">
            <w:pPr>
              <w:jc w:val="center"/>
              <w:rPr>
                <w:b/>
                <w:bCs/>
              </w:rPr>
            </w:pPr>
            <w:r w:rsidRPr="00B33397">
              <w:rPr>
                <w:b/>
                <w:bCs/>
              </w:rPr>
              <w:t>Cost Type</w:t>
            </w:r>
          </w:p>
        </w:tc>
        <w:tc>
          <w:tcPr>
            <w:tcW w:w="1515" w:type="dxa"/>
            <w:shd w:val="clear" w:color="auto" w:fill="D9F2D0" w:themeFill="accent6" w:themeFillTint="33"/>
          </w:tcPr>
          <w:p w14:paraId="087A23D7" w14:textId="77777777" w:rsidR="00EE7AB9" w:rsidRPr="00B33397" w:rsidRDefault="00EE7AB9" w:rsidP="00A82EFE">
            <w:pPr>
              <w:jc w:val="center"/>
              <w:rPr>
                <w:b/>
                <w:bCs/>
              </w:rPr>
            </w:pPr>
            <w:r w:rsidRPr="00B33397">
              <w:rPr>
                <w:b/>
                <w:bCs/>
              </w:rPr>
              <w:t>Year 1</w:t>
            </w:r>
          </w:p>
        </w:tc>
        <w:tc>
          <w:tcPr>
            <w:tcW w:w="1346" w:type="dxa"/>
            <w:shd w:val="clear" w:color="auto" w:fill="D9F2D0" w:themeFill="accent6" w:themeFillTint="33"/>
          </w:tcPr>
          <w:p w14:paraId="50BD9804" w14:textId="77777777" w:rsidR="00EE7AB9" w:rsidRPr="00B33397" w:rsidRDefault="00EE7AB9" w:rsidP="00A82EFE">
            <w:pPr>
              <w:jc w:val="center"/>
              <w:rPr>
                <w:b/>
                <w:bCs/>
              </w:rPr>
            </w:pPr>
            <w:r w:rsidRPr="00B33397">
              <w:rPr>
                <w:b/>
                <w:bCs/>
              </w:rPr>
              <w:t>Year 2</w:t>
            </w:r>
          </w:p>
        </w:tc>
        <w:tc>
          <w:tcPr>
            <w:tcW w:w="1395" w:type="dxa"/>
            <w:shd w:val="clear" w:color="auto" w:fill="D9F2D0" w:themeFill="accent6" w:themeFillTint="33"/>
          </w:tcPr>
          <w:p w14:paraId="147DB20A" w14:textId="77777777" w:rsidR="00EE7AB9" w:rsidRPr="00B33397" w:rsidRDefault="00EE7AB9" w:rsidP="00A82EFE">
            <w:pPr>
              <w:jc w:val="center"/>
              <w:rPr>
                <w:b/>
                <w:bCs/>
              </w:rPr>
            </w:pPr>
            <w:r w:rsidRPr="00B33397">
              <w:rPr>
                <w:b/>
                <w:bCs/>
              </w:rPr>
              <w:t>Year 3</w:t>
            </w:r>
          </w:p>
        </w:tc>
        <w:tc>
          <w:tcPr>
            <w:tcW w:w="1414" w:type="dxa"/>
            <w:shd w:val="clear" w:color="auto" w:fill="D9F2D0" w:themeFill="accent6" w:themeFillTint="33"/>
          </w:tcPr>
          <w:p w14:paraId="3523E248" w14:textId="77777777" w:rsidR="00EE7AB9" w:rsidRPr="00B33397" w:rsidRDefault="00EE7AB9" w:rsidP="00A82EFE">
            <w:pPr>
              <w:jc w:val="center"/>
              <w:rPr>
                <w:b/>
                <w:bCs/>
              </w:rPr>
            </w:pPr>
            <w:r w:rsidRPr="00B33397">
              <w:rPr>
                <w:b/>
                <w:bCs/>
              </w:rPr>
              <w:t>Year 4</w:t>
            </w:r>
          </w:p>
        </w:tc>
        <w:tc>
          <w:tcPr>
            <w:tcW w:w="1345" w:type="dxa"/>
            <w:shd w:val="clear" w:color="auto" w:fill="D9F2D0" w:themeFill="accent6" w:themeFillTint="33"/>
          </w:tcPr>
          <w:p w14:paraId="3CACA3EC" w14:textId="77777777" w:rsidR="00EE7AB9" w:rsidRPr="00B33397" w:rsidRDefault="00EE7AB9" w:rsidP="00A82EFE">
            <w:pPr>
              <w:jc w:val="center"/>
              <w:rPr>
                <w:b/>
                <w:bCs/>
              </w:rPr>
            </w:pPr>
            <w:r w:rsidRPr="00B33397">
              <w:rPr>
                <w:b/>
                <w:bCs/>
              </w:rPr>
              <w:t>Year 5</w:t>
            </w:r>
          </w:p>
        </w:tc>
        <w:tc>
          <w:tcPr>
            <w:tcW w:w="1418" w:type="dxa"/>
            <w:shd w:val="clear" w:color="auto" w:fill="D9F2D0" w:themeFill="accent6" w:themeFillTint="33"/>
          </w:tcPr>
          <w:p w14:paraId="46195E50" w14:textId="77777777" w:rsidR="00EE7AB9" w:rsidRPr="00B33397" w:rsidRDefault="00EE7AB9" w:rsidP="00A82EFE">
            <w:pPr>
              <w:jc w:val="center"/>
              <w:rPr>
                <w:b/>
                <w:bCs/>
              </w:rPr>
            </w:pPr>
            <w:r w:rsidRPr="00B33397">
              <w:rPr>
                <w:b/>
                <w:bCs/>
              </w:rPr>
              <w:t>Total</w:t>
            </w:r>
          </w:p>
        </w:tc>
      </w:tr>
      <w:tr w:rsidR="00EE7AB9" w:rsidRPr="00670AC9" w14:paraId="310F25B0" w14:textId="77777777" w:rsidTr="00A82EFE">
        <w:trPr>
          <w:trHeight w:val="537"/>
        </w:trPr>
        <w:tc>
          <w:tcPr>
            <w:tcW w:w="1075" w:type="dxa"/>
            <w:shd w:val="clear" w:color="auto" w:fill="F2CEED" w:themeFill="accent5" w:themeFillTint="33"/>
          </w:tcPr>
          <w:p w14:paraId="0B6C2305" w14:textId="77777777" w:rsidR="00EE7AB9" w:rsidRPr="00B33397" w:rsidRDefault="00EE7AB9" w:rsidP="00A82EFE">
            <w:pPr>
              <w:jc w:val="center"/>
              <w:rPr>
                <w:b/>
                <w:bCs/>
                <w:i/>
                <w:iCs/>
              </w:rPr>
            </w:pPr>
            <w:r w:rsidRPr="00B33397">
              <w:rPr>
                <w:b/>
                <w:bCs/>
                <w:i/>
                <w:iCs/>
              </w:rPr>
              <w:t>Staff Costs</w:t>
            </w:r>
          </w:p>
        </w:tc>
        <w:tc>
          <w:tcPr>
            <w:tcW w:w="1515" w:type="dxa"/>
            <w:vAlign w:val="bottom"/>
          </w:tcPr>
          <w:p w14:paraId="4E884078" w14:textId="77777777" w:rsidR="00EE7AB9" w:rsidRPr="00B33397" w:rsidRDefault="00EE7AB9" w:rsidP="00A82EFE">
            <w:pPr>
              <w:jc w:val="center"/>
              <w:rPr>
                <w:i/>
                <w:iCs/>
              </w:rPr>
            </w:pPr>
            <w:r w:rsidRPr="00B33397">
              <w:rPr>
                <w:rFonts w:ascii="Calibri" w:hAnsi="Calibri" w:cs="Calibri"/>
                <w:color w:val="000000"/>
              </w:rPr>
              <w:t xml:space="preserve"> $ 295,000 </w:t>
            </w:r>
          </w:p>
        </w:tc>
        <w:tc>
          <w:tcPr>
            <w:tcW w:w="1346" w:type="dxa"/>
            <w:vAlign w:val="bottom"/>
          </w:tcPr>
          <w:p w14:paraId="5C1E2AA3" w14:textId="77777777" w:rsidR="00EE7AB9" w:rsidRPr="00B33397" w:rsidRDefault="00EE7AB9" w:rsidP="00A82EFE">
            <w:pPr>
              <w:jc w:val="center"/>
              <w:rPr>
                <w:i/>
                <w:iCs/>
              </w:rPr>
            </w:pPr>
            <w:r w:rsidRPr="00B33397">
              <w:rPr>
                <w:rFonts w:ascii="Calibri" w:hAnsi="Calibri" w:cs="Calibri"/>
                <w:color w:val="000000"/>
              </w:rPr>
              <w:t xml:space="preserve"> $ 309,750 </w:t>
            </w:r>
          </w:p>
        </w:tc>
        <w:tc>
          <w:tcPr>
            <w:tcW w:w="1395" w:type="dxa"/>
            <w:vAlign w:val="bottom"/>
          </w:tcPr>
          <w:p w14:paraId="0C569066" w14:textId="77777777" w:rsidR="00EE7AB9" w:rsidRPr="00B33397" w:rsidRDefault="00EE7AB9" w:rsidP="00A82EFE">
            <w:pPr>
              <w:jc w:val="center"/>
              <w:rPr>
                <w:i/>
                <w:iCs/>
              </w:rPr>
            </w:pPr>
            <w:r w:rsidRPr="00B33397">
              <w:rPr>
                <w:rFonts w:ascii="Calibri" w:hAnsi="Calibri" w:cs="Calibri"/>
                <w:color w:val="000000"/>
              </w:rPr>
              <w:t xml:space="preserve"> $ 325,238 </w:t>
            </w:r>
          </w:p>
        </w:tc>
        <w:tc>
          <w:tcPr>
            <w:tcW w:w="1414" w:type="dxa"/>
            <w:vAlign w:val="bottom"/>
          </w:tcPr>
          <w:p w14:paraId="6FEE6315" w14:textId="77777777" w:rsidR="00EE7AB9" w:rsidRPr="00B33397" w:rsidRDefault="00EE7AB9" w:rsidP="00A82EFE">
            <w:pPr>
              <w:jc w:val="center"/>
              <w:rPr>
                <w:i/>
                <w:iCs/>
              </w:rPr>
            </w:pPr>
            <w:r w:rsidRPr="00B33397">
              <w:rPr>
                <w:rFonts w:ascii="Calibri" w:hAnsi="Calibri" w:cs="Calibri"/>
                <w:color w:val="000000"/>
              </w:rPr>
              <w:t xml:space="preserve"> $ 341,499 </w:t>
            </w:r>
          </w:p>
        </w:tc>
        <w:tc>
          <w:tcPr>
            <w:tcW w:w="1345" w:type="dxa"/>
            <w:vAlign w:val="bottom"/>
          </w:tcPr>
          <w:p w14:paraId="275C0827" w14:textId="77777777" w:rsidR="00EE7AB9" w:rsidRPr="00B33397" w:rsidRDefault="00EE7AB9" w:rsidP="00A82EFE">
            <w:pPr>
              <w:jc w:val="center"/>
              <w:rPr>
                <w:i/>
                <w:iCs/>
              </w:rPr>
            </w:pPr>
            <w:r w:rsidRPr="00B33397">
              <w:rPr>
                <w:rFonts w:ascii="Calibri" w:hAnsi="Calibri" w:cs="Calibri"/>
                <w:color w:val="000000"/>
              </w:rPr>
              <w:t xml:space="preserve"> $ 358,574 </w:t>
            </w:r>
          </w:p>
        </w:tc>
        <w:tc>
          <w:tcPr>
            <w:tcW w:w="1418" w:type="dxa"/>
            <w:vAlign w:val="bottom"/>
          </w:tcPr>
          <w:p w14:paraId="10B18CD3" w14:textId="77777777" w:rsidR="00EE7AB9" w:rsidRPr="00B33397" w:rsidRDefault="00EE7AB9" w:rsidP="00A82EFE">
            <w:pPr>
              <w:jc w:val="center"/>
            </w:pPr>
            <w:r w:rsidRPr="00B33397">
              <w:rPr>
                <w:rFonts w:ascii="Calibri" w:hAnsi="Calibri" w:cs="Calibri"/>
                <w:color w:val="000000"/>
              </w:rPr>
              <w:t xml:space="preserve"> </w:t>
            </w:r>
          </w:p>
          <w:p w14:paraId="0674272A" w14:textId="77777777" w:rsidR="00EE7AB9" w:rsidRPr="00B33397" w:rsidRDefault="00EE7AB9" w:rsidP="00A82EFE">
            <w:pPr>
              <w:jc w:val="center"/>
              <w:rPr>
                <w:rFonts w:ascii="Calibri" w:hAnsi="Calibri" w:cs="Calibri"/>
                <w:color w:val="000000"/>
              </w:rPr>
            </w:pPr>
            <w:r w:rsidRPr="00B33397">
              <w:rPr>
                <w:rFonts w:ascii="Calibri" w:hAnsi="Calibri" w:cs="Calibri"/>
                <w:color w:val="000000"/>
              </w:rPr>
              <w:t xml:space="preserve">$ 1,630,061 </w:t>
            </w:r>
          </w:p>
        </w:tc>
      </w:tr>
      <w:tr w:rsidR="00EE7AB9" w:rsidRPr="00670AC9" w14:paraId="070433CE" w14:textId="77777777" w:rsidTr="00A82EFE">
        <w:trPr>
          <w:trHeight w:val="537"/>
        </w:trPr>
        <w:tc>
          <w:tcPr>
            <w:tcW w:w="1075" w:type="dxa"/>
            <w:shd w:val="clear" w:color="auto" w:fill="F2CEED" w:themeFill="accent5" w:themeFillTint="33"/>
          </w:tcPr>
          <w:p w14:paraId="2D25A9F4" w14:textId="77777777" w:rsidR="00EE7AB9" w:rsidRPr="00B33397" w:rsidRDefault="00EE7AB9" w:rsidP="00A82EFE">
            <w:pPr>
              <w:jc w:val="center"/>
              <w:rPr>
                <w:b/>
                <w:bCs/>
                <w:i/>
                <w:iCs/>
              </w:rPr>
            </w:pPr>
            <w:r w:rsidRPr="00B33397">
              <w:rPr>
                <w:b/>
                <w:bCs/>
                <w:i/>
                <w:iCs/>
              </w:rPr>
              <w:t>Internal Costs</w:t>
            </w:r>
          </w:p>
        </w:tc>
        <w:tc>
          <w:tcPr>
            <w:tcW w:w="1515" w:type="dxa"/>
            <w:vAlign w:val="bottom"/>
          </w:tcPr>
          <w:p w14:paraId="18F5C764" w14:textId="77777777" w:rsidR="00EE7AB9" w:rsidRPr="00B33397" w:rsidRDefault="00EE7AB9" w:rsidP="00A82EFE">
            <w:pPr>
              <w:jc w:val="center"/>
              <w:rPr>
                <w:i/>
                <w:iCs/>
              </w:rPr>
            </w:pPr>
            <w:r w:rsidRPr="00B33397">
              <w:rPr>
                <w:rFonts w:ascii="Calibri" w:hAnsi="Calibri" w:cs="Calibri"/>
                <w:color w:val="000000"/>
              </w:rPr>
              <w:t xml:space="preserve"> $ 295,000 </w:t>
            </w:r>
          </w:p>
        </w:tc>
        <w:tc>
          <w:tcPr>
            <w:tcW w:w="1346" w:type="dxa"/>
            <w:vAlign w:val="bottom"/>
          </w:tcPr>
          <w:p w14:paraId="27EF0153" w14:textId="77777777" w:rsidR="00EE7AB9" w:rsidRPr="00B33397" w:rsidRDefault="00EE7AB9" w:rsidP="00A82EFE">
            <w:pPr>
              <w:jc w:val="center"/>
              <w:rPr>
                <w:i/>
                <w:iCs/>
              </w:rPr>
            </w:pPr>
            <w:r w:rsidRPr="00B33397">
              <w:rPr>
                <w:rFonts w:ascii="Calibri" w:hAnsi="Calibri" w:cs="Calibri"/>
                <w:color w:val="000000"/>
              </w:rPr>
              <w:t xml:space="preserve"> $ 309,750 </w:t>
            </w:r>
          </w:p>
        </w:tc>
        <w:tc>
          <w:tcPr>
            <w:tcW w:w="1395" w:type="dxa"/>
            <w:vAlign w:val="bottom"/>
          </w:tcPr>
          <w:p w14:paraId="17129742" w14:textId="77777777" w:rsidR="00EE7AB9" w:rsidRPr="00B33397" w:rsidRDefault="00EE7AB9" w:rsidP="00A82EFE">
            <w:pPr>
              <w:jc w:val="center"/>
              <w:rPr>
                <w:i/>
                <w:iCs/>
              </w:rPr>
            </w:pPr>
            <w:r w:rsidRPr="00B33397">
              <w:rPr>
                <w:rFonts w:ascii="Calibri" w:hAnsi="Calibri" w:cs="Calibri"/>
                <w:color w:val="000000"/>
              </w:rPr>
              <w:t xml:space="preserve"> $ 325,238 </w:t>
            </w:r>
          </w:p>
        </w:tc>
        <w:tc>
          <w:tcPr>
            <w:tcW w:w="1414" w:type="dxa"/>
            <w:vAlign w:val="bottom"/>
          </w:tcPr>
          <w:p w14:paraId="3F418B1B" w14:textId="77777777" w:rsidR="00EE7AB9" w:rsidRPr="00B33397" w:rsidRDefault="00EE7AB9" w:rsidP="00A82EFE">
            <w:pPr>
              <w:jc w:val="center"/>
              <w:rPr>
                <w:i/>
                <w:iCs/>
              </w:rPr>
            </w:pPr>
            <w:r w:rsidRPr="00B33397">
              <w:rPr>
                <w:rFonts w:ascii="Calibri" w:hAnsi="Calibri" w:cs="Calibri"/>
                <w:color w:val="000000"/>
              </w:rPr>
              <w:t xml:space="preserve"> $ 341,499 </w:t>
            </w:r>
          </w:p>
        </w:tc>
        <w:tc>
          <w:tcPr>
            <w:tcW w:w="1345" w:type="dxa"/>
            <w:vAlign w:val="bottom"/>
          </w:tcPr>
          <w:p w14:paraId="50825343" w14:textId="77777777" w:rsidR="00EE7AB9" w:rsidRPr="00B33397" w:rsidRDefault="00EE7AB9" w:rsidP="00A82EFE">
            <w:pPr>
              <w:jc w:val="center"/>
              <w:rPr>
                <w:i/>
                <w:iCs/>
              </w:rPr>
            </w:pPr>
            <w:r w:rsidRPr="00B33397">
              <w:rPr>
                <w:rFonts w:ascii="Calibri" w:hAnsi="Calibri" w:cs="Calibri"/>
                <w:color w:val="000000"/>
              </w:rPr>
              <w:t xml:space="preserve"> $ 358,574 </w:t>
            </w:r>
          </w:p>
        </w:tc>
        <w:tc>
          <w:tcPr>
            <w:tcW w:w="1418" w:type="dxa"/>
            <w:vAlign w:val="bottom"/>
          </w:tcPr>
          <w:p w14:paraId="32C123FB" w14:textId="77777777" w:rsidR="00EE7AB9" w:rsidRPr="00B33397" w:rsidRDefault="00EE7AB9" w:rsidP="00A82EFE">
            <w:pPr>
              <w:jc w:val="center"/>
            </w:pPr>
            <w:r w:rsidRPr="00B33397">
              <w:rPr>
                <w:rFonts w:ascii="Calibri" w:hAnsi="Calibri" w:cs="Calibri"/>
                <w:color w:val="000000"/>
              </w:rPr>
              <w:t xml:space="preserve"> </w:t>
            </w:r>
          </w:p>
          <w:p w14:paraId="368E2A94" w14:textId="77777777" w:rsidR="00EE7AB9" w:rsidRPr="0074290D" w:rsidRDefault="00EE7AB9" w:rsidP="00A82EFE">
            <w:pPr>
              <w:jc w:val="center"/>
              <w:rPr>
                <w:rFonts w:ascii="Calibri" w:hAnsi="Calibri" w:cs="Calibri"/>
                <w:color w:val="000000"/>
              </w:rPr>
            </w:pPr>
            <w:r w:rsidRPr="00B33397">
              <w:rPr>
                <w:rFonts w:ascii="Calibri" w:hAnsi="Calibri" w:cs="Calibri"/>
                <w:color w:val="000000"/>
              </w:rPr>
              <w:t xml:space="preserve">$ 1,630,061 </w:t>
            </w:r>
          </w:p>
        </w:tc>
      </w:tr>
      <w:tr w:rsidR="00EE7AB9" w14:paraId="397E0D44" w14:textId="77777777" w:rsidTr="00A82EFE">
        <w:trPr>
          <w:trHeight w:val="537"/>
        </w:trPr>
        <w:tc>
          <w:tcPr>
            <w:tcW w:w="1075" w:type="dxa"/>
            <w:shd w:val="clear" w:color="auto" w:fill="D9D9D9" w:themeFill="background1" w:themeFillShade="D9"/>
          </w:tcPr>
          <w:p w14:paraId="4744169D" w14:textId="77777777" w:rsidR="00EE7AB9" w:rsidRPr="00B33397" w:rsidRDefault="00EE7AB9" w:rsidP="00A82EFE">
            <w:pPr>
              <w:jc w:val="center"/>
              <w:rPr>
                <w:b/>
                <w:bCs/>
                <w:i/>
                <w:iCs/>
              </w:rPr>
            </w:pPr>
            <w:r w:rsidRPr="00B33397">
              <w:rPr>
                <w:b/>
                <w:bCs/>
                <w:i/>
                <w:iCs/>
              </w:rPr>
              <w:t>TOTAL</w:t>
            </w:r>
          </w:p>
        </w:tc>
        <w:tc>
          <w:tcPr>
            <w:tcW w:w="1515" w:type="dxa"/>
            <w:shd w:val="clear" w:color="auto" w:fill="D9D9D9" w:themeFill="background1" w:themeFillShade="D9"/>
            <w:vAlign w:val="bottom"/>
          </w:tcPr>
          <w:p w14:paraId="1A246865" w14:textId="77777777" w:rsidR="00EE7AB9" w:rsidRPr="00B33397" w:rsidRDefault="00EE7AB9" w:rsidP="00A82EFE">
            <w:pPr>
              <w:jc w:val="center"/>
              <w:rPr>
                <w:b/>
                <w:bCs/>
              </w:rPr>
            </w:pPr>
            <w:r w:rsidRPr="00B33397">
              <w:rPr>
                <w:rFonts w:ascii="Calibri" w:hAnsi="Calibri" w:cs="Calibri"/>
              </w:rPr>
              <w:t xml:space="preserve"> $ 590,000 </w:t>
            </w:r>
          </w:p>
        </w:tc>
        <w:tc>
          <w:tcPr>
            <w:tcW w:w="1346" w:type="dxa"/>
            <w:shd w:val="clear" w:color="auto" w:fill="D9D9D9" w:themeFill="background1" w:themeFillShade="D9"/>
            <w:vAlign w:val="bottom"/>
          </w:tcPr>
          <w:p w14:paraId="01C598A0" w14:textId="77777777" w:rsidR="00EE7AB9" w:rsidRPr="00B33397" w:rsidRDefault="00EE7AB9" w:rsidP="00A82EFE">
            <w:pPr>
              <w:jc w:val="center"/>
              <w:rPr>
                <w:b/>
                <w:bCs/>
              </w:rPr>
            </w:pPr>
            <w:r w:rsidRPr="00B33397">
              <w:rPr>
                <w:rFonts w:ascii="Calibri" w:hAnsi="Calibri" w:cs="Calibri"/>
              </w:rPr>
              <w:t xml:space="preserve"> $ 619,500 </w:t>
            </w:r>
          </w:p>
        </w:tc>
        <w:tc>
          <w:tcPr>
            <w:tcW w:w="1395" w:type="dxa"/>
            <w:shd w:val="clear" w:color="auto" w:fill="D9D9D9" w:themeFill="background1" w:themeFillShade="D9"/>
            <w:vAlign w:val="bottom"/>
          </w:tcPr>
          <w:p w14:paraId="147CF2DE" w14:textId="77777777" w:rsidR="00EE7AB9" w:rsidRPr="00B33397" w:rsidRDefault="00EE7AB9" w:rsidP="00A82EFE">
            <w:pPr>
              <w:jc w:val="center"/>
              <w:rPr>
                <w:b/>
                <w:bCs/>
              </w:rPr>
            </w:pPr>
            <w:r w:rsidRPr="00B33397">
              <w:rPr>
                <w:rFonts w:ascii="Calibri" w:hAnsi="Calibri" w:cs="Calibri"/>
              </w:rPr>
              <w:t xml:space="preserve"> $ 650,475 </w:t>
            </w:r>
          </w:p>
        </w:tc>
        <w:tc>
          <w:tcPr>
            <w:tcW w:w="1414" w:type="dxa"/>
            <w:shd w:val="clear" w:color="auto" w:fill="D9D9D9" w:themeFill="background1" w:themeFillShade="D9"/>
            <w:vAlign w:val="bottom"/>
          </w:tcPr>
          <w:p w14:paraId="187DDFBB" w14:textId="77777777" w:rsidR="00EE7AB9" w:rsidRPr="00B33397" w:rsidRDefault="00EE7AB9" w:rsidP="00A82EFE">
            <w:pPr>
              <w:jc w:val="center"/>
              <w:rPr>
                <w:b/>
                <w:bCs/>
              </w:rPr>
            </w:pPr>
            <w:r w:rsidRPr="00B33397">
              <w:rPr>
                <w:rFonts w:ascii="Calibri" w:hAnsi="Calibri" w:cs="Calibri"/>
              </w:rPr>
              <w:t xml:space="preserve"> $ 682,999 </w:t>
            </w:r>
          </w:p>
        </w:tc>
        <w:tc>
          <w:tcPr>
            <w:tcW w:w="1345" w:type="dxa"/>
            <w:shd w:val="clear" w:color="auto" w:fill="D9D9D9" w:themeFill="background1" w:themeFillShade="D9"/>
            <w:vAlign w:val="bottom"/>
          </w:tcPr>
          <w:p w14:paraId="2FFCD271" w14:textId="77777777" w:rsidR="00EE7AB9" w:rsidRPr="00B33397" w:rsidRDefault="00EE7AB9" w:rsidP="00A82EFE">
            <w:pPr>
              <w:jc w:val="center"/>
            </w:pPr>
            <w:r w:rsidRPr="00B33397">
              <w:rPr>
                <w:rFonts w:ascii="Calibri" w:hAnsi="Calibri" w:cs="Calibri"/>
              </w:rPr>
              <w:t xml:space="preserve"> $</w:t>
            </w:r>
            <w:r>
              <w:rPr>
                <w:rFonts w:ascii="Calibri" w:hAnsi="Calibri" w:cs="Calibri"/>
              </w:rPr>
              <w:t xml:space="preserve"> </w:t>
            </w:r>
            <w:r w:rsidRPr="00B33397">
              <w:rPr>
                <w:rFonts w:ascii="Calibri" w:hAnsi="Calibri" w:cs="Calibri"/>
              </w:rPr>
              <w:t xml:space="preserve">717,149 </w:t>
            </w:r>
          </w:p>
        </w:tc>
        <w:tc>
          <w:tcPr>
            <w:tcW w:w="1418" w:type="dxa"/>
            <w:shd w:val="clear" w:color="auto" w:fill="D9D9D9" w:themeFill="background1" w:themeFillShade="D9"/>
          </w:tcPr>
          <w:p w14:paraId="1121F3CC" w14:textId="77777777" w:rsidR="00EE7AB9" w:rsidRDefault="00EE7AB9" w:rsidP="00A82EFE">
            <w:pPr>
              <w:jc w:val="center"/>
            </w:pPr>
          </w:p>
          <w:p w14:paraId="5E929C2B" w14:textId="77777777" w:rsidR="00EE7AB9" w:rsidRPr="00B33397" w:rsidRDefault="00EE7AB9" w:rsidP="00A82EFE">
            <w:pPr>
              <w:jc w:val="center"/>
            </w:pPr>
            <w:r w:rsidRPr="00B33397">
              <w:t>$3,260,122</w:t>
            </w:r>
          </w:p>
        </w:tc>
      </w:tr>
    </w:tbl>
    <w:p w14:paraId="33CFB5E8" w14:textId="77777777" w:rsidR="00EE7AB9" w:rsidRDefault="00EE7AB9" w:rsidP="00EE7AB9">
      <w:pPr>
        <w:spacing w:after="0"/>
        <w:rPr>
          <w:b/>
          <w:bCs/>
          <w:i/>
          <w:iCs/>
        </w:rPr>
      </w:pPr>
    </w:p>
    <w:p w14:paraId="428254B5" w14:textId="77777777" w:rsidR="00EE7AB9" w:rsidRDefault="00EE7AB9" w:rsidP="00EE7AB9">
      <w:pPr>
        <w:spacing w:after="0"/>
        <w:rPr>
          <w:b/>
          <w:bCs/>
          <w:i/>
          <w:iCs/>
        </w:rPr>
      </w:pPr>
    </w:p>
    <w:p w14:paraId="0150A06A" w14:textId="77777777" w:rsidR="00EE7AB9" w:rsidRPr="00201773" w:rsidRDefault="00EE7AB9" w:rsidP="00EE7AB9">
      <w:pPr>
        <w:pStyle w:val="Heading2"/>
      </w:pPr>
      <w:bookmarkStart w:id="6" w:name="_Toc162549175"/>
      <w:r w:rsidRPr="00201773">
        <w:t>Other Costs</w:t>
      </w:r>
      <w:bookmarkEnd w:id="6"/>
    </w:p>
    <w:p w14:paraId="0D26C306" w14:textId="77777777" w:rsidR="00EE7AB9" w:rsidRDefault="00EE7AB9" w:rsidP="00EE7AB9">
      <w:r w:rsidRPr="007C659F">
        <w:t xml:space="preserve">This section provides details on direct costs that do not fit into the specified budget categories. It includes items such </w:t>
      </w:r>
      <w:r w:rsidRPr="001E08C5">
        <w:t>as rental/lease of commercial</w:t>
      </w:r>
      <w:r>
        <w:t xml:space="preserve"> space. </w:t>
      </w:r>
    </w:p>
    <w:p w14:paraId="23147FB8" w14:textId="77777777" w:rsidR="00EE7AB9" w:rsidRDefault="00EE7AB9" w:rsidP="00EE7AB9">
      <w:pPr>
        <w:pStyle w:val="Heading4"/>
      </w:pPr>
      <w:r>
        <w:t>Description of Other Costs</w:t>
      </w:r>
    </w:p>
    <w:p w14:paraId="64748035" w14:textId="77777777" w:rsidR="00EE7AB9" w:rsidRDefault="00EE7AB9" w:rsidP="00EE7AB9">
      <w:r>
        <w:t>Listed below are items included in the "Other" category along with sufficient details to determine the reasonableness and allowability of their costs:</w:t>
      </w:r>
    </w:p>
    <w:p w14:paraId="646768F3" w14:textId="77777777" w:rsidR="00EE7AB9" w:rsidRPr="00A82EFE" w:rsidRDefault="00EE7AB9" w:rsidP="00EE7AB9">
      <w:pPr>
        <w:pStyle w:val="ListParagraph"/>
        <w:numPr>
          <w:ilvl w:val="0"/>
          <w:numId w:val="3"/>
        </w:numPr>
        <w:rPr>
          <w:b/>
          <w:bCs/>
          <w:u w:val="single"/>
        </w:rPr>
      </w:pPr>
      <w:r w:rsidRPr="00A82EFE">
        <w:rPr>
          <w:b/>
          <w:bCs/>
        </w:rPr>
        <w:t>CRM Software &amp; Support</w:t>
      </w:r>
    </w:p>
    <w:p w14:paraId="6E3225D0" w14:textId="15DCD408" w:rsidR="00EE7AB9" w:rsidRPr="00A82EFE" w:rsidRDefault="00EE7AB9" w:rsidP="49101B16">
      <w:pPr>
        <w:pStyle w:val="ListParagraph"/>
        <w:numPr>
          <w:ilvl w:val="1"/>
          <w:numId w:val="3"/>
        </w:numPr>
        <w:rPr>
          <w:b/>
          <w:bCs/>
          <w:i/>
          <w:iCs/>
          <w:u w:val="single"/>
        </w:rPr>
      </w:pPr>
      <w:r w:rsidRPr="49101B16">
        <w:rPr>
          <w:b/>
          <w:bCs/>
          <w:i/>
          <w:iCs/>
        </w:rPr>
        <w:t xml:space="preserve">Purpose: </w:t>
      </w:r>
      <w:r>
        <w:t xml:space="preserve">The </w:t>
      </w:r>
      <w:r w:rsidR="41BA8AC6">
        <w:t>c</w:t>
      </w:r>
      <w:r w:rsidR="3BD05B41">
        <w:t xml:space="preserve">ustomer </w:t>
      </w:r>
      <w:r w:rsidR="7C55DE35">
        <w:t>r</w:t>
      </w:r>
      <w:r w:rsidR="3BD05B41">
        <w:t xml:space="preserve">elationship </w:t>
      </w:r>
      <w:r w:rsidR="3AD3526D">
        <w:t>m</w:t>
      </w:r>
      <w:r w:rsidR="3BD05B41">
        <w:t>anagement (</w:t>
      </w:r>
      <w:r>
        <w:t>CRM</w:t>
      </w:r>
      <w:r w:rsidR="23D6F9EE">
        <w:t>)</w:t>
      </w:r>
      <w:r>
        <w:t xml:space="preserve"> database will be used to manage program contacts; create and track home assessment and retrofit workorders; house information related to financial assistance; and track and report resident engagement, as well as energy, GHG, and dollar savings achieved. </w:t>
      </w:r>
    </w:p>
    <w:p w14:paraId="14E1A037" w14:textId="77777777" w:rsidR="00EE7AB9" w:rsidRPr="00A82EFE" w:rsidRDefault="00EE7AB9" w:rsidP="00EE7AB9">
      <w:pPr>
        <w:pStyle w:val="ListParagraph"/>
        <w:numPr>
          <w:ilvl w:val="1"/>
          <w:numId w:val="3"/>
        </w:numPr>
        <w:rPr>
          <w:b/>
          <w:bCs/>
          <w:u w:val="single"/>
        </w:rPr>
      </w:pPr>
      <w:r w:rsidRPr="00A82EFE">
        <w:rPr>
          <w:b/>
          <w:bCs/>
          <w:i/>
          <w:iCs/>
        </w:rPr>
        <w:t xml:space="preserve">Estimated Cost:  </w:t>
      </w:r>
      <w:r w:rsidRPr="00416F09">
        <w:t>$</w:t>
      </w:r>
      <w:r>
        <w:t>1</w:t>
      </w:r>
      <w:r w:rsidRPr="00416F09">
        <w:t>25,000</w:t>
      </w:r>
      <w:r>
        <w:t>. $25,000</w:t>
      </w:r>
      <w:r w:rsidRPr="00416F09">
        <w:t xml:space="preserve"> for initial setup and configuration, $19,200 in annual license costs, $1,000 in annual support costs</w:t>
      </w:r>
      <w:r>
        <w:t xml:space="preserve"> after the first year</w:t>
      </w:r>
      <w:r w:rsidRPr="00416F09">
        <w:t>.</w:t>
      </w:r>
      <w:r>
        <w:t xml:space="preserve">  </w:t>
      </w:r>
    </w:p>
    <w:p w14:paraId="2ECC1701" w14:textId="77777777" w:rsidR="00EE7AB9" w:rsidRPr="00A82EFE" w:rsidRDefault="00EE7AB9" w:rsidP="00EE7AB9">
      <w:pPr>
        <w:pStyle w:val="ListParagraph"/>
        <w:numPr>
          <w:ilvl w:val="1"/>
          <w:numId w:val="3"/>
        </w:numPr>
        <w:rPr>
          <w:b/>
          <w:bCs/>
          <w:u w:val="single"/>
        </w:rPr>
      </w:pPr>
      <w:r>
        <w:rPr>
          <w:b/>
          <w:bCs/>
        </w:rPr>
        <w:t xml:space="preserve">Cost Assumptions: </w:t>
      </w:r>
      <w:r>
        <w:t>Year 1 includes hiring a contractor for configuration of a CRM. Assumes license fee level of Salesforce Service Cloud is maintained for the entire project period from October 2024- October 2029.</w:t>
      </w:r>
    </w:p>
    <w:p w14:paraId="669B3D9B" w14:textId="77777777" w:rsidR="00EE7AB9" w:rsidRDefault="00EE7AB9" w:rsidP="00EE7AB9">
      <w:pPr>
        <w:rPr>
          <w:b/>
          <w:bCs/>
        </w:rPr>
      </w:pPr>
    </w:p>
    <w:p w14:paraId="6C973EA5" w14:textId="77777777" w:rsidR="00EE7AB9" w:rsidRPr="0086419F" w:rsidRDefault="00EE7AB9" w:rsidP="00EE7AB9">
      <w:pPr>
        <w:pStyle w:val="ListParagraph"/>
        <w:numPr>
          <w:ilvl w:val="0"/>
          <w:numId w:val="4"/>
        </w:numPr>
        <w:rPr>
          <w:b/>
          <w:bCs/>
        </w:rPr>
      </w:pPr>
      <w:r>
        <w:rPr>
          <w:b/>
          <w:bCs/>
        </w:rPr>
        <w:t>Lease for Commercial Space</w:t>
      </w:r>
    </w:p>
    <w:p w14:paraId="014B29E5" w14:textId="77777777" w:rsidR="00EE7AB9" w:rsidRDefault="00EE7AB9" w:rsidP="00EE7AB9">
      <w:pPr>
        <w:pStyle w:val="ListParagraph"/>
        <w:numPr>
          <w:ilvl w:val="1"/>
          <w:numId w:val="4"/>
        </w:numPr>
      </w:pPr>
      <w:r w:rsidRPr="00756D40">
        <w:rPr>
          <w:b/>
          <w:bCs/>
          <w:i/>
          <w:iCs/>
        </w:rPr>
        <w:t>Purpose</w:t>
      </w:r>
      <w:r w:rsidRPr="00756D40">
        <w:rPr>
          <w:i/>
          <w:iCs/>
        </w:rPr>
        <w:t>:</w:t>
      </w:r>
      <w:r>
        <w:t xml:space="preserve"> Housing of staff will be necessary for operation of the program. New Bedford will lease commercial space as needed to support the program.</w:t>
      </w:r>
    </w:p>
    <w:p w14:paraId="3B92E3AC" w14:textId="77777777" w:rsidR="00EE7AB9" w:rsidRDefault="00EE7AB9" w:rsidP="00EE7AB9">
      <w:pPr>
        <w:pStyle w:val="ListParagraph"/>
        <w:numPr>
          <w:ilvl w:val="1"/>
          <w:numId w:val="4"/>
        </w:numPr>
      </w:pPr>
      <w:r w:rsidRPr="00756D40">
        <w:rPr>
          <w:b/>
          <w:bCs/>
          <w:i/>
          <w:iCs/>
        </w:rPr>
        <w:t>Estimated</w:t>
      </w:r>
      <w:r w:rsidRPr="00756D40">
        <w:rPr>
          <w:i/>
          <w:iCs/>
        </w:rPr>
        <w:t xml:space="preserve"> </w:t>
      </w:r>
      <w:r w:rsidRPr="00756D40">
        <w:rPr>
          <w:b/>
          <w:bCs/>
          <w:i/>
          <w:iCs/>
        </w:rPr>
        <w:t>Cost</w:t>
      </w:r>
      <w:r w:rsidRPr="00756D40">
        <w:rPr>
          <w:i/>
          <w:iCs/>
        </w:rPr>
        <w:t>:</w:t>
      </w:r>
      <w:r>
        <w:t xml:space="preserve"> $306,000</w:t>
      </w:r>
    </w:p>
    <w:p w14:paraId="0D352125" w14:textId="77777777" w:rsidR="00EE7AB9" w:rsidRDefault="00EE7AB9" w:rsidP="00EE7AB9">
      <w:pPr>
        <w:pStyle w:val="ListParagraph"/>
        <w:numPr>
          <w:ilvl w:val="1"/>
          <w:numId w:val="4"/>
        </w:numPr>
      </w:pPr>
      <w:r w:rsidRPr="00756D40">
        <w:rPr>
          <w:b/>
          <w:bCs/>
          <w:i/>
          <w:iCs/>
        </w:rPr>
        <w:t>Cost</w:t>
      </w:r>
      <w:r w:rsidRPr="00756D40">
        <w:rPr>
          <w:i/>
          <w:iCs/>
        </w:rPr>
        <w:t xml:space="preserve"> </w:t>
      </w:r>
      <w:r w:rsidRPr="00756D40">
        <w:rPr>
          <w:b/>
          <w:bCs/>
          <w:i/>
          <w:iCs/>
        </w:rPr>
        <w:t>Assumptions</w:t>
      </w:r>
      <w:r w:rsidRPr="00756D40">
        <w:rPr>
          <w:i/>
          <w:iCs/>
        </w:rPr>
        <w:t>:</w:t>
      </w:r>
      <w:r>
        <w:t xml:space="preserve"> Space will be needed for approximately 17 staff. Calculations Assumes 300 square feet per person at a cost of $12 per square foot per year to lease commercial space, including the cost of utilities.</w:t>
      </w:r>
    </w:p>
    <w:p w14:paraId="47FADC0E" w14:textId="77777777" w:rsidR="00F90AD0" w:rsidRDefault="00F90AD0"/>
    <w:sectPr w:rsidR="00F90AD0" w:rsidSect="00EE7AB9">
      <w:headerReference w:type="default" r:id="rId14"/>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C0DF0B" w14:textId="77777777" w:rsidR="00EE7AB9" w:rsidRDefault="00EE7AB9" w:rsidP="00EE7AB9">
      <w:pPr>
        <w:spacing w:after="0" w:line="240" w:lineRule="auto"/>
      </w:pPr>
      <w:r>
        <w:separator/>
      </w:r>
    </w:p>
  </w:endnote>
  <w:endnote w:type="continuationSeparator" w:id="0">
    <w:p w14:paraId="4368C868" w14:textId="77777777" w:rsidR="00EE7AB9" w:rsidRDefault="00EE7AB9" w:rsidP="00EE7A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79555369"/>
      <w:docPartObj>
        <w:docPartGallery w:val="Page Numbers (Bottom of Page)"/>
        <w:docPartUnique/>
      </w:docPartObj>
    </w:sdtPr>
    <w:sdtEndPr>
      <w:rPr>
        <w:noProof/>
      </w:rPr>
    </w:sdtEndPr>
    <w:sdtContent>
      <w:p w14:paraId="032F0614" w14:textId="77777777" w:rsidR="00EE7AB9" w:rsidRDefault="00EE7AB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E08E204" w14:textId="77777777" w:rsidR="00EE7AB9" w:rsidRDefault="00EE7A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AE1EB4" w14:textId="77777777" w:rsidR="00EE7AB9" w:rsidRDefault="00EE7AB9" w:rsidP="00EE7AB9">
      <w:pPr>
        <w:spacing w:after="0" w:line="240" w:lineRule="auto"/>
      </w:pPr>
      <w:r>
        <w:separator/>
      </w:r>
    </w:p>
  </w:footnote>
  <w:footnote w:type="continuationSeparator" w:id="0">
    <w:p w14:paraId="170928A8" w14:textId="77777777" w:rsidR="00EE7AB9" w:rsidRDefault="00EE7AB9" w:rsidP="00EE7AB9">
      <w:pPr>
        <w:spacing w:after="0" w:line="240" w:lineRule="auto"/>
      </w:pPr>
      <w:r>
        <w:continuationSeparator/>
      </w:r>
    </w:p>
  </w:footnote>
  <w:footnote w:id="1">
    <w:p w14:paraId="0A11D2F7" w14:textId="77777777" w:rsidR="00EE7AB9" w:rsidRPr="00E07929" w:rsidRDefault="00EE7AB9" w:rsidP="00EE7AB9">
      <w:pPr>
        <w:pStyle w:val="FootnoteText"/>
        <w:rPr>
          <w:rFonts w:cstheme="minorHAnsi"/>
          <w:sz w:val="18"/>
          <w:szCs w:val="18"/>
        </w:rPr>
      </w:pPr>
      <w:r w:rsidRPr="00E07929">
        <w:rPr>
          <w:rStyle w:val="FootnoteReference"/>
          <w:rFonts w:cstheme="minorHAnsi"/>
          <w:sz w:val="18"/>
          <w:szCs w:val="18"/>
        </w:rPr>
        <w:footnoteRef/>
      </w:r>
      <w:r w:rsidRPr="00E07929">
        <w:rPr>
          <w:rFonts w:cstheme="minorHAnsi"/>
          <w:sz w:val="18"/>
          <w:szCs w:val="18"/>
        </w:rPr>
        <w:t xml:space="preserve"> Energy Trust of Oregon (2023). 2024 Annual Budget and 2025-2025 Action Plan. Retrieved from </w:t>
      </w:r>
      <w:hyperlink r:id="rId1" w:history="1">
        <w:r w:rsidRPr="00E07929">
          <w:rPr>
            <w:rStyle w:val="Hyperlink"/>
            <w:rFonts w:cstheme="minorHAnsi"/>
            <w:sz w:val="18"/>
            <w:szCs w:val="18"/>
          </w:rPr>
          <w:t>https://www.energytrust.org/wp-content/uploads/2023/12/2024-Approved-Budget-and-2024-2025-Action-Plan.pdf</w:t>
        </w:r>
      </w:hyperlink>
      <w:r w:rsidRPr="00E07929">
        <w:rPr>
          <w:rFonts w:cstheme="minorHAnsi"/>
          <w:sz w:val="18"/>
          <w:szCs w:val="18"/>
        </w:rPr>
        <w:t xml:space="preserve"> </w:t>
      </w:r>
    </w:p>
  </w:footnote>
  <w:footnote w:id="2">
    <w:p w14:paraId="68D7015B" w14:textId="77777777" w:rsidR="00EE7AB9" w:rsidRDefault="00EE7AB9" w:rsidP="00EE7AB9">
      <w:pPr>
        <w:pStyle w:val="FootnoteText"/>
      </w:pPr>
      <w:r>
        <w:rPr>
          <w:rStyle w:val="FootnoteReference"/>
        </w:rPr>
        <w:footnoteRef/>
      </w:r>
      <w:r>
        <w:t xml:space="preserve"> Less, et al. Lawrence Berkeley National Labs. The Cost of Decarbonization and Energy Upgrade Retrofits for US Homes.  August 2021. doi:10.20357/B7FP4D. </w:t>
      </w:r>
      <w:hyperlink r:id="rId2" w:history="1">
        <w:r w:rsidRPr="00645F54">
          <w:rPr>
            <w:rStyle w:val="Hyperlink"/>
          </w:rPr>
          <w:t>https://eta-publications.lbl.gov/sites/default/files/final_walker_-_the_cost_of_decarbonization_and_energy.pdf</w:t>
        </w:r>
      </w:hyperlink>
      <w:r>
        <w:t xml:space="preserve"> </w:t>
      </w:r>
    </w:p>
  </w:footnote>
  <w:footnote w:id="3">
    <w:p w14:paraId="1B5BDFAB" w14:textId="77777777" w:rsidR="00EE7AB9" w:rsidRDefault="00EE7AB9" w:rsidP="00EE7AB9">
      <w:pPr>
        <w:pStyle w:val="FootnoteText"/>
      </w:pPr>
      <w:r>
        <w:rPr>
          <w:rStyle w:val="FootnoteReference"/>
        </w:rPr>
        <w:footnoteRef/>
      </w:r>
      <w:r>
        <w:t xml:space="preserve"> MassSave. Residential Rebates and Incentives. Accessed March 13</w:t>
      </w:r>
      <w:r w:rsidRPr="009A415D">
        <w:rPr>
          <w:vertAlign w:val="superscript"/>
        </w:rPr>
        <w:t>th</w:t>
      </w:r>
      <w:r>
        <w:t xml:space="preserve">, 2024. </w:t>
      </w:r>
      <w:hyperlink r:id="rId3" w:history="1">
        <w:r w:rsidRPr="00645F54">
          <w:rPr>
            <w:rStyle w:val="Hyperlink"/>
          </w:rPr>
          <w:t>https://www.masssave.com/en/residential/rebates-and-incentives</w:t>
        </w:r>
      </w:hyperlink>
      <w:r>
        <w:t xml:space="preserve"> </w:t>
      </w:r>
    </w:p>
  </w:footnote>
  <w:footnote w:id="4">
    <w:p w14:paraId="2EA07445" w14:textId="77777777" w:rsidR="00EE7AB9" w:rsidRPr="00E07929" w:rsidRDefault="00EE7AB9" w:rsidP="00EE7AB9">
      <w:pPr>
        <w:pStyle w:val="FootnoteText"/>
        <w:rPr>
          <w:rFonts w:cstheme="minorHAnsi"/>
          <w:sz w:val="18"/>
          <w:szCs w:val="18"/>
        </w:rPr>
      </w:pPr>
      <w:r w:rsidRPr="00E07929">
        <w:rPr>
          <w:rStyle w:val="FootnoteReference"/>
          <w:rFonts w:cstheme="minorHAnsi"/>
          <w:sz w:val="18"/>
          <w:szCs w:val="18"/>
        </w:rPr>
        <w:footnoteRef/>
      </w:r>
      <w:r w:rsidRPr="00E07929">
        <w:rPr>
          <w:rFonts w:cstheme="minorHAnsi"/>
          <w:sz w:val="18"/>
          <w:szCs w:val="18"/>
        </w:rPr>
        <w:t xml:space="preserve"> Energy Trust of Oregon (2023). 2024 Annual Budget and 2025-2025 Action Plan. Retrieved from </w:t>
      </w:r>
      <w:hyperlink r:id="rId4" w:history="1">
        <w:r w:rsidRPr="00E07929">
          <w:rPr>
            <w:rStyle w:val="Hyperlink"/>
            <w:rFonts w:cstheme="minorHAnsi"/>
            <w:sz w:val="18"/>
            <w:szCs w:val="18"/>
          </w:rPr>
          <w:t>https://www.energytrust.org/wp-content/uploads/2023/12/2024-Approved-Budget-and-2024-2025-Action-Plan.pdf</w:t>
        </w:r>
      </w:hyperlink>
      <w:r w:rsidRPr="00E07929">
        <w:rPr>
          <w:rFonts w:cstheme="minorHAnsi"/>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8F588C" w14:textId="77777777" w:rsidR="00EE7AB9" w:rsidRDefault="00EE7AB9" w:rsidP="00A82E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1440"/>
      <w:gridCol w:w="1440"/>
      <w:gridCol w:w="1440"/>
    </w:tblGrid>
    <w:tr w:rsidR="00EE7AB9" w14:paraId="01589675" w14:textId="77777777" w:rsidTr="00A82EFE">
      <w:trPr>
        <w:trHeight w:val="300"/>
      </w:trPr>
      <w:tc>
        <w:tcPr>
          <w:tcW w:w="1440" w:type="dxa"/>
        </w:tcPr>
        <w:p w14:paraId="4F286732" w14:textId="77777777" w:rsidR="00EE7AB9" w:rsidRDefault="00EE7AB9" w:rsidP="00A82EFE">
          <w:pPr>
            <w:pStyle w:val="Header"/>
            <w:ind w:left="-115"/>
          </w:pPr>
        </w:p>
      </w:tc>
      <w:tc>
        <w:tcPr>
          <w:tcW w:w="1440" w:type="dxa"/>
        </w:tcPr>
        <w:p w14:paraId="5C0BDB21" w14:textId="77777777" w:rsidR="00EE7AB9" w:rsidRDefault="00EE7AB9" w:rsidP="00A82EFE">
          <w:pPr>
            <w:pStyle w:val="Header"/>
            <w:jc w:val="center"/>
          </w:pPr>
        </w:p>
      </w:tc>
      <w:tc>
        <w:tcPr>
          <w:tcW w:w="1440" w:type="dxa"/>
        </w:tcPr>
        <w:p w14:paraId="4DE26564" w14:textId="77777777" w:rsidR="00EE7AB9" w:rsidRDefault="00EE7AB9" w:rsidP="00A82EFE">
          <w:pPr>
            <w:pStyle w:val="Header"/>
            <w:ind w:right="-115"/>
            <w:jc w:val="right"/>
          </w:pPr>
        </w:p>
      </w:tc>
    </w:tr>
  </w:tbl>
  <w:p w14:paraId="3E90B3E9" w14:textId="77777777" w:rsidR="00EE7AB9" w:rsidRDefault="00EE7AB9" w:rsidP="00A82EF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1F2C31BD" w14:paraId="45C739FA" w14:textId="77777777" w:rsidTr="00A82EFE">
      <w:trPr>
        <w:trHeight w:val="300"/>
      </w:trPr>
      <w:tc>
        <w:tcPr>
          <w:tcW w:w="3120" w:type="dxa"/>
        </w:tcPr>
        <w:p w14:paraId="13C26C45" w14:textId="77777777" w:rsidR="00EE7AB9" w:rsidRDefault="00EE7AB9" w:rsidP="00A82EFE">
          <w:pPr>
            <w:pStyle w:val="Header"/>
            <w:ind w:left="-115"/>
          </w:pPr>
        </w:p>
      </w:tc>
      <w:tc>
        <w:tcPr>
          <w:tcW w:w="3120" w:type="dxa"/>
        </w:tcPr>
        <w:p w14:paraId="24C0614B" w14:textId="77777777" w:rsidR="00EE7AB9" w:rsidRDefault="00EE7AB9" w:rsidP="00A82EFE">
          <w:pPr>
            <w:pStyle w:val="Header"/>
            <w:jc w:val="center"/>
          </w:pPr>
        </w:p>
      </w:tc>
      <w:tc>
        <w:tcPr>
          <w:tcW w:w="3120" w:type="dxa"/>
        </w:tcPr>
        <w:p w14:paraId="03614601" w14:textId="77777777" w:rsidR="00EE7AB9" w:rsidRDefault="00EE7AB9" w:rsidP="00A82EFE">
          <w:pPr>
            <w:pStyle w:val="Header"/>
            <w:ind w:right="-115"/>
            <w:jc w:val="right"/>
          </w:pPr>
        </w:p>
      </w:tc>
    </w:tr>
  </w:tbl>
  <w:p w14:paraId="07080CB5" w14:textId="77777777" w:rsidR="00EE7AB9" w:rsidRDefault="00EE7AB9" w:rsidP="00A82E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F27501"/>
    <w:multiLevelType w:val="hybridMultilevel"/>
    <w:tmpl w:val="0BA65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10781E"/>
    <w:multiLevelType w:val="hybridMultilevel"/>
    <w:tmpl w:val="41DC07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6A0F1D"/>
    <w:multiLevelType w:val="hybridMultilevel"/>
    <w:tmpl w:val="F544E7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A494A9A"/>
    <w:multiLevelType w:val="hybridMultilevel"/>
    <w:tmpl w:val="96886E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18142420">
    <w:abstractNumId w:val="0"/>
  </w:num>
  <w:num w:numId="2" w16cid:durableId="2083410021">
    <w:abstractNumId w:val="3"/>
  </w:num>
  <w:num w:numId="3" w16cid:durableId="1617298962">
    <w:abstractNumId w:val="1"/>
  </w:num>
  <w:num w:numId="4" w16cid:durableId="6520313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AB9"/>
    <w:rsid w:val="00002125"/>
    <w:rsid w:val="000024B4"/>
    <w:rsid w:val="00011BBB"/>
    <w:rsid w:val="000149D2"/>
    <w:rsid w:val="000224C1"/>
    <w:rsid w:val="00032F0F"/>
    <w:rsid w:val="00035D76"/>
    <w:rsid w:val="0004065A"/>
    <w:rsid w:val="00041576"/>
    <w:rsid w:val="00041973"/>
    <w:rsid w:val="00041EA2"/>
    <w:rsid w:val="00043C6F"/>
    <w:rsid w:val="00045357"/>
    <w:rsid w:val="000466A2"/>
    <w:rsid w:val="00047C18"/>
    <w:rsid w:val="00051D68"/>
    <w:rsid w:val="0005385D"/>
    <w:rsid w:val="00054B1F"/>
    <w:rsid w:val="00054FD1"/>
    <w:rsid w:val="000559C2"/>
    <w:rsid w:val="0005736E"/>
    <w:rsid w:val="00057EC6"/>
    <w:rsid w:val="00062B76"/>
    <w:rsid w:val="00063C04"/>
    <w:rsid w:val="000646DF"/>
    <w:rsid w:val="00075BBA"/>
    <w:rsid w:val="00077D50"/>
    <w:rsid w:val="00081F3F"/>
    <w:rsid w:val="0009063A"/>
    <w:rsid w:val="00091AF3"/>
    <w:rsid w:val="000923D6"/>
    <w:rsid w:val="000929B3"/>
    <w:rsid w:val="00093474"/>
    <w:rsid w:val="00094F40"/>
    <w:rsid w:val="00096ECB"/>
    <w:rsid w:val="000A0679"/>
    <w:rsid w:val="000A0B10"/>
    <w:rsid w:val="000A0D53"/>
    <w:rsid w:val="000A2BDF"/>
    <w:rsid w:val="000A3E09"/>
    <w:rsid w:val="000A6821"/>
    <w:rsid w:val="000A6E73"/>
    <w:rsid w:val="000A791D"/>
    <w:rsid w:val="000B13FC"/>
    <w:rsid w:val="000B2D6B"/>
    <w:rsid w:val="000B5E11"/>
    <w:rsid w:val="000B71EB"/>
    <w:rsid w:val="000B7788"/>
    <w:rsid w:val="000B7C1B"/>
    <w:rsid w:val="000C791B"/>
    <w:rsid w:val="000C7C8D"/>
    <w:rsid w:val="000D044A"/>
    <w:rsid w:val="000D0D97"/>
    <w:rsid w:val="000D1026"/>
    <w:rsid w:val="000D3127"/>
    <w:rsid w:val="000E2979"/>
    <w:rsid w:val="000E5EBD"/>
    <w:rsid w:val="000F40B0"/>
    <w:rsid w:val="000F7BEA"/>
    <w:rsid w:val="00100BFA"/>
    <w:rsid w:val="00105C8E"/>
    <w:rsid w:val="001079ED"/>
    <w:rsid w:val="001117D0"/>
    <w:rsid w:val="00113DFC"/>
    <w:rsid w:val="00123FBB"/>
    <w:rsid w:val="00125D1D"/>
    <w:rsid w:val="0012637F"/>
    <w:rsid w:val="00126683"/>
    <w:rsid w:val="00126D82"/>
    <w:rsid w:val="00127B82"/>
    <w:rsid w:val="00131301"/>
    <w:rsid w:val="0013153D"/>
    <w:rsid w:val="00132424"/>
    <w:rsid w:val="00141221"/>
    <w:rsid w:val="00144A7A"/>
    <w:rsid w:val="001470DF"/>
    <w:rsid w:val="00147BDC"/>
    <w:rsid w:val="00152D4D"/>
    <w:rsid w:val="00153AAB"/>
    <w:rsid w:val="00154EAC"/>
    <w:rsid w:val="001567D3"/>
    <w:rsid w:val="00160E53"/>
    <w:rsid w:val="00163219"/>
    <w:rsid w:val="00164695"/>
    <w:rsid w:val="0016498A"/>
    <w:rsid w:val="0017163B"/>
    <w:rsid w:val="001721A1"/>
    <w:rsid w:val="00173FA7"/>
    <w:rsid w:val="001748AE"/>
    <w:rsid w:val="001819DB"/>
    <w:rsid w:val="00182335"/>
    <w:rsid w:val="00187445"/>
    <w:rsid w:val="001922B4"/>
    <w:rsid w:val="00192E54"/>
    <w:rsid w:val="00195075"/>
    <w:rsid w:val="00196DD9"/>
    <w:rsid w:val="001A1C50"/>
    <w:rsid w:val="001A222E"/>
    <w:rsid w:val="001A5617"/>
    <w:rsid w:val="001A5684"/>
    <w:rsid w:val="001B0CF9"/>
    <w:rsid w:val="001B45A1"/>
    <w:rsid w:val="001B4E29"/>
    <w:rsid w:val="001B5B7C"/>
    <w:rsid w:val="001B6A82"/>
    <w:rsid w:val="001C0EE5"/>
    <w:rsid w:val="001C37A0"/>
    <w:rsid w:val="001D088B"/>
    <w:rsid w:val="001D0AB9"/>
    <w:rsid w:val="001E0D6E"/>
    <w:rsid w:val="001E1EC2"/>
    <w:rsid w:val="001E21B4"/>
    <w:rsid w:val="001E3A6A"/>
    <w:rsid w:val="001E3F11"/>
    <w:rsid w:val="001E7E1E"/>
    <w:rsid w:val="001F0B02"/>
    <w:rsid w:val="001F15DF"/>
    <w:rsid w:val="001F265C"/>
    <w:rsid w:val="001F4E3F"/>
    <w:rsid w:val="001F54F6"/>
    <w:rsid w:val="0020263A"/>
    <w:rsid w:val="0020273A"/>
    <w:rsid w:val="002029E2"/>
    <w:rsid w:val="002068CC"/>
    <w:rsid w:val="0020697D"/>
    <w:rsid w:val="0021114B"/>
    <w:rsid w:val="002139C4"/>
    <w:rsid w:val="00213D5E"/>
    <w:rsid w:val="00220CCE"/>
    <w:rsid w:val="00226C71"/>
    <w:rsid w:val="002275A9"/>
    <w:rsid w:val="00233068"/>
    <w:rsid w:val="00234AFD"/>
    <w:rsid w:val="00234B6F"/>
    <w:rsid w:val="00235B10"/>
    <w:rsid w:val="00235BDA"/>
    <w:rsid w:val="00236A5A"/>
    <w:rsid w:val="00240736"/>
    <w:rsid w:val="00243783"/>
    <w:rsid w:val="00251377"/>
    <w:rsid w:val="0025723B"/>
    <w:rsid w:val="00262C69"/>
    <w:rsid w:val="00263DCA"/>
    <w:rsid w:val="002665D5"/>
    <w:rsid w:val="002710BB"/>
    <w:rsid w:val="00273616"/>
    <w:rsid w:val="0027373D"/>
    <w:rsid w:val="00280A33"/>
    <w:rsid w:val="0028185F"/>
    <w:rsid w:val="00281D23"/>
    <w:rsid w:val="002848FD"/>
    <w:rsid w:val="00290E5C"/>
    <w:rsid w:val="0029325E"/>
    <w:rsid w:val="002962A1"/>
    <w:rsid w:val="002971F3"/>
    <w:rsid w:val="002978B9"/>
    <w:rsid w:val="002A03C0"/>
    <w:rsid w:val="002A223B"/>
    <w:rsid w:val="002B062F"/>
    <w:rsid w:val="002B129C"/>
    <w:rsid w:val="002B3394"/>
    <w:rsid w:val="002B4485"/>
    <w:rsid w:val="002B4836"/>
    <w:rsid w:val="002B5FBC"/>
    <w:rsid w:val="002B6446"/>
    <w:rsid w:val="002B7C48"/>
    <w:rsid w:val="002C1B48"/>
    <w:rsid w:val="002C495E"/>
    <w:rsid w:val="002C6B2D"/>
    <w:rsid w:val="002D2302"/>
    <w:rsid w:val="002D4B3E"/>
    <w:rsid w:val="002E340F"/>
    <w:rsid w:val="002E6694"/>
    <w:rsid w:val="002F1B82"/>
    <w:rsid w:val="002F489D"/>
    <w:rsid w:val="002F5281"/>
    <w:rsid w:val="002F6F3A"/>
    <w:rsid w:val="002F78AD"/>
    <w:rsid w:val="002F7A6F"/>
    <w:rsid w:val="0030155F"/>
    <w:rsid w:val="00302FB7"/>
    <w:rsid w:val="0030419F"/>
    <w:rsid w:val="00305128"/>
    <w:rsid w:val="003076F2"/>
    <w:rsid w:val="00316330"/>
    <w:rsid w:val="00316978"/>
    <w:rsid w:val="003201A7"/>
    <w:rsid w:val="00325F0D"/>
    <w:rsid w:val="00332D6A"/>
    <w:rsid w:val="00333482"/>
    <w:rsid w:val="00334298"/>
    <w:rsid w:val="0033471D"/>
    <w:rsid w:val="00334A7D"/>
    <w:rsid w:val="00335747"/>
    <w:rsid w:val="00337C1E"/>
    <w:rsid w:val="00340FA9"/>
    <w:rsid w:val="00343060"/>
    <w:rsid w:val="003465CE"/>
    <w:rsid w:val="00347DBF"/>
    <w:rsid w:val="00350A5E"/>
    <w:rsid w:val="003525BF"/>
    <w:rsid w:val="0036293C"/>
    <w:rsid w:val="00362E53"/>
    <w:rsid w:val="00364892"/>
    <w:rsid w:val="00365005"/>
    <w:rsid w:val="00365272"/>
    <w:rsid w:val="00365F05"/>
    <w:rsid w:val="00366EA3"/>
    <w:rsid w:val="003720F4"/>
    <w:rsid w:val="00377AC8"/>
    <w:rsid w:val="003802C5"/>
    <w:rsid w:val="0038050B"/>
    <w:rsid w:val="00381552"/>
    <w:rsid w:val="003822F9"/>
    <w:rsid w:val="00382FF8"/>
    <w:rsid w:val="00383573"/>
    <w:rsid w:val="003840F0"/>
    <w:rsid w:val="00385C37"/>
    <w:rsid w:val="00387AC5"/>
    <w:rsid w:val="003A0D09"/>
    <w:rsid w:val="003A22A2"/>
    <w:rsid w:val="003A340F"/>
    <w:rsid w:val="003A4CA0"/>
    <w:rsid w:val="003A6675"/>
    <w:rsid w:val="003B057F"/>
    <w:rsid w:val="003B1383"/>
    <w:rsid w:val="003B19FE"/>
    <w:rsid w:val="003C13AB"/>
    <w:rsid w:val="003C3234"/>
    <w:rsid w:val="003C396C"/>
    <w:rsid w:val="003C4A5A"/>
    <w:rsid w:val="003C6EDD"/>
    <w:rsid w:val="003D21FD"/>
    <w:rsid w:val="003D366E"/>
    <w:rsid w:val="003D7423"/>
    <w:rsid w:val="003D7B28"/>
    <w:rsid w:val="003E66AF"/>
    <w:rsid w:val="003F1235"/>
    <w:rsid w:val="003F1514"/>
    <w:rsid w:val="003F330C"/>
    <w:rsid w:val="003F7DED"/>
    <w:rsid w:val="004004B0"/>
    <w:rsid w:val="00400785"/>
    <w:rsid w:val="00402648"/>
    <w:rsid w:val="0040361A"/>
    <w:rsid w:val="00405BF0"/>
    <w:rsid w:val="00420987"/>
    <w:rsid w:val="00420CF9"/>
    <w:rsid w:val="00421AAF"/>
    <w:rsid w:val="00421CA7"/>
    <w:rsid w:val="0042270C"/>
    <w:rsid w:val="00422C5A"/>
    <w:rsid w:val="004241A6"/>
    <w:rsid w:val="004250B6"/>
    <w:rsid w:val="00427541"/>
    <w:rsid w:val="004318DA"/>
    <w:rsid w:val="00433FC0"/>
    <w:rsid w:val="004351B2"/>
    <w:rsid w:val="00437CC8"/>
    <w:rsid w:val="00444A5F"/>
    <w:rsid w:val="00445094"/>
    <w:rsid w:val="0044509C"/>
    <w:rsid w:val="00446A6A"/>
    <w:rsid w:val="00446C6B"/>
    <w:rsid w:val="00461145"/>
    <w:rsid w:val="00463C4D"/>
    <w:rsid w:val="00464A89"/>
    <w:rsid w:val="004668B8"/>
    <w:rsid w:val="00467606"/>
    <w:rsid w:val="00473D13"/>
    <w:rsid w:val="00475217"/>
    <w:rsid w:val="00475D0E"/>
    <w:rsid w:val="004821C7"/>
    <w:rsid w:val="00482C46"/>
    <w:rsid w:val="00491994"/>
    <w:rsid w:val="00491C4F"/>
    <w:rsid w:val="00494DFF"/>
    <w:rsid w:val="004951D2"/>
    <w:rsid w:val="0049538A"/>
    <w:rsid w:val="00496A87"/>
    <w:rsid w:val="004A004D"/>
    <w:rsid w:val="004A06DF"/>
    <w:rsid w:val="004A16DD"/>
    <w:rsid w:val="004A37BD"/>
    <w:rsid w:val="004A4BF4"/>
    <w:rsid w:val="004A5C33"/>
    <w:rsid w:val="004B15E7"/>
    <w:rsid w:val="004B2BF2"/>
    <w:rsid w:val="004B3473"/>
    <w:rsid w:val="004B6052"/>
    <w:rsid w:val="004C7104"/>
    <w:rsid w:val="004C7BE2"/>
    <w:rsid w:val="004D1398"/>
    <w:rsid w:val="004D1A58"/>
    <w:rsid w:val="004D3250"/>
    <w:rsid w:val="004D5798"/>
    <w:rsid w:val="004D63B5"/>
    <w:rsid w:val="004D69CD"/>
    <w:rsid w:val="004D6E6B"/>
    <w:rsid w:val="004D7B86"/>
    <w:rsid w:val="004E70C0"/>
    <w:rsid w:val="004E7F85"/>
    <w:rsid w:val="004F250C"/>
    <w:rsid w:val="004F37E5"/>
    <w:rsid w:val="004F55B9"/>
    <w:rsid w:val="004F73A0"/>
    <w:rsid w:val="00503C7C"/>
    <w:rsid w:val="00504C27"/>
    <w:rsid w:val="005107C8"/>
    <w:rsid w:val="00510D08"/>
    <w:rsid w:val="00511066"/>
    <w:rsid w:val="005112E4"/>
    <w:rsid w:val="00511E2C"/>
    <w:rsid w:val="0051329D"/>
    <w:rsid w:val="00513BA1"/>
    <w:rsid w:val="005217C1"/>
    <w:rsid w:val="00523870"/>
    <w:rsid w:val="0052594F"/>
    <w:rsid w:val="00525DE4"/>
    <w:rsid w:val="005264B4"/>
    <w:rsid w:val="00526C98"/>
    <w:rsid w:val="005271F4"/>
    <w:rsid w:val="00531CC4"/>
    <w:rsid w:val="00535B35"/>
    <w:rsid w:val="005365E3"/>
    <w:rsid w:val="00542182"/>
    <w:rsid w:val="00542E55"/>
    <w:rsid w:val="005432CD"/>
    <w:rsid w:val="005441EA"/>
    <w:rsid w:val="00544BDB"/>
    <w:rsid w:val="005465A4"/>
    <w:rsid w:val="005476FC"/>
    <w:rsid w:val="00553027"/>
    <w:rsid w:val="00553B64"/>
    <w:rsid w:val="00556C38"/>
    <w:rsid w:val="00557D41"/>
    <w:rsid w:val="00560A37"/>
    <w:rsid w:val="005613F8"/>
    <w:rsid w:val="005628F1"/>
    <w:rsid w:val="00564720"/>
    <w:rsid w:val="0056511E"/>
    <w:rsid w:val="00566A39"/>
    <w:rsid w:val="005670F5"/>
    <w:rsid w:val="0056728B"/>
    <w:rsid w:val="005677AD"/>
    <w:rsid w:val="00572C9A"/>
    <w:rsid w:val="005731A9"/>
    <w:rsid w:val="005737B8"/>
    <w:rsid w:val="00580D81"/>
    <w:rsid w:val="00581962"/>
    <w:rsid w:val="00581C64"/>
    <w:rsid w:val="00581DA5"/>
    <w:rsid w:val="00582436"/>
    <w:rsid w:val="005869FC"/>
    <w:rsid w:val="00591CC1"/>
    <w:rsid w:val="00592687"/>
    <w:rsid w:val="00593FEB"/>
    <w:rsid w:val="00594EF6"/>
    <w:rsid w:val="005955AB"/>
    <w:rsid w:val="005966AD"/>
    <w:rsid w:val="00597BAC"/>
    <w:rsid w:val="005A2162"/>
    <w:rsid w:val="005A216A"/>
    <w:rsid w:val="005A7332"/>
    <w:rsid w:val="005A7746"/>
    <w:rsid w:val="005B23E9"/>
    <w:rsid w:val="005B481C"/>
    <w:rsid w:val="005C4ED7"/>
    <w:rsid w:val="005C601C"/>
    <w:rsid w:val="005D0F8F"/>
    <w:rsid w:val="005D2C8C"/>
    <w:rsid w:val="005D63CE"/>
    <w:rsid w:val="005E0297"/>
    <w:rsid w:val="005E37A9"/>
    <w:rsid w:val="005E4819"/>
    <w:rsid w:val="005E6647"/>
    <w:rsid w:val="005F17D6"/>
    <w:rsid w:val="005F2EDF"/>
    <w:rsid w:val="005F51A7"/>
    <w:rsid w:val="005F536F"/>
    <w:rsid w:val="005F57EE"/>
    <w:rsid w:val="005F7DC5"/>
    <w:rsid w:val="00600436"/>
    <w:rsid w:val="006042F8"/>
    <w:rsid w:val="006044EE"/>
    <w:rsid w:val="00606999"/>
    <w:rsid w:val="00611517"/>
    <w:rsid w:val="0061223A"/>
    <w:rsid w:val="00613EE4"/>
    <w:rsid w:val="006149FF"/>
    <w:rsid w:val="00615632"/>
    <w:rsid w:val="006225DE"/>
    <w:rsid w:val="00624EB2"/>
    <w:rsid w:val="00625378"/>
    <w:rsid w:val="00627E52"/>
    <w:rsid w:val="006305C4"/>
    <w:rsid w:val="00630D13"/>
    <w:rsid w:val="0063162A"/>
    <w:rsid w:val="00631CFB"/>
    <w:rsid w:val="00632D76"/>
    <w:rsid w:val="00633078"/>
    <w:rsid w:val="00636F3F"/>
    <w:rsid w:val="006407BE"/>
    <w:rsid w:val="00641A0B"/>
    <w:rsid w:val="00641A3A"/>
    <w:rsid w:val="006420F1"/>
    <w:rsid w:val="00652DDC"/>
    <w:rsid w:val="0065456E"/>
    <w:rsid w:val="00654A24"/>
    <w:rsid w:val="006559A2"/>
    <w:rsid w:val="00657798"/>
    <w:rsid w:val="00660904"/>
    <w:rsid w:val="00661A32"/>
    <w:rsid w:val="0066314F"/>
    <w:rsid w:val="00663361"/>
    <w:rsid w:val="00664CCA"/>
    <w:rsid w:val="006672A7"/>
    <w:rsid w:val="00671642"/>
    <w:rsid w:val="00674C42"/>
    <w:rsid w:val="0067695F"/>
    <w:rsid w:val="00682224"/>
    <w:rsid w:val="00684B22"/>
    <w:rsid w:val="006907F8"/>
    <w:rsid w:val="00690CDD"/>
    <w:rsid w:val="00690DE7"/>
    <w:rsid w:val="00691344"/>
    <w:rsid w:val="0069405D"/>
    <w:rsid w:val="006960F6"/>
    <w:rsid w:val="00697E44"/>
    <w:rsid w:val="006A10F9"/>
    <w:rsid w:val="006A1991"/>
    <w:rsid w:val="006A212B"/>
    <w:rsid w:val="006A3F51"/>
    <w:rsid w:val="006A6CBD"/>
    <w:rsid w:val="006A7F42"/>
    <w:rsid w:val="006B01C1"/>
    <w:rsid w:val="006B6E29"/>
    <w:rsid w:val="006C5966"/>
    <w:rsid w:val="006C7106"/>
    <w:rsid w:val="006D00CC"/>
    <w:rsid w:val="006D021E"/>
    <w:rsid w:val="006D1DC3"/>
    <w:rsid w:val="006D2407"/>
    <w:rsid w:val="006D33A8"/>
    <w:rsid w:val="006E564F"/>
    <w:rsid w:val="006E7ABA"/>
    <w:rsid w:val="006F016B"/>
    <w:rsid w:val="006F0CC2"/>
    <w:rsid w:val="006F4222"/>
    <w:rsid w:val="00701580"/>
    <w:rsid w:val="0070205E"/>
    <w:rsid w:val="00706D63"/>
    <w:rsid w:val="0071102F"/>
    <w:rsid w:val="007163A4"/>
    <w:rsid w:val="0071695B"/>
    <w:rsid w:val="00716FF6"/>
    <w:rsid w:val="00721159"/>
    <w:rsid w:val="007218E1"/>
    <w:rsid w:val="00723B8A"/>
    <w:rsid w:val="0073338F"/>
    <w:rsid w:val="0073427D"/>
    <w:rsid w:val="007344EF"/>
    <w:rsid w:val="00736D52"/>
    <w:rsid w:val="0073751B"/>
    <w:rsid w:val="00741261"/>
    <w:rsid w:val="00745CF0"/>
    <w:rsid w:val="0074776C"/>
    <w:rsid w:val="00750CAE"/>
    <w:rsid w:val="00755DB0"/>
    <w:rsid w:val="0076218E"/>
    <w:rsid w:val="00767A44"/>
    <w:rsid w:val="00767B30"/>
    <w:rsid w:val="007746DE"/>
    <w:rsid w:val="007779EE"/>
    <w:rsid w:val="00777C6A"/>
    <w:rsid w:val="00780233"/>
    <w:rsid w:val="00780768"/>
    <w:rsid w:val="00783E03"/>
    <w:rsid w:val="007855CC"/>
    <w:rsid w:val="00787499"/>
    <w:rsid w:val="007879D1"/>
    <w:rsid w:val="00790132"/>
    <w:rsid w:val="00791678"/>
    <w:rsid w:val="00792676"/>
    <w:rsid w:val="0079569C"/>
    <w:rsid w:val="007A1BA1"/>
    <w:rsid w:val="007A4047"/>
    <w:rsid w:val="007A44E6"/>
    <w:rsid w:val="007A519D"/>
    <w:rsid w:val="007B022C"/>
    <w:rsid w:val="007B6C5F"/>
    <w:rsid w:val="007C0CE6"/>
    <w:rsid w:val="007C36FD"/>
    <w:rsid w:val="007C37E2"/>
    <w:rsid w:val="007C3B20"/>
    <w:rsid w:val="007C3D51"/>
    <w:rsid w:val="007C4DDE"/>
    <w:rsid w:val="007C7A84"/>
    <w:rsid w:val="007C7AC5"/>
    <w:rsid w:val="007D09A4"/>
    <w:rsid w:val="007D10BE"/>
    <w:rsid w:val="007D12B7"/>
    <w:rsid w:val="007D2144"/>
    <w:rsid w:val="007D214F"/>
    <w:rsid w:val="007D3962"/>
    <w:rsid w:val="007D48FD"/>
    <w:rsid w:val="007D55BD"/>
    <w:rsid w:val="007D65B7"/>
    <w:rsid w:val="007E182E"/>
    <w:rsid w:val="007E193D"/>
    <w:rsid w:val="007E1C93"/>
    <w:rsid w:val="007E2E01"/>
    <w:rsid w:val="007E429D"/>
    <w:rsid w:val="007E6F68"/>
    <w:rsid w:val="007F04AE"/>
    <w:rsid w:val="007F170F"/>
    <w:rsid w:val="007F581E"/>
    <w:rsid w:val="00803DBA"/>
    <w:rsid w:val="008044E1"/>
    <w:rsid w:val="00804BCB"/>
    <w:rsid w:val="00805123"/>
    <w:rsid w:val="008074E2"/>
    <w:rsid w:val="00811F02"/>
    <w:rsid w:val="008122E7"/>
    <w:rsid w:val="00817376"/>
    <w:rsid w:val="0082292A"/>
    <w:rsid w:val="008243C5"/>
    <w:rsid w:val="00825694"/>
    <w:rsid w:val="008257BE"/>
    <w:rsid w:val="00825D34"/>
    <w:rsid w:val="00826BD2"/>
    <w:rsid w:val="00842583"/>
    <w:rsid w:val="00843E02"/>
    <w:rsid w:val="00845E30"/>
    <w:rsid w:val="00850FB8"/>
    <w:rsid w:val="0085127E"/>
    <w:rsid w:val="0085335E"/>
    <w:rsid w:val="00857A4C"/>
    <w:rsid w:val="00860171"/>
    <w:rsid w:val="00861C52"/>
    <w:rsid w:val="0086232D"/>
    <w:rsid w:val="00867D97"/>
    <w:rsid w:val="00870590"/>
    <w:rsid w:val="00871084"/>
    <w:rsid w:val="00872AC9"/>
    <w:rsid w:val="0087508B"/>
    <w:rsid w:val="00875A44"/>
    <w:rsid w:val="00877942"/>
    <w:rsid w:val="0088066E"/>
    <w:rsid w:val="00883402"/>
    <w:rsid w:val="00886A29"/>
    <w:rsid w:val="00895BE3"/>
    <w:rsid w:val="00895C54"/>
    <w:rsid w:val="008A0428"/>
    <w:rsid w:val="008A71A8"/>
    <w:rsid w:val="008B25E8"/>
    <w:rsid w:val="008B67E0"/>
    <w:rsid w:val="008B7852"/>
    <w:rsid w:val="008C0368"/>
    <w:rsid w:val="008C1A3C"/>
    <w:rsid w:val="008C1FC3"/>
    <w:rsid w:val="008C497E"/>
    <w:rsid w:val="008C62D3"/>
    <w:rsid w:val="008C6F87"/>
    <w:rsid w:val="008D29E0"/>
    <w:rsid w:val="008D2A32"/>
    <w:rsid w:val="008D2BAF"/>
    <w:rsid w:val="008D56EB"/>
    <w:rsid w:val="008D738B"/>
    <w:rsid w:val="008D7CBE"/>
    <w:rsid w:val="008E1DB7"/>
    <w:rsid w:val="008E7599"/>
    <w:rsid w:val="008E7A3F"/>
    <w:rsid w:val="008F007C"/>
    <w:rsid w:val="008F41CA"/>
    <w:rsid w:val="008F4CB8"/>
    <w:rsid w:val="008F5082"/>
    <w:rsid w:val="008F5D62"/>
    <w:rsid w:val="008F7D1C"/>
    <w:rsid w:val="00903BAF"/>
    <w:rsid w:val="00911F41"/>
    <w:rsid w:val="009127BD"/>
    <w:rsid w:val="00914382"/>
    <w:rsid w:val="00914BF1"/>
    <w:rsid w:val="009162A7"/>
    <w:rsid w:val="0091663F"/>
    <w:rsid w:val="009176B6"/>
    <w:rsid w:val="00924A99"/>
    <w:rsid w:val="00925C82"/>
    <w:rsid w:val="00925EDE"/>
    <w:rsid w:val="00931046"/>
    <w:rsid w:val="0093201F"/>
    <w:rsid w:val="00934951"/>
    <w:rsid w:val="00934FEF"/>
    <w:rsid w:val="009351F5"/>
    <w:rsid w:val="0094190B"/>
    <w:rsid w:val="00941D44"/>
    <w:rsid w:val="009426CB"/>
    <w:rsid w:val="0094376A"/>
    <w:rsid w:val="00944951"/>
    <w:rsid w:val="00947A43"/>
    <w:rsid w:val="0095139C"/>
    <w:rsid w:val="0095390D"/>
    <w:rsid w:val="0095452E"/>
    <w:rsid w:val="00960142"/>
    <w:rsid w:val="00964EC8"/>
    <w:rsid w:val="00965951"/>
    <w:rsid w:val="0097060D"/>
    <w:rsid w:val="00971B05"/>
    <w:rsid w:val="009721B4"/>
    <w:rsid w:val="00976F7C"/>
    <w:rsid w:val="0097766E"/>
    <w:rsid w:val="00980953"/>
    <w:rsid w:val="00980AB9"/>
    <w:rsid w:val="00980F2D"/>
    <w:rsid w:val="00982679"/>
    <w:rsid w:val="009861BD"/>
    <w:rsid w:val="009A0B70"/>
    <w:rsid w:val="009A5E07"/>
    <w:rsid w:val="009B198F"/>
    <w:rsid w:val="009B222D"/>
    <w:rsid w:val="009B3C11"/>
    <w:rsid w:val="009B4E29"/>
    <w:rsid w:val="009C0A95"/>
    <w:rsid w:val="009C0D43"/>
    <w:rsid w:val="009C44A2"/>
    <w:rsid w:val="009C5AE3"/>
    <w:rsid w:val="009D000A"/>
    <w:rsid w:val="009D1C88"/>
    <w:rsid w:val="009D5687"/>
    <w:rsid w:val="009D6A9A"/>
    <w:rsid w:val="009D76A9"/>
    <w:rsid w:val="009E2170"/>
    <w:rsid w:val="009E2C2B"/>
    <w:rsid w:val="009E32C2"/>
    <w:rsid w:val="009E53D3"/>
    <w:rsid w:val="009E5B60"/>
    <w:rsid w:val="009E63B0"/>
    <w:rsid w:val="009E67FB"/>
    <w:rsid w:val="009F1CC7"/>
    <w:rsid w:val="009F20F7"/>
    <w:rsid w:val="009F2780"/>
    <w:rsid w:val="009F4EC0"/>
    <w:rsid w:val="00A00F67"/>
    <w:rsid w:val="00A016F5"/>
    <w:rsid w:val="00A0269A"/>
    <w:rsid w:val="00A04E77"/>
    <w:rsid w:val="00A05AD8"/>
    <w:rsid w:val="00A1219A"/>
    <w:rsid w:val="00A14601"/>
    <w:rsid w:val="00A2066E"/>
    <w:rsid w:val="00A20904"/>
    <w:rsid w:val="00A22856"/>
    <w:rsid w:val="00A232ED"/>
    <w:rsid w:val="00A23678"/>
    <w:rsid w:val="00A251E2"/>
    <w:rsid w:val="00A30D80"/>
    <w:rsid w:val="00A35308"/>
    <w:rsid w:val="00A4738C"/>
    <w:rsid w:val="00A5199E"/>
    <w:rsid w:val="00A52096"/>
    <w:rsid w:val="00A63212"/>
    <w:rsid w:val="00A658E3"/>
    <w:rsid w:val="00A65EA3"/>
    <w:rsid w:val="00A6622D"/>
    <w:rsid w:val="00A707AA"/>
    <w:rsid w:val="00A741C5"/>
    <w:rsid w:val="00A743E1"/>
    <w:rsid w:val="00A74F52"/>
    <w:rsid w:val="00A756A6"/>
    <w:rsid w:val="00A80098"/>
    <w:rsid w:val="00A82514"/>
    <w:rsid w:val="00A82A0B"/>
    <w:rsid w:val="00A86B57"/>
    <w:rsid w:val="00A875C5"/>
    <w:rsid w:val="00A9077D"/>
    <w:rsid w:val="00A973FD"/>
    <w:rsid w:val="00AA23E3"/>
    <w:rsid w:val="00AA2826"/>
    <w:rsid w:val="00AA5BA5"/>
    <w:rsid w:val="00AB3C09"/>
    <w:rsid w:val="00AB4E27"/>
    <w:rsid w:val="00AC11FB"/>
    <w:rsid w:val="00AC3179"/>
    <w:rsid w:val="00AC3D19"/>
    <w:rsid w:val="00AC402A"/>
    <w:rsid w:val="00AC4935"/>
    <w:rsid w:val="00AC4B77"/>
    <w:rsid w:val="00AC635B"/>
    <w:rsid w:val="00AC7FA9"/>
    <w:rsid w:val="00AD00AD"/>
    <w:rsid w:val="00AD0565"/>
    <w:rsid w:val="00AD0FA2"/>
    <w:rsid w:val="00AD2176"/>
    <w:rsid w:val="00AD4A19"/>
    <w:rsid w:val="00AD76F9"/>
    <w:rsid w:val="00AE2D74"/>
    <w:rsid w:val="00AE5402"/>
    <w:rsid w:val="00AF2C99"/>
    <w:rsid w:val="00AF4D4D"/>
    <w:rsid w:val="00AF6519"/>
    <w:rsid w:val="00B0009E"/>
    <w:rsid w:val="00B034E9"/>
    <w:rsid w:val="00B03D9E"/>
    <w:rsid w:val="00B0495C"/>
    <w:rsid w:val="00B07BD8"/>
    <w:rsid w:val="00B107B7"/>
    <w:rsid w:val="00B11B29"/>
    <w:rsid w:val="00B12DA9"/>
    <w:rsid w:val="00B14989"/>
    <w:rsid w:val="00B14EB0"/>
    <w:rsid w:val="00B15A7D"/>
    <w:rsid w:val="00B15B48"/>
    <w:rsid w:val="00B22334"/>
    <w:rsid w:val="00B22335"/>
    <w:rsid w:val="00B22B23"/>
    <w:rsid w:val="00B233E8"/>
    <w:rsid w:val="00B23C1D"/>
    <w:rsid w:val="00B33C78"/>
    <w:rsid w:val="00B350F0"/>
    <w:rsid w:val="00B40703"/>
    <w:rsid w:val="00B43F4F"/>
    <w:rsid w:val="00B51135"/>
    <w:rsid w:val="00B548AC"/>
    <w:rsid w:val="00B63453"/>
    <w:rsid w:val="00B64B4F"/>
    <w:rsid w:val="00B65924"/>
    <w:rsid w:val="00B7198C"/>
    <w:rsid w:val="00B764FB"/>
    <w:rsid w:val="00B81613"/>
    <w:rsid w:val="00B83B67"/>
    <w:rsid w:val="00B91637"/>
    <w:rsid w:val="00B958B0"/>
    <w:rsid w:val="00B96ED5"/>
    <w:rsid w:val="00BA0689"/>
    <w:rsid w:val="00BA2C6B"/>
    <w:rsid w:val="00BA4771"/>
    <w:rsid w:val="00BA6003"/>
    <w:rsid w:val="00BA6CF3"/>
    <w:rsid w:val="00BA7480"/>
    <w:rsid w:val="00BB1B89"/>
    <w:rsid w:val="00BB20C9"/>
    <w:rsid w:val="00BB2969"/>
    <w:rsid w:val="00BB2B0D"/>
    <w:rsid w:val="00BB353B"/>
    <w:rsid w:val="00BB52C8"/>
    <w:rsid w:val="00BC2E5B"/>
    <w:rsid w:val="00BC465B"/>
    <w:rsid w:val="00BC5C8D"/>
    <w:rsid w:val="00BC746F"/>
    <w:rsid w:val="00BC7C12"/>
    <w:rsid w:val="00BE1246"/>
    <w:rsid w:val="00BE25E4"/>
    <w:rsid w:val="00BE370C"/>
    <w:rsid w:val="00BE4DED"/>
    <w:rsid w:val="00BE641A"/>
    <w:rsid w:val="00BE64F3"/>
    <w:rsid w:val="00BE67B8"/>
    <w:rsid w:val="00BE7B78"/>
    <w:rsid w:val="00BF17F1"/>
    <w:rsid w:val="00BF4784"/>
    <w:rsid w:val="00BF5254"/>
    <w:rsid w:val="00C01527"/>
    <w:rsid w:val="00C027BA"/>
    <w:rsid w:val="00C02AF7"/>
    <w:rsid w:val="00C04205"/>
    <w:rsid w:val="00C12168"/>
    <w:rsid w:val="00C123AF"/>
    <w:rsid w:val="00C126A7"/>
    <w:rsid w:val="00C1587C"/>
    <w:rsid w:val="00C16BFD"/>
    <w:rsid w:val="00C172C6"/>
    <w:rsid w:val="00C214D2"/>
    <w:rsid w:val="00C24932"/>
    <w:rsid w:val="00C25AD3"/>
    <w:rsid w:val="00C32722"/>
    <w:rsid w:val="00C34430"/>
    <w:rsid w:val="00C350BA"/>
    <w:rsid w:val="00C356A9"/>
    <w:rsid w:val="00C35C3B"/>
    <w:rsid w:val="00C37A9A"/>
    <w:rsid w:val="00C37CC3"/>
    <w:rsid w:val="00C44690"/>
    <w:rsid w:val="00C44C94"/>
    <w:rsid w:val="00C450A3"/>
    <w:rsid w:val="00C46963"/>
    <w:rsid w:val="00C46CB8"/>
    <w:rsid w:val="00C50A64"/>
    <w:rsid w:val="00C53AEF"/>
    <w:rsid w:val="00C54B92"/>
    <w:rsid w:val="00C61D11"/>
    <w:rsid w:val="00C624B5"/>
    <w:rsid w:val="00C62F20"/>
    <w:rsid w:val="00C64AD9"/>
    <w:rsid w:val="00C70BC9"/>
    <w:rsid w:val="00C740E3"/>
    <w:rsid w:val="00C74CC2"/>
    <w:rsid w:val="00C812BC"/>
    <w:rsid w:val="00C820C8"/>
    <w:rsid w:val="00C8325D"/>
    <w:rsid w:val="00C86F7C"/>
    <w:rsid w:val="00C90046"/>
    <w:rsid w:val="00C908A8"/>
    <w:rsid w:val="00C91A8A"/>
    <w:rsid w:val="00C93259"/>
    <w:rsid w:val="00C93AE9"/>
    <w:rsid w:val="00C94462"/>
    <w:rsid w:val="00C94FA4"/>
    <w:rsid w:val="00C97B13"/>
    <w:rsid w:val="00CA0DBE"/>
    <w:rsid w:val="00CA481A"/>
    <w:rsid w:val="00CA6473"/>
    <w:rsid w:val="00CA6F78"/>
    <w:rsid w:val="00CB04F5"/>
    <w:rsid w:val="00CB154F"/>
    <w:rsid w:val="00CB388A"/>
    <w:rsid w:val="00CB6656"/>
    <w:rsid w:val="00CC149B"/>
    <w:rsid w:val="00CC1E31"/>
    <w:rsid w:val="00CC3E39"/>
    <w:rsid w:val="00CC424A"/>
    <w:rsid w:val="00CC46A7"/>
    <w:rsid w:val="00CC478B"/>
    <w:rsid w:val="00CC5389"/>
    <w:rsid w:val="00CC5531"/>
    <w:rsid w:val="00CC5D87"/>
    <w:rsid w:val="00CC7543"/>
    <w:rsid w:val="00CC78F2"/>
    <w:rsid w:val="00CD02B6"/>
    <w:rsid w:val="00CD1D64"/>
    <w:rsid w:val="00CD1F0A"/>
    <w:rsid w:val="00CD2CE2"/>
    <w:rsid w:val="00CD3BE3"/>
    <w:rsid w:val="00CE003F"/>
    <w:rsid w:val="00CE67F4"/>
    <w:rsid w:val="00CF575B"/>
    <w:rsid w:val="00D05370"/>
    <w:rsid w:val="00D0583E"/>
    <w:rsid w:val="00D0679D"/>
    <w:rsid w:val="00D06F93"/>
    <w:rsid w:val="00D13A0B"/>
    <w:rsid w:val="00D16788"/>
    <w:rsid w:val="00D16AAE"/>
    <w:rsid w:val="00D221B6"/>
    <w:rsid w:val="00D22343"/>
    <w:rsid w:val="00D22A20"/>
    <w:rsid w:val="00D2392A"/>
    <w:rsid w:val="00D3030C"/>
    <w:rsid w:val="00D3440A"/>
    <w:rsid w:val="00D36B2F"/>
    <w:rsid w:val="00D37859"/>
    <w:rsid w:val="00D41496"/>
    <w:rsid w:val="00D4316A"/>
    <w:rsid w:val="00D4581D"/>
    <w:rsid w:val="00D571F6"/>
    <w:rsid w:val="00D64A4B"/>
    <w:rsid w:val="00D64FC7"/>
    <w:rsid w:val="00D663D3"/>
    <w:rsid w:val="00D721F3"/>
    <w:rsid w:val="00D739A6"/>
    <w:rsid w:val="00D74BC0"/>
    <w:rsid w:val="00D767E1"/>
    <w:rsid w:val="00D9057B"/>
    <w:rsid w:val="00D91DC9"/>
    <w:rsid w:val="00D93BB9"/>
    <w:rsid w:val="00D93E4A"/>
    <w:rsid w:val="00D96CDE"/>
    <w:rsid w:val="00DA0B81"/>
    <w:rsid w:val="00DA3C7D"/>
    <w:rsid w:val="00DA623F"/>
    <w:rsid w:val="00DA7C66"/>
    <w:rsid w:val="00DB12A1"/>
    <w:rsid w:val="00DB12E8"/>
    <w:rsid w:val="00DB2454"/>
    <w:rsid w:val="00DB2595"/>
    <w:rsid w:val="00DB37D9"/>
    <w:rsid w:val="00DB6988"/>
    <w:rsid w:val="00DC161C"/>
    <w:rsid w:val="00DC2498"/>
    <w:rsid w:val="00DC3614"/>
    <w:rsid w:val="00DC6F1B"/>
    <w:rsid w:val="00DD2152"/>
    <w:rsid w:val="00DD25ED"/>
    <w:rsid w:val="00DD28C5"/>
    <w:rsid w:val="00DD4516"/>
    <w:rsid w:val="00DD46C4"/>
    <w:rsid w:val="00DD517F"/>
    <w:rsid w:val="00DD7D9D"/>
    <w:rsid w:val="00DE033D"/>
    <w:rsid w:val="00DE113E"/>
    <w:rsid w:val="00DE3B59"/>
    <w:rsid w:val="00DF1B32"/>
    <w:rsid w:val="00DF25F3"/>
    <w:rsid w:val="00DF2831"/>
    <w:rsid w:val="00DF2FF1"/>
    <w:rsid w:val="00DF5B70"/>
    <w:rsid w:val="00DF5CCF"/>
    <w:rsid w:val="00E01647"/>
    <w:rsid w:val="00E036B7"/>
    <w:rsid w:val="00E05566"/>
    <w:rsid w:val="00E06E16"/>
    <w:rsid w:val="00E111A1"/>
    <w:rsid w:val="00E12CE0"/>
    <w:rsid w:val="00E14832"/>
    <w:rsid w:val="00E17E80"/>
    <w:rsid w:val="00E22160"/>
    <w:rsid w:val="00E22B11"/>
    <w:rsid w:val="00E249CE"/>
    <w:rsid w:val="00E26520"/>
    <w:rsid w:val="00E31444"/>
    <w:rsid w:val="00E31814"/>
    <w:rsid w:val="00E35403"/>
    <w:rsid w:val="00E3627C"/>
    <w:rsid w:val="00E368F1"/>
    <w:rsid w:val="00E36CA0"/>
    <w:rsid w:val="00E424C3"/>
    <w:rsid w:val="00E45EC6"/>
    <w:rsid w:val="00E4625D"/>
    <w:rsid w:val="00E46266"/>
    <w:rsid w:val="00E46A00"/>
    <w:rsid w:val="00E503BF"/>
    <w:rsid w:val="00E526AA"/>
    <w:rsid w:val="00E5398E"/>
    <w:rsid w:val="00E56AF4"/>
    <w:rsid w:val="00E6057B"/>
    <w:rsid w:val="00E64C84"/>
    <w:rsid w:val="00E66AE8"/>
    <w:rsid w:val="00E66FAE"/>
    <w:rsid w:val="00E67DD8"/>
    <w:rsid w:val="00E723E2"/>
    <w:rsid w:val="00E76EC2"/>
    <w:rsid w:val="00E77364"/>
    <w:rsid w:val="00E77C8B"/>
    <w:rsid w:val="00E82F3B"/>
    <w:rsid w:val="00E8315B"/>
    <w:rsid w:val="00E861C3"/>
    <w:rsid w:val="00E86DE3"/>
    <w:rsid w:val="00E8705F"/>
    <w:rsid w:val="00E9012A"/>
    <w:rsid w:val="00E90648"/>
    <w:rsid w:val="00E94B52"/>
    <w:rsid w:val="00E94E9D"/>
    <w:rsid w:val="00EA0B7B"/>
    <w:rsid w:val="00EA1613"/>
    <w:rsid w:val="00EA1C06"/>
    <w:rsid w:val="00EA36B6"/>
    <w:rsid w:val="00EA5D06"/>
    <w:rsid w:val="00EA6D6F"/>
    <w:rsid w:val="00EA7F3F"/>
    <w:rsid w:val="00EB1E10"/>
    <w:rsid w:val="00EB357A"/>
    <w:rsid w:val="00EB4F49"/>
    <w:rsid w:val="00EB6F68"/>
    <w:rsid w:val="00EC7110"/>
    <w:rsid w:val="00EC7E35"/>
    <w:rsid w:val="00ED16C3"/>
    <w:rsid w:val="00ED572F"/>
    <w:rsid w:val="00ED61D1"/>
    <w:rsid w:val="00ED7278"/>
    <w:rsid w:val="00ED753C"/>
    <w:rsid w:val="00EE1686"/>
    <w:rsid w:val="00EE2C32"/>
    <w:rsid w:val="00EE2F15"/>
    <w:rsid w:val="00EE641F"/>
    <w:rsid w:val="00EE7AB9"/>
    <w:rsid w:val="00EF1809"/>
    <w:rsid w:val="00EF1CD6"/>
    <w:rsid w:val="00EF4B42"/>
    <w:rsid w:val="00EF68C3"/>
    <w:rsid w:val="00F041C6"/>
    <w:rsid w:val="00F04D51"/>
    <w:rsid w:val="00F073FB"/>
    <w:rsid w:val="00F07B28"/>
    <w:rsid w:val="00F10888"/>
    <w:rsid w:val="00F1133E"/>
    <w:rsid w:val="00F115AA"/>
    <w:rsid w:val="00F147B8"/>
    <w:rsid w:val="00F1658E"/>
    <w:rsid w:val="00F16830"/>
    <w:rsid w:val="00F1739A"/>
    <w:rsid w:val="00F219CE"/>
    <w:rsid w:val="00F22EC3"/>
    <w:rsid w:val="00F2533F"/>
    <w:rsid w:val="00F27D4B"/>
    <w:rsid w:val="00F33050"/>
    <w:rsid w:val="00F33CD5"/>
    <w:rsid w:val="00F35520"/>
    <w:rsid w:val="00F35F12"/>
    <w:rsid w:val="00F36DAD"/>
    <w:rsid w:val="00F3793A"/>
    <w:rsid w:val="00F40BD7"/>
    <w:rsid w:val="00F41748"/>
    <w:rsid w:val="00F45630"/>
    <w:rsid w:val="00F46EC6"/>
    <w:rsid w:val="00F50662"/>
    <w:rsid w:val="00F507A6"/>
    <w:rsid w:val="00F535A8"/>
    <w:rsid w:val="00F54E40"/>
    <w:rsid w:val="00F561AB"/>
    <w:rsid w:val="00F572A8"/>
    <w:rsid w:val="00F609C4"/>
    <w:rsid w:val="00F63B73"/>
    <w:rsid w:val="00F6482E"/>
    <w:rsid w:val="00F65E4A"/>
    <w:rsid w:val="00F676AF"/>
    <w:rsid w:val="00F67B9C"/>
    <w:rsid w:val="00F70F40"/>
    <w:rsid w:val="00F717FC"/>
    <w:rsid w:val="00F74E92"/>
    <w:rsid w:val="00F806F2"/>
    <w:rsid w:val="00F833D3"/>
    <w:rsid w:val="00F85B04"/>
    <w:rsid w:val="00F904AA"/>
    <w:rsid w:val="00F90AD0"/>
    <w:rsid w:val="00F925C2"/>
    <w:rsid w:val="00F94DF4"/>
    <w:rsid w:val="00F94E6E"/>
    <w:rsid w:val="00F95E94"/>
    <w:rsid w:val="00F95FC0"/>
    <w:rsid w:val="00FA3CE5"/>
    <w:rsid w:val="00FA452A"/>
    <w:rsid w:val="00FA66F0"/>
    <w:rsid w:val="00FB3B98"/>
    <w:rsid w:val="00FB7C87"/>
    <w:rsid w:val="00FC0701"/>
    <w:rsid w:val="00FC1C22"/>
    <w:rsid w:val="00FC2B0B"/>
    <w:rsid w:val="00FC4B96"/>
    <w:rsid w:val="00FC5793"/>
    <w:rsid w:val="00FC583D"/>
    <w:rsid w:val="00FC667E"/>
    <w:rsid w:val="00FC7682"/>
    <w:rsid w:val="00FD017C"/>
    <w:rsid w:val="00FD03B8"/>
    <w:rsid w:val="00FD0806"/>
    <w:rsid w:val="00FD50B2"/>
    <w:rsid w:val="00FD7920"/>
    <w:rsid w:val="00FE0849"/>
    <w:rsid w:val="00FE3F0F"/>
    <w:rsid w:val="00FE42B1"/>
    <w:rsid w:val="00FE4BD4"/>
    <w:rsid w:val="00FE5C88"/>
    <w:rsid w:val="00FE6135"/>
    <w:rsid w:val="00FF2E19"/>
    <w:rsid w:val="00FF4068"/>
    <w:rsid w:val="00FF5B8E"/>
    <w:rsid w:val="23D6F9EE"/>
    <w:rsid w:val="3AD3526D"/>
    <w:rsid w:val="3BD05B41"/>
    <w:rsid w:val="41BA8AC6"/>
    <w:rsid w:val="49101B16"/>
    <w:rsid w:val="6857B07A"/>
    <w:rsid w:val="7C55DE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2D355"/>
  <w15:chartTrackingRefBased/>
  <w15:docId w15:val="{E39A7DBC-9D2F-4FEF-8E2B-D7E7BCB1F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7AB9"/>
    <w:rPr>
      <w:kern w:val="0"/>
    </w:rPr>
  </w:style>
  <w:style w:type="paragraph" w:styleId="Heading1">
    <w:name w:val="heading 1"/>
    <w:basedOn w:val="Normal"/>
    <w:next w:val="Normal"/>
    <w:link w:val="Heading1Char"/>
    <w:uiPriority w:val="9"/>
    <w:qFormat/>
    <w:rsid w:val="00EE7AB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EE7AB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E7AB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EE7AB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EE7AB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E7AB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E7AB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E7AB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E7AB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7AB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EE7AB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E7AB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EE7AB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sid w:val="00EE7AB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E7AB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E7AB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E7AB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E7AB9"/>
    <w:rPr>
      <w:rFonts w:eastAsiaTheme="majorEastAsia" w:cstheme="majorBidi"/>
      <w:color w:val="272727" w:themeColor="text1" w:themeTint="D8"/>
    </w:rPr>
  </w:style>
  <w:style w:type="paragraph" w:styleId="Title">
    <w:name w:val="Title"/>
    <w:basedOn w:val="Normal"/>
    <w:next w:val="Normal"/>
    <w:link w:val="TitleChar"/>
    <w:uiPriority w:val="10"/>
    <w:qFormat/>
    <w:rsid w:val="00EE7AB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E7AB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E7AB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E7AB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E7AB9"/>
    <w:pPr>
      <w:spacing w:before="160"/>
      <w:jc w:val="center"/>
    </w:pPr>
    <w:rPr>
      <w:i/>
      <w:iCs/>
      <w:color w:val="404040" w:themeColor="text1" w:themeTint="BF"/>
    </w:rPr>
  </w:style>
  <w:style w:type="character" w:customStyle="1" w:styleId="QuoteChar">
    <w:name w:val="Quote Char"/>
    <w:basedOn w:val="DefaultParagraphFont"/>
    <w:link w:val="Quote"/>
    <w:uiPriority w:val="29"/>
    <w:rsid w:val="00EE7AB9"/>
    <w:rPr>
      <w:i/>
      <w:iCs/>
      <w:color w:val="404040" w:themeColor="text1" w:themeTint="BF"/>
    </w:rPr>
  </w:style>
  <w:style w:type="paragraph" w:styleId="ListParagraph">
    <w:name w:val="List Paragraph"/>
    <w:basedOn w:val="Normal"/>
    <w:uiPriority w:val="34"/>
    <w:qFormat/>
    <w:rsid w:val="00EE7AB9"/>
    <w:pPr>
      <w:ind w:left="720"/>
      <w:contextualSpacing/>
    </w:pPr>
  </w:style>
  <w:style w:type="character" w:styleId="IntenseEmphasis">
    <w:name w:val="Intense Emphasis"/>
    <w:basedOn w:val="DefaultParagraphFont"/>
    <w:uiPriority w:val="21"/>
    <w:qFormat/>
    <w:rsid w:val="00EE7AB9"/>
    <w:rPr>
      <w:i/>
      <w:iCs/>
      <w:color w:val="0F4761" w:themeColor="accent1" w:themeShade="BF"/>
    </w:rPr>
  </w:style>
  <w:style w:type="paragraph" w:styleId="IntenseQuote">
    <w:name w:val="Intense Quote"/>
    <w:basedOn w:val="Normal"/>
    <w:next w:val="Normal"/>
    <w:link w:val="IntenseQuoteChar"/>
    <w:uiPriority w:val="30"/>
    <w:qFormat/>
    <w:rsid w:val="00EE7AB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E7AB9"/>
    <w:rPr>
      <w:i/>
      <w:iCs/>
      <w:color w:val="0F4761" w:themeColor="accent1" w:themeShade="BF"/>
    </w:rPr>
  </w:style>
  <w:style w:type="character" w:styleId="IntenseReference">
    <w:name w:val="Intense Reference"/>
    <w:basedOn w:val="DefaultParagraphFont"/>
    <w:uiPriority w:val="32"/>
    <w:qFormat/>
    <w:rsid w:val="00EE7AB9"/>
    <w:rPr>
      <w:b/>
      <w:bCs/>
      <w:smallCaps/>
      <w:color w:val="0F4761" w:themeColor="accent1" w:themeShade="BF"/>
      <w:spacing w:val="5"/>
    </w:rPr>
  </w:style>
  <w:style w:type="character" w:styleId="Hyperlink">
    <w:name w:val="Hyperlink"/>
    <w:basedOn w:val="DefaultParagraphFont"/>
    <w:uiPriority w:val="99"/>
    <w:unhideWhenUsed/>
    <w:rsid w:val="00EE7AB9"/>
    <w:rPr>
      <w:color w:val="467886" w:themeColor="hyperlink"/>
      <w:u w:val="single"/>
    </w:rPr>
  </w:style>
  <w:style w:type="paragraph" w:styleId="FootnoteText">
    <w:name w:val="footnote text"/>
    <w:basedOn w:val="Normal"/>
    <w:link w:val="FootnoteTextChar"/>
    <w:uiPriority w:val="99"/>
    <w:unhideWhenUsed/>
    <w:rsid w:val="00EE7AB9"/>
    <w:pPr>
      <w:spacing w:after="0" w:line="240" w:lineRule="auto"/>
    </w:pPr>
    <w:rPr>
      <w:sz w:val="20"/>
      <w:szCs w:val="20"/>
    </w:rPr>
  </w:style>
  <w:style w:type="character" w:customStyle="1" w:styleId="FootnoteTextChar">
    <w:name w:val="Footnote Text Char"/>
    <w:basedOn w:val="DefaultParagraphFont"/>
    <w:link w:val="FootnoteText"/>
    <w:uiPriority w:val="99"/>
    <w:rsid w:val="00EE7AB9"/>
    <w:rPr>
      <w:kern w:val="0"/>
      <w:sz w:val="20"/>
      <w:szCs w:val="20"/>
    </w:rPr>
  </w:style>
  <w:style w:type="character" w:styleId="FootnoteReference">
    <w:name w:val="footnote reference"/>
    <w:basedOn w:val="DefaultParagraphFont"/>
    <w:uiPriority w:val="99"/>
    <w:semiHidden/>
    <w:unhideWhenUsed/>
    <w:rsid w:val="00EE7AB9"/>
    <w:rPr>
      <w:vertAlign w:val="superscript"/>
    </w:rPr>
  </w:style>
  <w:style w:type="paragraph" w:styleId="Header">
    <w:name w:val="header"/>
    <w:basedOn w:val="Normal"/>
    <w:link w:val="HeaderChar"/>
    <w:uiPriority w:val="99"/>
    <w:unhideWhenUsed/>
    <w:rsid w:val="00EE7A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7AB9"/>
    <w:rPr>
      <w:kern w:val="0"/>
    </w:rPr>
  </w:style>
  <w:style w:type="paragraph" w:styleId="Footer">
    <w:name w:val="footer"/>
    <w:basedOn w:val="Normal"/>
    <w:link w:val="FooterChar"/>
    <w:uiPriority w:val="99"/>
    <w:unhideWhenUsed/>
    <w:rsid w:val="00EE7A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7AB9"/>
    <w:rPr>
      <w:kern w:val="0"/>
    </w:rPr>
  </w:style>
  <w:style w:type="character" w:styleId="CommentReference">
    <w:name w:val="annotation reference"/>
    <w:basedOn w:val="DefaultParagraphFont"/>
    <w:uiPriority w:val="99"/>
    <w:semiHidden/>
    <w:unhideWhenUsed/>
    <w:rsid w:val="00EE7AB9"/>
    <w:rPr>
      <w:sz w:val="16"/>
      <w:szCs w:val="16"/>
    </w:rPr>
  </w:style>
  <w:style w:type="paragraph" w:styleId="CommentText">
    <w:name w:val="annotation text"/>
    <w:basedOn w:val="Normal"/>
    <w:link w:val="CommentTextChar"/>
    <w:uiPriority w:val="99"/>
    <w:unhideWhenUsed/>
    <w:rsid w:val="00EE7AB9"/>
    <w:pPr>
      <w:spacing w:line="240" w:lineRule="auto"/>
    </w:pPr>
    <w:rPr>
      <w:kern w:val="2"/>
      <w:sz w:val="20"/>
      <w:szCs w:val="20"/>
    </w:rPr>
  </w:style>
  <w:style w:type="character" w:customStyle="1" w:styleId="CommentTextChar">
    <w:name w:val="Comment Text Char"/>
    <w:basedOn w:val="DefaultParagraphFont"/>
    <w:link w:val="CommentText"/>
    <w:uiPriority w:val="99"/>
    <w:rsid w:val="00EE7AB9"/>
    <w:rPr>
      <w:sz w:val="20"/>
      <w:szCs w:val="20"/>
    </w:rPr>
  </w:style>
  <w:style w:type="table" w:styleId="TableGrid">
    <w:name w:val="Table Grid"/>
    <w:basedOn w:val="TableNormal"/>
    <w:uiPriority w:val="39"/>
    <w:rsid w:val="00EE7A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s://www.masssave.com/en/residential/rebates-and-incentives" TargetMode="External"/><Relationship Id="rId2" Type="http://schemas.openxmlformats.org/officeDocument/2006/relationships/hyperlink" Target="https://eta-publications.lbl.gov/sites/default/files/final_walker_-_the_cost_of_decarbonization_and_energy.pdf" TargetMode="External"/><Relationship Id="rId1" Type="http://schemas.openxmlformats.org/officeDocument/2006/relationships/hyperlink" Target="https://www.energytrust.org/wp-content/uploads/2023/12/2024-Approved-Budget-and-2024-2025-Action-Plan.pdf" TargetMode="External"/><Relationship Id="rId4" Type="http://schemas.openxmlformats.org/officeDocument/2006/relationships/hyperlink" Target="https://www.energytrust.org/wp-content/uploads/2023/12/2024-Approved-Budget-and-2024-2025-Action-Pla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D853BFE48EABD4081361DC500A9F52C" ma:contentTypeVersion="15" ma:contentTypeDescription="Create a new document." ma:contentTypeScope="" ma:versionID="460d2f6354c61c6fc93b7a6ba8384e59">
  <xsd:schema xmlns:xsd="http://www.w3.org/2001/XMLSchema" xmlns:xs="http://www.w3.org/2001/XMLSchema" xmlns:p="http://schemas.microsoft.com/office/2006/metadata/properties" xmlns:ns2="694177d7-a906-4087-9aaa-d980db93bef2" xmlns:ns3="f944fdce-7699-4b96-93a9-3c845a93c6da" targetNamespace="http://schemas.microsoft.com/office/2006/metadata/properties" ma:root="true" ma:fieldsID="266ca1c5c857594573a4fa2486683113" ns2:_="" ns3:_="">
    <xsd:import namespace="694177d7-a906-4087-9aaa-d980db93bef2"/>
    <xsd:import namespace="f944fdce-7699-4b96-93a9-3c845a93c6d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4177d7-a906-4087-9aaa-d980db93be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69dce27-bb23-4021-9aa6-22edab9c8662"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944fdce-7699-4b96-93a9-3c845a93c6d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5649b18b-fa68-4b96-83aa-7fb3ab49cf46}" ma:internalName="TaxCatchAll" ma:showField="CatchAllData" ma:web="f944fdce-7699-4b96-93a9-3c845a93c6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94177d7-a906-4087-9aaa-d980db93bef2">
      <Terms xmlns="http://schemas.microsoft.com/office/infopath/2007/PartnerControls"/>
    </lcf76f155ced4ddcb4097134ff3c332f>
    <TaxCatchAll xmlns="f944fdce-7699-4b96-93a9-3c845a93c6da" xsi:nil="true"/>
  </documentManagement>
</p:properties>
</file>

<file path=customXml/itemProps1.xml><?xml version="1.0" encoding="utf-8"?>
<ds:datastoreItem xmlns:ds="http://schemas.openxmlformats.org/officeDocument/2006/customXml" ds:itemID="{ED83B2D1-6E03-4196-BBD0-D11EEA90767D}">
  <ds:schemaRefs>
    <ds:schemaRef ds:uri="http://schemas.microsoft.com/sharepoint/v3/contenttype/forms"/>
  </ds:schemaRefs>
</ds:datastoreItem>
</file>

<file path=customXml/itemProps2.xml><?xml version="1.0" encoding="utf-8"?>
<ds:datastoreItem xmlns:ds="http://schemas.openxmlformats.org/officeDocument/2006/customXml" ds:itemID="{C9EC161F-446C-4ADA-98D3-0CB21E239BC8}">
  <ds:schemaRefs>
    <ds:schemaRef ds:uri="http://schemas.openxmlformats.org/officeDocument/2006/bibliography"/>
  </ds:schemaRefs>
</ds:datastoreItem>
</file>

<file path=customXml/itemProps3.xml><?xml version="1.0" encoding="utf-8"?>
<ds:datastoreItem xmlns:ds="http://schemas.openxmlformats.org/officeDocument/2006/customXml" ds:itemID="{266615CE-8CB3-443A-B9D4-A0D2A3FDF2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4177d7-a906-4087-9aaa-d980db93bef2"/>
    <ds:schemaRef ds:uri="f944fdce-7699-4b96-93a9-3c845a93c6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254EB4-FCC1-4C6D-A6DF-3DA125C2EA8F}">
  <ds:schemaRefs>
    <ds:schemaRef ds:uri="http://schemas.microsoft.com/office/2006/metadata/properties"/>
    <ds:schemaRef ds:uri="http://schemas.microsoft.com/office/infopath/2007/PartnerControls"/>
    <ds:schemaRef ds:uri="694177d7-a906-4087-9aaa-d980db93bef2"/>
    <ds:schemaRef ds:uri="f944fdce-7699-4b96-93a9-3c845a93c6d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1345</Words>
  <Characters>9634</Characters>
  <Application>Microsoft Office Word</Application>
  <DocSecurity>0</DocSecurity>
  <Lines>196</Lines>
  <Paragraphs>124</Paragraphs>
  <ScaleCrop>false</ScaleCrop>
  <Company/>
  <LinksUpToDate>false</LinksUpToDate>
  <CharactersWithSpaces>10855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Lundgren</dc:creator>
  <cp:keywords/>
  <dc:description/>
  <cp:lastModifiedBy>Michele Paul</cp:lastModifiedBy>
  <cp:revision>3</cp:revision>
  <dcterms:created xsi:type="dcterms:W3CDTF">2024-03-29T08:32:00Z</dcterms:created>
  <dcterms:modified xsi:type="dcterms:W3CDTF">2024-04-01T12:22:00Z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0x010100BD853BFE48EABD4081361DC500A9F52C</vt:lpwstr>
  </property>
  <property fmtid="{D5CDD505-2E9C-101B-9397-08002B2CF9AE}" pid="3" name="MediaServiceImageTags">
    <vt:lpwstr/>
  </property>
</Properties>
</file>