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5DE9BF" w14:textId="77777777" w:rsidR="00AF74C9" w:rsidRPr="00664FF3" w:rsidRDefault="00AF74C9" w:rsidP="00DF2786">
      <w:pPr>
        <w:pStyle w:val="Heading1"/>
        <w:spacing w:before="80" w:after="0"/>
        <w:rPr>
          <w:rFonts w:ascii="Calibri" w:hAnsi="Calibri" w:cs="Calibri"/>
          <w:b/>
          <w:bCs/>
          <w:color w:val="auto"/>
          <w:sz w:val="28"/>
          <w:szCs w:val="28"/>
        </w:rPr>
      </w:pPr>
    </w:p>
    <w:p w14:paraId="29458AD9" w14:textId="77888185" w:rsidR="00BC37C4" w:rsidRPr="00664FF3" w:rsidRDefault="00001D51" w:rsidP="00DF2786">
      <w:pPr>
        <w:pStyle w:val="Heading1"/>
        <w:spacing w:before="80"/>
        <w:rPr>
          <w:rFonts w:ascii="Calibri" w:hAnsi="Calibri" w:cs="Calibri"/>
          <w:b/>
          <w:color w:val="auto"/>
          <w:sz w:val="28"/>
          <w:szCs w:val="28"/>
        </w:rPr>
      </w:pPr>
      <w:r w:rsidRPr="00664FF3">
        <w:rPr>
          <w:rFonts w:ascii="Calibri" w:hAnsi="Calibri" w:cs="Calibri"/>
          <w:b/>
          <w:bCs/>
          <w:color w:val="auto"/>
          <w:sz w:val="28"/>
          <w:szCs w:val="28"/>
        </w:rPr>
        <w:t>BUDGET NARRATIVE</w:t>
      </w:r>
    </w:p>
    <w:p w14:paraId="0979B356" w14:textId="54901127" w:rsidR="00BF68C0" w:rsidRPr="00664FF3" w:rsidRDefault="00BC37C4" w:rsidP="00DF2786">
      <w:pPr>
        <w:pStyle w:val="Heading1"/>
        <w:spacing w:before="80" w:after="0"/>
        <w:rPr>
          <w:rFonts w:ascii="Calibri" w:eastAsia="Calibri" w:hAnsi="Calibri" w:cs="Calibri"/>
          <w:color w:val="auto"/>
          <w:sz w:val="28"/>
          <w:szCs w:val="28"/>
        </w:rPr>
      </w:pPr>
      <w:r w:rsidRPr="00664FF3">
        <w:rPr>
          <w:rFonts w:ascii="Calibri" w:eastAsia="Calibri" w:hAnsi="Calibri" w:cs="Calibri"/>
          <w:color w:val="auto"/>
          <w:sz w:val="28"/>
          <w:szCs w:val="28"/>
        </w:rPr>
        <w:t xml:space="preserve">EXPENDITURE OF AWARDED FUNDS </w:t>
      </w:r>
      <w:r w:rsidR="00BF68C0" w:rsidRPr="00664FF3">
        <w:rPr>
          <w:rFonts w:ascii="Calibri" w:eastAsia="Calibri" w:hAnsi="Calibri" w:cs="Calibri"/>
          <w:color w:val="auto"/>
          <w:sz w:val="28"/>
          <w:szCs w:val="28"/>
        </w:rPr>
        <w:t xml:space="preserve"> </w:t>
      </w:r>
    </w:p>
    <w:p w14:paraId="1182B0C0" w14:textId="35EEED65" w:rsidR="004D4E33" w:rsidRPr="00664FF3" w:rsidRDefault="008B1CB2" w:rsidP="00DF2786">
      <w:pPr>
        <w:spacing w:before="0"/>
        <w:rPr>
          <w:rFonts w:ascii="Calibri" w:hAnsi="Calibri" w:cs="Calibri"/>
          <w:highlight w:val="yellow"/>
        </w:rPr>
      </w:pPr>
      <w:r w:rsidRPr="00664FF3">
        <w:rPr>
          <w:rFonts w:ascii="Calibri" w:hAnsi="Calibri" w:cs="Calibri"/>
        </w:rPr>
        <w:t xml:space="preserve">This section provides the budget for the </w:t>
      </w:r>
      <w:r w:rsidR="00EB01DF" w:rsidRPr="00664FF3">
        <w:rPr>
          <w:rFonts w:ascii="Calibri" w:hAnsi="Calibri" w:cs="Calibri"/>
          <w:i/>
          <w:iCs/>
        </w:rPr>
        <w:t>FREIGHT 2030</w:t>
      </w:r>
      <w:r w:rsidRPr="00664FF3">
        <w:rPr>
          <w:rFonts w:ascii="Calibri" w:hAnsi="Calibri" w:cs="Calibri"/>
        </w:rPr>
        <w:t xml:space="preserve"> project and assumptions for the development of the budget. </w:t>
      </w:r>
      <w:r w:rsidR="001D10D7" w:rsidRPr="00664FF3">
        <w:rPr>
          <w:rFonts w:ascii="Calibri" w:hAnsi="Calibri" w:cs="Calibri"/>
        </w:rPr>
        <w:t xml:space="preserve">The total cost for the </w:t>
      </w:r>
      <w:r w:rsidR="00EB01DF" w:rsidRPr="00664FF3">
        <w:rPr>
          <w:rFonts w:ascii="Calibri" w:hAnsi="Calibri" w:cs="Calibri"/>
          <w:i/>
          <w:iCs/>
        </w:rPr>
        <w:t>FREIGHT 2030</w:t>
      </w:r>
      <w:r w:rsidR="001D10D7" w:rsidRPr="00664FF3">
        <w:rPr>
          <w:rFonts w:ascii="Calibri" w:hAnsi="Calibri" w:cs="Calibri"/>
        </w:rPr>
        <w:t xml:space="preserve"> project is $</w:t>
      </w:r>
      <w:r w:rsidR="00FF4766" w:rsidRPr="00664FF3">
        <w:rPr>
          <w:rFonts w:ascii="Calibri" w:hAnsi="Calibri" w:cs="Calibri"/>
        </w:rPr>
        <w:t>500,000,000</w:t>
      </w:r>
      <w:r w:rsidR="001D10D7" w:rsidRPr="00664FF3">
        <w:rPr>
          <w:rFonts w:ascii="Calibri" w:hAnsi="Calibri" w:cs="Calibri"/>
        </w:rPr>
        <w:t>. The New York City Department of Transportation (</w:t>
      </w:r>
      <w:r w:rsidR="00EB01DF" w:rsidRPr="00664FF3">
        <w:rPr>
          <w:rFonts w:ascii="Calibri" w:hAnsi="Calibri" w:cs="Calibri"/>
        </w:rPr>
        <w:t>NYC DOT</w:t>
      </w:r>
      <w:r w:rsidR="001D10D7" w:rsidRPr="00664FF3">
        <w:rPr>
          <w:rFonts w:ascii="Calibri" w:hAnsi="Calibri" w:cs="Calibri"/>
        </w:rPr>
        <w:t>; Lead Applicant), together with the Port Authority of New York and New Jersey (PANYN</w:t>
      </w:r>
      <w:r w:rsidR="0B3DC69E" w:rsidRPr="00664FF3">
        <w:rPr>
          <w:rFonts w:ascii="Calibri" w:hAnsi="Calibri" w:cs="Calibri"/>
        </w:rPr>
        <w:t>J</w:t>
      </w:r>
      <w:r w:rsidR="001D10D7" w:rsidRPr="00664FF3">
        <w:rPr>
          <w:rFonts w:ascii="Calibri" w:hAnsi="Calibri" w:cs="Calibri"/>
        </w:rPr>
        <w:t xml:space="preserve">) and the NYC Economic Development </w:t>
      </w:r>
      <w:r w:rsidR="00EC1669" w:rsidRPr="00664FF3">
        <w:rPr>
          <w:rFonts w:ascii="Calibri" w:hAnsi="Calibri" w:cs="Calibri"/>
        </w:rPr>
        <w:t>Corporation</w:t>
      </w:r>
      <w:r w:rsidR="001D10D7" w:rsidRPr="00664FF3">
        <w:rPr>
          <w:rFonts w:ascii="Calibri" w:hAnsi="Calibri" w:cs="Calibri"/>
        </w:rPr>
        <w:t xml:space="preserve"> (NYCEDC), request federal funding through the Climate Pollution Reduction Grant</w:t>
      </w:r>
      <w:r w:rsidR="00CB103C" w:rsidRPr="00664FF3">
        <w:rPr>
          <w:rFonts w:ascii="Calibri" w:hAnsi="Calibri" w:cs="Calibri"/>
        </w:rPr>
        <w:t>s Program</w:t>
      </w:r>
      <w:r w:rsidR="001D10D7" w:rsidRPr="00664FF3">
        <w:rPr>
          <w:rFonts w:ascii="Calibri" w:hAnsi="Calibri" w:cs="Calibri"/>
        </w:rPr>
        <w:t xml:space="preserve"> (CPRG</w:t>
      </w:r>
      <w:r w:rsidR="00CE7C59" w:rsidRPr="00664FF3">
        <w:rPr>
          <w:rFonts w:ascii="Calibri" w:hAnsi="Calibri" w:cs="Calibri"/>
        </w:rPr>
        <w:t>-I</w:t>
      </w:r>
      <w:r w:rsidR="001D10D7" w:rsidRPr="00664FF3">
        <w:rPr>
          <w:rFonts w:ascii="Calibri" w:hAnsi="Calibri" w:cs="Calibri"/>
        </w:rPr>
        <w:t xml:space="preserve">) for four complementary </w:t>
      </w:r>
      <w:r w:rsidR="00B51959" w:rsidRPr="00664FF3">
        <w:rPr>
          <w:rFonts w:ascii="Calibri" w:hAnsi="Calibri" w:cs="Calibri"/>
        </w:rPr>
        <w:t>initiatives</w:t>
      </w:r>
      <w:r w:rsidR="001D10D7" w:rsidRPr="00664FF3">
        <w:rPr>
          <w:rFonts w:ascii="Calibri" w:hAnsi="Calibri" w:cs="Calibri"/>
        </w:rPr>
        <w:t>: Commercial Cargo Bike Incentive Program,</w:t>
      </w:r>
      <w:r w:rsidR="00F11604" w:rsidRPr="00664FF3">
        <w:rPr>
          <w:rFonts w:ascii="Calibri" w:hAnsi="Calibri" w:cs="Calibri"/>
        </w:rPr>
        <w:t xml:space="preserve"> Microhubs Expansion, Blue Highways, and Truck Electrification and Parking. </w:t>
      </w:r>
      <w:r w:rsidR="00A04F1D" w:rsidRPr="00664FF3">
        <w:rPr>
          <w:rFonts w:ascii="Calibri" w:hAnsi="Calibri" w:cs="Calibri"/>
        </w:rPr>
        <w:t>This budget narrative provides a detailed description of the applicant’s approach, procedures, and controls for award fund management and reasonableness of the budget. For a detailed budget breakdown, itemized in the attached SF-424A, reference the attached Budget Spreadsheet</w:t>
      </w:r>
      <w:r w:rsidR="53119699" w:rsidRPr="00664FF3">
        <w:rPr>
          <w:rFonts w:ascii="Calibri" w:hAnsi="Calibri" w:cs="Calibri"/>
        </w:rPr>
        <w:t xml:space="preserve"> </w:t>
      </w:r>
      <w:r w:rsidR="00A80ADC" w:rsidRPr="00664FF3">
        <w:rPr>
          <w:rFonts w:ascii="Calibri" w:hAnsi="Calibri" w:cs="Calibri"/>
        </w:rPr>
        <w:t>(</w:t>
      </w:r>
      <w:proofErr w:type="spellStart"/>
      <w:r w:rsidR="00A04F1D" w:rsidRPr="00664FF3">
        <w:rPr>
          <w:rFonts w:ascii="Calibri" w:hAnsi="Calibri" w:cs="Calibri"/>
        </w:rPr>
        <w:t>B</w:t>
      </w:r>
      <w:r w:rsidR="53119699" w:rsidRPr="00664FF3">
        <w:rPr>
          <w:rFonts w:ascii="Calibri" w:hAnsi="Calibri" w:cs="Calibri"/>
        </w:rPr>
        <w:t>udget</w:t>
      </w:r>
      <w:r w:rsidR="2D9145C6" w:rsidRPr="00664FF3">
        <w:rPr>
          <w:rFonts w:ascii="Calibri" w:hAnsi="Calibri" w:cs="Calibri"/>
        </w:rPr>
        <w:t>calcs</w:t>
      </w:r>
      <w:r w:rsidR="53119699" w:rsidRPr="00664FF3">
        <w:rPr>
          <w:rFonts w:ascii="Calibri" w:hAnsi="Calibri" w:cs="Calibri"/>
        </w:rPr>
        <w:t>_</w:t>
      </w:r>
      <w:r w:rsidR="00A80ADC" w:rsidRPr="00664FF3">
        <w:rPr>
          <w:rFonts w:ascii="Calibri" w:hAnsi="Calibri" w:cs="Calibri"/>
        </w:rPr>
        <w:t>NYC</w:t>
      </w:r>
      <w:r w:rsidR="53119699" w:rsidRPr="00664FF3">
        <w:rPr>
          <w:rFonts w:ascii="Calibri" w:hAnsi="Calibri" w:cs="Calibri"/>
        </w:rPr>
        <w:t>DOT</w:t>
      </w:r>
      <w:proofErr w:type="spellEnd"/>
      <w:r w:rsidR="00A80ADC" w:rsidRPr="00664FF3">
        <w:rPr>
          <w:rFonts w:ascii="Calibri" w:hAnsi="Calibri" w:cs="Calibri"/>
        </w:rPr>
        <w:t>)</w:t>
      </w:r>
      <w:r w:rsidR="00DA02A4" w:rsidRPr="00664FF3">
        <w:rPr>
          <w:rFonts w:ascii="Calibri" w:hAnsi="Calibri" w:cs="Calibri"/>
        </w:rPr>
        <w:t>.</w:t>
      </w:r>
    </w:p>
    <w:p w14:paraId="7EEDF3A9" w14:textId="1D4E62CF" w:rsidR="00A04F1D" w:rsidRPr="00664FF3" w:rsidRDefault="00720C46" w:rsidP="00DF2786">
      <w:pPr>
        <w:pStyle w:val="Default"/>
        <w:spacing w:before="80"/>
        <w:rPr>
          <w:rFonts w:ascii="Calibri" w:hAnsi="Calibri" w:cs="Calibri"/>
          <w:color w:val="auto"/>
          <w:sz w:val="22"/>
          <w:szCs w:val="22"/>
        </w:rPr>
      </w:pPr>
      <w:r w:rsidRPr="00664FF3">
        <w:rPr>
          <w:rFonts w:ascii="Calibri" w:hAnsi="Calibri" w:cs="Calibri"/>
          <w:color w:val="auto"/>
          <w:kern w:val="2"/>
          <w:sz w:val="22"/>
          <w:szCs w:val="22"/>
        </w:rPr>
        <w:t xml:space="preserve">As lead applicant, </w:t>
      </w:r>
      <w:r w:rsidR="00EB01DF" w:rsidRPr="00664FF3">
        <w:rPr>
          <w:rFonts w:ascii="Calibri" w:hAnsi="Calibri" w:cs="Calibri"/>
          <w:color w:val="auto"/>
          <w:kern w:val="2"/>
          <w:sz w:val="22"/>
          <w:szCs w:val="22"/>
        </w:rPr>
        <w:t>NYC DOT</w:t>
      </w:r>
      <w:r w:rsidRPr="00664FF3">
        <w:rPr>
          <w:rFonts w:ascii="Calibri" w:hAnsi="Calibri" w:cs="Calibri"/>
          <w:color w:val="auto"/>
          <w:kern w:val="2"/>
          <w:sz w:val="22"/>
          <w:szCs w:val="22"/>
        </w:rPr>
        <w:t xml:space="preserve"> will be responsible for grant administration and ensuring </w:t>
      </w:r>
      <w:r w:rsidR="00FC418F" w:rsidRPr="00664FF3">
        <w:rPr>
          <w:rFonts w:ascii="Calibri" w:hAnsi="Calibri" w:cs="Calibri"/>
          <w:color w:val="auto"/>
          <w:kern w:val="2"/>
          <w:sz w:val="22"/>
          <w:szCs w:val="22"/>
        </w:rPr>
        <w:t>that the project is completed on time, within budget, according to the goals and objectives laid out for the project, and in compliance with the EPA grant requirements</w:t>
      </w:r>
      <w:r w:rsidR="00634AD1" w:rsidRPr="00664FF3">
        <w:rPr>
          <w:rFonts w:ascii="Calibri" w:hAnsi="Calibri" w:cs="Calibri"/>
          <w:color w:val="auto"/>
          <w:kern w:val="2"/>
          <w:sz w:val="22"/>
          <w:szCs w:val="22"/>
        </w:rPr>
        <w:t xml:space="preserve">. </w:t>
      </w:r>
      <w:r w:rsidR="00EB01DF" w:rsidRPr="00664FF3">
        <w:rPr>
          <w:rFonts w:ascii="Calibri" w:hAnsi="Calibri" w:cs="Calibri"/>
          <w:color w:val="auto"/>
          <w:kern w:val="2"/>
          <w:sz w:val="22"/>
          <w:szCs w:val="22"/>
        </w:rPr>
        <w:t>NYC DOT</w:t>
      </w:r>
      <w:r w:rsidR="00634AD1" w:rsidRPr="00664FF3">
        <w:rPr>
          <w:rFonts w:ascii="Calibri" w:hAnsi="Calibri" w:cs="Calibri"/>
          <w:color w:val="auto"/>
          <w:kern w:val="2"/>
          <w:sz w:val="22"/>
          <w:szCs w:val="22"/>
        </w:rPr>
        <w:t xml:space="preserve"> has extensive experience administering </w:t>
      </w:r>
      <w:r w:rsidR="004D4E33" w:rsidRPr="00664FF3">
        <w:rPr>
          <w:rFonts w:ascii="Calibri" w:hAnsi="Calibri" w:cs="Calibri"/>
          <w:color w:val="auto"/>
          <w:kern w:val="2"/>
          <w:sz w:val="22"/>
          <w:szCs w:val="22"/>
        </w:rPr>
        <w:t>federal</w:t>
      </w:r>
      <w:r w:rsidR="00634AD1" w:rsidRPr="00664FF3">
        <w:rPr>
          <w:rFonts w:ascii="Calibri" w:hAnsi="Calibri" w:cs="Calibri"/>
          <w:color w:val="auto"/>
          <w:kern w:val="2"/>
          <w:sz w:val="22"/>
          <w:szCs w:val="22"/>
        </w:rPr>
        <w:t xml:space="preserve"> grants</w:t>
      </w:r>
      <w:r w:rsidR="004D4E33" w:rsidRPr="00664FF3">
        <w:rPr>
          <w:rFonts w:ascii="Calibri" w:hAnsi="Calibri" w:cs="Calibri"/>
          <w:color w:val="auto"/>
          <w:kern w:val="2"/>
          <w:sz w:val="22"/>
          <w:szCs w:val="22"/>
        </w:rPr>
        <w:t>, delivering capital projects,</w:t>
      </w:r>
      <w:r w:rsidR="00634AD1" w:rsidRPr="00664FF3">
        <w:rPr>
          <w:rFonts w:ascii="Calibri" w:hAnsi="Calibri" w:cs="Calibri"/>
          <w:color w:val="auto"/>
          <w:kern w:val="2"/>
          <w:sz w:val="22"/>
          <w:szCs w:val="22"/>
        </w:rPr>
        <w:t xml:space="preserve"> complying with federal requirements</w:t>
      </w:r>
      <w:r w:rsidR="00B76FC2" w:rsidRPr="00664FF3">
        <w:rPr>
          <w:rFonts w:ascii="Calibri" w:hAnsi="Calibri" w:cs="Calibri"/>
          <w:color w:val="auto"/>
          <w:kern w:val="2"/>
          <w:sz w:val="22"/>
          <w:szCs w:val="22"/>
        </w:rPr>
        <w:t>,</w:t>
      </w:r>
      <w:r w:rsidR="00634AD1" w:rsidRPr="00664FF3">
        <w:rPr>
          <w:rFonts w:ascii="Calibri" w:hAnsi="Calibri" w:cs="Calibri"/>
          <w:color w:val="auto"/>
          <w:kern w:val="2"/>
          <w:sz w:val="22"/>
          <w:szCs w:val="22"/>
        </w:rPr>
        <w:t xml:space="preserve"> and negotiating consultant contracts and task orders while maintaining costs within </w:t>
      </w:r>
      <w:r w:rsidR="000016A1" w:rsidRPr="00664FF3">
        <w:rPr>
          <w:rFonts w:ascii="Calibri" w:hAnsi="Calibri" w:cs="Calibri"/>
          <w:color w:val="auto"/>
          <w:kern w:val="2"/>
          <w:sz w:val="22"/>
          <w:szCs w:val="22"/>
        </w:rPr>
        <w:t xml:space="preserve">a </w:t>
      </w:r>
      <w:r w:rsidR="00634AD1" w:rsidRPr="00664FF3">
        <w:rPr>
          <w:rFonts w:ascii="Calibri" w:hAnsi="Calibri" w:cs="Calibri"/>
          <w:color w:val="auto"/>
          <w:kern w:val="2"/>
          <w:sz w:val="22"/>
          <w:szCs w:val="22"/>
        </w:rPr>
        <w:t xml:space="preserve">specified budget. Given </w:t>
      </w:r>
      <w:r w:rsidR="00EB01DF" w:rsidRPr="00664FF3">
        <w:rPr>
          <w:rFonts w:ascii="Calibri" w:hAnsi="Calibri" w:cs="Calibri"/>
          <w:color w:val="auto"/>
          <w:kern w:val="2"/>
          <w:sz w:val="22"/>
          <w:szCs w:val="22"/>
        </w:rPr>
        <w:t>NYC DOT</w:t>
      </w:r>
      <w:r w:rsidR="00634AD1" w:rsidRPr="00664FF3">
        <w:rPr>
          <w:rFonts w:ascii="Calibri" w:hAnsi="Calibri" w:cs="Calibri"/>
          <w:color w:val="auto"/>
          <w:kern w:val="2"/>
          <w:sz w:val="22"/>
          <w:szCs w:val="22"/>
        </w:rPr>
        <w:t xml:space="preserve">’s extensive experience </w:t>
      </w:r>
      <w:r w:rsidR="00B700F1" w:rsidRPr="00664FF3">
        <w:rPr>
          <w:rFonts w:ascii="Calibri" w:hAnsi="Calibri" w:cs="Calibri"/>
          <w:color w:val="auto"/>
          <w:kern w:val="2"/>
          <w:sz w:val="22"/>
          <w:szCs w:val="22"/>
        </w:rPr>
        <w:t>delivering projects</w:t>
      </w:r>
      <w:r w:rsidR="00634AD1" w:rsidRPr="00664FF3">
        <w:rPr>
          <w:rFonts w:ascii="Calibri" w:hAnsi="Calibri" w:cs="Calibri"/>
          <w:color w:val="auto"/>
          <w:kern w:val="2"/>
          <w:sz w:val="22"/>
          <w:szCs w:val="22"/>
        </w:rPr>
        <w:t xml:space="preserve">, it is believed that </w:t>
      </w:r>
      <w:r w:rsidR="00B700F1" w:rsidRPr="00664FF3">
        <w:rPr>
          <w:rFonts w:ascii="Calibri" w:hAnsi="Calibri" w:cs="Calibri"/>
          <w:color w:val="auto"/>
          <w:kern w:val="2"/>
          <w:sz w:val="22"/>
          <w:szCs w:val="22"/>
        </w:rPr>
        <w:t>all</w:t>
      </w:r>
      <w:r w:rsidR="00634AD1" w:rsidRPr="00664FF3">
        <w:rPr>
          <w:rFonts w:ascii="Calibri" w:hAnsi="Calibri" w:cs="Calibri"/>
          <w:color w:val="auto"/>
          <w:kern w:val="2"/>
          <w:sz w:val="22"/>
          <w:szCs w:val="22"/>
        </w:rPr>
        <w:t xml:space="preserve"> estimates provided are fair and reasonable. </w:t>
      </w:r>
      <w:r w:rsidR="00597CDE" w:rsidRPr="00664FF3">
        <w:rPr>
          <w:rFonts w:ascii="Calibri" w:hAnsi="Calibri" w:cs="Calibri"/>
          <w:color w:val="auto"/>
          <w:kern w:val="2"/>
          <w:sz w:val="22"/>
          <w:szCs w:val="22"/>
        </w:rPr>
        <w:t xml:space="preserve"> </w:t>
      </w:r>
    </w:p>
    <w:p w14:paraId="0439AEB3" w14:textId="212F5A96" w:rsidR="007C6AB4" w:rsidRPr="00664FF3" w:rsidRDefault="00EB01DF" w:rsidP="00DF2786">
      <w:pPr>
        <w:spacing w:before="80"/>
        <w:ind w:right="-20"/>
        <w:rPr>
          <w:rFonts w:ascii="Calibri" w:eastAsia="Calibri" w:hAnsi="Calibri" w:cs="Calibri"/>
        </w:rPr>
      </w:pPr>
      <w:r w:rsidRPr="00664FF3">
        <w:rPr>
          <w:rFonts w:ascii="Calibri" w:eastAsia="Calibri" w:hAnsi="Calibri" w:cs="Calibri"/>
        </w:rPr>
        <w:t>NYC DOT</w:t>
      </w:r>
      <w:r w:rsidR="007C6AB4" w:rsidRPr="00664FF3">
        <w:rPr>
          <w:rFonts w:ascii="Calibri" w:eastAsia="Calibri" w:hAnsi="Calibri" w:cs="Calibri"/>
        </w:rPr>
        <w:t xml:space="preserve"> is well-prepared to allocate CPRG-I award funding to subrecipient coalition members, ensuring meticulous financial management and adherence to EPA grant requirements. </w:t>
      </w:r>
      <w:r w:rsidRPr="00664FF3">
        <w:rPr>
          <w:rFonts w:ascii="Calibri" w:eastAsia="Calibri" w:hAnsi="Calibri" w:cs="Calibri"/>
        </w:rPr>
        <w:t>NYC DOT</w:t>
      </w:r>
      <w:r w:rsidR="007C6AB4" w:rsidRPr="00664FF3">
        <w:rPr>
          <w:rFonts w:ascii="Calibri" w:eastAsia="Calibri" w:hAnsi="Calibri" w:cs="Calibri"/>
        </w:rPr>
        <w:t xml:space="preserve"> will effectively</w:t>
      </w:r>
      <w:r w:rsidR="00A65C7A" w:rsidRPr="00664FF3">
        <w:rPr>
          <w:rFonts w:ascii="Calibri" w:eastAsia="Calibri" w:hAnsi="Calibri" w:cs="Calibri"/>
        </w:rPr>
        <w:t xml:space="preserve"> </w:t>
      </w:r>
      <w:r w:rsidR="007C6AB4" w:rsidRPr="00664FF3">
        <w:rPr>
          <w:rFonts w:ascii="Calibri" w:eastAsia="Calibri" w:hAnsi="Calibri" w:cs="Calibri"/>
        </w:rPr>
        <w:t>oversee program management</w:t>
      </w:r>
      <w:r w:rsidR="007C6AB4" w:rsidRPr="00664FF3" w:rsidDel="00965E15">
        <w:rPr>
          <w:rFonts w:ascii="Calibri" w:eastAsia="Calibri" w:hAnsi="Calibri" w:cs="Calibri"/>
        </w:rPr>
        <w:t xml:space="preserve"> </w:t>
      </w:r>
      <w:r w:rsidR="007C6AB4" w:rsidRPr="00664FF3">
        <w:rPr>
          <w:rFonts w:ascii="Calibri" w:eastAsia="Calibri" w:hAnsi="Calibri" w:cs="Calibri"/>
        </w:rPr>
        <w:t>and report financial and programmatic progress to the EPA,</w:t>
      </w:r>
      <w:r w:rsidR="007C6AB4" w:rsidRPr="00664FF3" w:rsidDel="00A65C7A">
        <w:rPr>
          <w:rFonts w:ascii="Calibri" w:eastAsia="Calibri" w:hAnsi="Calibri" w:cs="Calibri"/>
        </w:rPr>
        <w:t xml:space="preserve"> </w:t>
      </w:r>
      <w:r w:rsidR="008359B0" w:rsidRPr="00664FF3">
        <w:rPr>
          <w:rFonts w:ascii="Calibri" w:eastAsia="Calibri" w:hAnsi="Calibri" w:cs="Calibri"/>
        </w:rPr>
        <w:t>delivering</w:t>
      </w:r>
      <w:r w:rsidR="007C6AB4" w:rsidRPr="00664FF3">
        <w:rPr>
          <w:rFonts w:ascii="Calibri" w:eastAsia="Calibri" w:hAnsi="Calibri" w:cs="Calibri"/>
        </w:rPr>
        <w:t xml:space="preserve"> projects according to scope, schedule, and budget. All subrecipients will be responsible for reporting to </w:t>
      </w:r>
      <w:r w:rsidRPr="00664FF3">
        <w:rPr>
          <w:rFonts w:ascii="Calibri" w:eastAsia="Calibri" w:hAnsi="Calibri" w:cs="Calibri"/>
        </w:rPr>
        <w:t>NYC DOT</w:t>
      </w:r>
      <w:r w:rsidR="00965E15" w:rsidRPr="00664FF3">
        <w:rPr>
          <w:rFonts w:ascii="Calibri" w:eastAsia="Calibri" w:hAnsi="Calibri" w:cs="Calibri"/>
        </w:rPr>
        <w:t>.</w:t>
      </w:r>
      <w:r w:rsidR="00FC7856" w:rsidRPr="00664FF3">
        <w:rPr>
          <w:rFonts w:ascii="Calibri" w:eastAsia="Calibri" w:hAnsi="Calibri" w:cs="Calibri"/>
        </w:rPr>
        <w:t xml:space="preserve"> </w:t>
      </w:r>
      <w:r w:rsidRPr="00664FF3">
        <w:rPr>
          <w:rFonts w:ascii="Calibri" w:eastAsia="Calibri" w:hAnsi="Calibri" w:cs="Calibri"/>
        </w:rPr>
        <w:t>NYC DOT</w:t>
      </w:r>
      <w:r w:rsidR="007C6AB4" w:rsidRPr="00664FF3">
        <w:rPr>
          <w:rFonts w:ascii="Calibri" w:eastAsia="Calibri" w:hAnsi="Calibri" w:cs="Calibri"/>
        </w:rPr>
        <w:t xml:space="preserve"> is committed to ensuring proper management of grant funds in alignment with the guidelines and regulations set forth by the EPA over the </w:t>
      </w:r>
      <w:r w:rsidR="007C6AB4" w:rsidRPr="00664FF3" w:rsidDel="00FC7856">
        <w:rPr>
          <w:rFonts w:ascii="Calibri" w:eastAsia="Calibri" w:hAnsi="Calibri" w:cs="Calibri"/>
        </w:rPr>
        <w:t>five</w:t>
      </w:r>
      <w:r w:rsidR="00FC7856" w:rsidRPr="00664FF3">
        <w:rPr>
          <w:rFonts w:ascii="Calibri" w:eastAsia="Calibri" w:hAnsi="Calibri" w:cs="Calibri"/>
        </w:rPr>
        <w:t>-year</w:t>
      </w:r>
      <w:r w:rsidR="007C6AB4" w:rsidRPr="00664FF3">
        <w:rPr>
          <w:rFonts w:ascii="Calibri" w:eastAsia="Calibri" w:hAnsi="Calibri" w:cs="Calibri"/>
        </w:rPr>
        <w:t xml:space="preserve"> course of the project. The approach to grant management includes the following measures:</w:t>
      </w:r>
    </w:p>
    <w:p w14:paraId="33EFAA72" w14:textId="30B2FC97" w:rsidR="007C6AB4" w:rsidRPr="00664FF3" w:rsidRDefault="007C6AB4" w:rsidP="00DF2786">
      <w:pPr>
        <w:pStyle w:val="ListParagraph"/>
        <w:numPr>
          <w:ilvl w:val="0"/>
          <w:numId w:val="9"/>
        </w:numPr>
        <w:spacing w:before="80"/>
        <w:ind w:right="-20"/>
        <w:rPr>
          <w:rFonts w:ascii="Calibri" w:eastAsia="Calibri" w:hAnsi="Calibri" w:cs="Calibri"/>
        </w:rPr>
      </w:pPr>
      <w:r w:rsidRPr="00664FF3">
        <w:rPr>
          <w:rFonts w:ascii="Calibri" w:eastAsia="Calibri" w:hAnsi="Calibri" w:cs="Calibri"/>
          <w:b/>
          <w:bCs/>
        </w:rPr>
        <w:t>Financial Accountability</w:t>
      </w:r>
      <w:r w:rsidRPr="00664FF3">
        <w:rPr>
          <w:rFonts w:ascii="Calibri" w:eastAsia="Calibri" w:hAnsi="Calibri" w:cs="Calibri"/>
        </w:rPr>
        <w:t xml:space="preserve">: </w:t>
      </w:r>
      <w:r w:rsidR="00EB01DF" w:rsidRPr="00664FF3">
        <w:rPr>
          <w:rFonts w:ascii="Calibri" w:eastAsia="Calibri" w:hAnsi="Calibri" w:cs="Calibri"/>
        </w:rPr>
        <w:t>NYC DOT</w:t>
      </w:r>
      <w:r w:rsidRPr="00664FF3">
        <w:rPr>
          <w:rFonts w:ascii="Calibri" w:eastAsia="Calibri" w:hAnsi="Calibri" w:cs="Calibri"/>
        </w:rPr>
        <w:t xml:space="preserve"> will maintain accurate and up-to-date financial records, ensuring transparency and accountability in the use of grant funds. </w:t>
      </w:r>
      <w:r w:rsidR="00EB01DF" w:rsidRPr="00664FF3">
        <w:rPr>
          <w:rFonts w:ascii="Calibri" w:eastAsia="Calibri" w:hAnsi="Calibri" w:cs="Calibri"/>
        </w:rPr>
        <w:t>NYC DOT</w:t>
      </w:r>
      <w:r w:rsidR="00965E15" w:rsidRPr="00664FF3">
        <w:rPr>
          <w:rFonts w:ascii="Calibri" w:eastAsia="Calibri" w:hAnsi="Calibri" w:cs="Calibri"/>
        </w:rPr>
        <w:t>’s experienced grant team will</w:t>
      </w:r>
      <w:r w:rsidRPr="00664FF3">
        <w:rPr>
          <w:rFonts w:ascii="Calibri" w:eastAsia="Calibri" w:hAnsi="Calibri" w:cs="Calibri"/>
        </w:rPr>
        <w:t xml:space="preserve"> oversee the success of th</w:t>
      </w:r>
      <w:r w:rsidR="00965E15" w:rsidRPr="00664FF3">
        <w:rPr>
          <w:rFonts w:ascii="Calibri" w:eastAsia="Calibri" w:hAnsi="Calibri" w:cs="Calibri"/>
        </w:rPr>
        <w:t>e</w:t>
      </w:r>
      <w:r w:rsidRPr="00664FF3">
        <w:rPr>
          <w:rFonts w:ascii="Calibri" w:eastAsia="Calibri" w:hAnsi="Calibri" w:cs="Calibri"/>
        </w:rPr>
        <w:t xml:space="preserve"> program, with support and collaboration from</w:t>
      </w:r>
      <w:r w:rsidR="00CB7E0D" w:rsidRPr="00664FF3">
        <w:rPr>
          <w:rFonts w:ascii="Calibri" w:eastAsia="Calibri" w:hAnsi="Calibri" w:cs="Calibri"/>
        </w:rPr>
        <w:t xml:space="preserve"> NYCEDC and PANYNJ</w:t>
      </w:r>
      <w:r w:rsidR="009234D2" w:rsidRPr="00664FF3">
        <w:rPr>
          <w:rFonts w:ascii="Calibri" w:eastAsia="Calibri" w:hAnsi="Calibri" w:cs="Calibri"/>
        </w:rPr>
        <w:t>.</w:t>
      </w:r>
      <w:r w:rsidRPr="00664FF3">
        <w:rPr>
          <w:rFonts w:ascii="Calibri" w:eastAsia="Calibri" w:hAnsi="Calibri" w:cs="Calibri"/>
        </w:rPr>
        <w:t xml:space="preserve"> </w:t>
      </w:r>
      <w:r w:rsidRPr="00664FF3">
        <w:rPr>
          <w:rFonts w:ascii="Calibri" w:hAnsi="Calibri" w:cs="Calibri"/>
        </w:rPr>
        <w:t>This team is familiar with the Uniform Administrative Requirements, Cost Principles, and Audit Requirements for Federal Awards and will ensure that accounting practices comply.</w:t>
      </w:r>
    </w:p>
    <w:p w14:paraId="0C6AB1B5" w14:textId="2B702124" w:rsidR="007C6AB4" w:rsidRPr="00664FF3" w:rsidRDefault="007C6AB4" w:rsidP="00DF2786">
      <w:pPr>
        <w:pStyle w:val="ListParagraph"/>
        <w:numPr>
          <w:ilvl w:val="0"/>
          <w:numId w:val="9"/>
        </w:numPr>
        <w:spacing w:before="80"/>
        <w:ind w:right="-20"/>
        <w:rPr>
          <w:rFonts w:ascii="Calibri" w:eastAsia="Calibri" w:hAnsi="Calibri" w:cs="Calibri"/>
        </w:rPr>
      </w:pPr>
      <w:r w:rsidRPr="00664FF3">
        <w:rPr>
          <w:rFonts w:ascii="Calibri" w:eastAsia="Calibri" w:hAnsi="Calibri" w:cs="Calibri"/>
          <w:b/>
          <w:bCs/>
        </w:rPr>
        <w:t>Budget Monitoring</w:t>
      </w:r>
      <w:r w:rsidRPr="00664FF3">
        <w:rPr>
          <w:rFonts w:ascii="Calibri" w:eastAsia="Calibri" w:hAnsi="Calibri" w:cs="Calibri"/>
        </w:rPr>
        <w:t>:</w:t>
      </w:r>
      <w:r w:rsidR="008159AD" w:rsidRPr="00664FF3">
        <w:rPr>
          <w:rFonts w:ascii="Calibri" w:eastAsia="Calibri" w:hAnsi="Calibri" w:cs="Calibri"/>
        </w:rPr>
        <w:t xml:space="preserve"> </w:t>
      </w:r>
      <w:r w:rsidR="00EB01DF" w:rsidRPr="00664FF3">
        <w:rPr>
          <w:rFonts w:ascii="Calibri" w:eastAsia="Calibri" w:hAnsi="Calibri" w:cs="Calibri"/>
        </w:rPr>
        <w:t>NYC DOT</w:t>
      </w:r>
      <w:r w:rsidR="008159AD" w:rsidRPr="00664FF3" w:rsidDel="008159AD">
        <w:rPr>
          <w:rFonts w:ascii="Calibri" w:eastAsia="Calibri" w:hAnsi="Calibri" w:cs="Calibri"/>
        </w:rPr>
        <w:t xml:space="preserve"> </w:t>
      </w:r>
      <w:r w:rsidRPr="00664FF3">
        <w:rPr>
          <w:rFonts w:ascii="Calibri" w:eastAsia="Calibri" w:hAnsi="Calibri" w:cs="Calibri"/>
        </w:rPr>
        <w:t xml:space="preserve">will conduct regular budget monitoring to compare actual expenditures against the approved budget. </w:t>
      </w:r>
      <w:r w:rsidR="00EB01DF" w:rsidRPr="00664FF3">
        <w:rPr>
          <w:rFonts w:ascii="Calibri" w:eastAsia="Calibri" w:hAnsi="Calibri" w:cs="Calibri"/>
        </w:rPr>
        <w:t>NYC DOT</w:t>
      </w:r>
      <w:r w:rsidR="008159AD" w:rsidRPr="00664FF3">
        <w:rPr>
          <w:rFonts w:ascii="Calibri" w:eastAsia="Calibri" w:hAnsi="Calibri" w:cs="Calibri"/>
        </w:rPr>
        <w:t xml:space="preserve"> </w:t>
      </w:r>
      <w:r w:rsidRPr="00664FF3">
        <w:rPr>
          <w:rFonts w:ascii="Calibri" w:eastAsia="Calibri" w:hAnsi="Calibri" w:cs="Calibri"/>
        </w:rPr>
        <w:t>will</w:t>
      </w:r>
      <w:r w:rsidR="008159AD" w:rsidRPr="00664FF3">
        <w:rPr>
          <w:rFonts w:ascii="Calibri" w:eastAsia="Calibri" w:hAnsi="Calibri" w:cs="Calibri"/>
        </w:rPr>
        <w:t xml:space="preserve"> follow</w:t>
      </w:r>
      <w:r w:rsidRPr="00664FF3">
        <w:rPr>
          <w:rFonts w:ascii="Calibri" w:eastAsia="Calibri" w:hAnsi="Calibri" w:cs="Calibri"/>
        </w:rPr>
        <w:t xml:space="preserve"> establish</w:t>
      </w:r>
      <w:r w:rsidR="008159AD" w:rsidRPr="00664FF3">
        <w:rPr>
          <w:rFonts w:ascii="Calibri" w:eastAsia="Calibri" w:hAnsi="Calibri" w:cs="Calibri"/>
        </w:rPr>
        <w:t>ed</w:t>
      </w:r>
      <w:r w:rsidRPr="00664FF3">
        <w:rPr>
          <w:rFonts w:ascii="Calibri" w:eastAsia="Calibri" w:hAnsi="Calibri" w:cs="Calibri"/>
        </w:rPr>
        <w:t xml:space="preserve"> mechanisms for reviewing and approving budget modifications, if required, ensuring compliance with EPA guidelines.</w:t>
      </w:r>
    </w:p>
    <w:p w14:paraId="74301B82" w14:textId="6EC78A74" w:rsidR="007C6AB4" w:rsidRPr="00664FF3" w:rsidRDefault="007C6AB4" w:rsidP="00DF2786">
      <w:pPr>
        <w:pStyle w:val="ListParagraph"/>
        <w:numPr>
          <w:ilvl w:val="0"/>
          <w:numId w:val="9"/>
        </w:numPr>
        <w:spacing w:before="80"/>
        <w:ind w:right="-20"/>
        <w:rPr>
          <w:rFonts w:ascii="Calibri" w:eastAsia="Calibri" w:hAnsi="Calibri" w:cs="Calibri"/>
        </w:rPr>
      </w:pPr>
      <w:r w:rsidRPr="00664FF3">
        <w:rPr>
          <w:rFonts w:ascii="Calibri" w:eastAsia="Calibri" w:hAnsi="Calibri" w:cs="Calibri"/>
          <w:b/>
          <w:bCs/>
        </w:rPr>
        <w:t>Internal Controls and Compliance</w:t>
      </w:r>
      <w:r w:rsidRPr="00664FF3">
        <w:rPr>
          <w:rFonts w:ascii="Calibri" w:eastAsia="Calibri" w:hAnsi="Calibri" w:cs="Calibri"/>
        </w:rPr>
        <w:t xml:space="preserve">: </w:t>
      </w:r>
      <w:r w:rsidR="00EB01DF" w:rsidRPr="00664FF3">
        <w:rPr>
          <w:rFonts w:ascii="Calibri" w:eastAsia="Calibri" w:hAnsi="Calibri" w:cs="Calibri"/>
        </w:rPr>
        <w:t>NYC DOT</w:t>
      </w:r>
      <w:r w:rsidR="008E7533" w:rsidRPr="00664FF3">
        <w:rPr>
          <w:rFonts w:ascii="Calibri" w:eastAsia="Calibri" w:hAnsi="Calibri" w:cs="Calibri"/>
        </w:rPr>
        <w:t xml:space="preserve"> will follow established</w:t>
      </w:r>
      <w:r w:rsidR="00266B65" w:rsidRPr="00664FF3">
        <w:rPr>
          <w:rFonts w:ascii="Calibri" w:eastAsia="Calibri" w:hAnsi="Calibri" w:cs="Calibri"/>
        </w:rPr>
        <w:t xml:space="preserve"> </w:t>
      </w:r>
      <w:r w:rsidRPr="00664FF3">
        <w:rPr>
          <w:rFonts w:ascii="Calibri" w:eastAsia="Calibri" w:hAnsi="Calibri" w:cs="Calibri"/>
        </w:rPr>
        <w:t xml:space="preserve">internal control mechanisms to ensure compliance with relevant laws, regulations, and grant requirements. These controls include segregation of duties, regular audits, and periodic reviews of financial transactions. </w:t>
      </w:r>
      <w:r w:rsidR="00EB01DF" w:rsidRPr="00664FF3">
        <w:rPr>
          <w:rFonts w:ascii="Calibri" w:eastAsia="Calibri" w:hAnsi="Calibri" w:cs="Calibri"/>
        </w:rPr>
        <w:t>NYC DOT</w:t>
      </w:r>
      <w:r w:rsidRPr="00664FF3">
        <w:rPr>
          <w:rFonts w:ascii="Calibri" w:eastAsia="Calibri" w:hAnsi="Calibri" w:cs="Calibri"/>
        </w:rPr>
        <w:t xml:space="preserve"> and their subrecipients will adhere to applicable federal regulations, reporting requirements, and any specific guidelines provided by the EPA. </w:t>
      </w:r>
      <w:r w:rsidR="00EB01DF" w:rsidRPr="00664FF3">
        <w:rPr>
          <w:rFonts w:ascii="Calibri" w:eastAsia="Calibri" w:hAnsi="Calibri" w:cs="Calibri"/>
        </w:rPr>
        <w:t>NYC DOT</w:t>
      </w:r>
      <w:r w:rsidRPr="00664FF3">
        <w:rPr>
          <w:rFonts w:ascii="Calibri" w:eastAsia="Calibri" w:hAnsi="Calibri" w:cs="Calibri"/>
        </w:rPr>
        <w:t xml:space="preserve"> will ensure compliance wi</w:t>
      </w:r>
      <w:r w:rsidR="00303BA2" w:rsidRPr="00664FF3">
        <w:rPr>
          <w:rFonts w:ascii="Calibri" w:eastAsia="Calibri" w:hAnsi="Calibri" w:cs="Calibri"/>
        </w:rPr>
        <w:t>th</w:t>
      </w:r>
      <w:r w:rsidRPr="00664FF3">
        <w:rPr>
          <w:rFonts w:ascii="Calibri" w:eastAsia="Calibri" w:hAnsi="Calibri" w:cs="Calibri"/>
        </w:rPr>
        <w:t xml:space="preserve"> </w:t>
      </w:r>
      <w:r w:rsidRPr="00664FF3">
        <w:rPr>
          <w:rFonts w:ascii="Calibri" w:hAnsi="Calibri" w:cs="Calibri"/>
        </w:rPr>
        <w:t xml:space="preserve">all federal, state, and local regulations including ensuring </w:t>
      </w:r>
      <w:r w:rsidR="004A6B05" w:rsidRPr="00664FF3">
        <w:rPr>
          <w:rFonts w:ascii="Calibri" w:hAnsi="Calibri" w:cs="Calibri"/>
        </w:rPr>
        <w:t xml:space="preserve">compliance with </w:t>
      </w:r>
      <w:r w:rsidRPr="00664FF3">
        <w:rPr>
          <w:rFonts w:ascii="Calibri" w:hAnsi="Calibri" w:cs="Calibri"/>
        </w:rPr>
        <w:t xml:space="preserve">Davis Bacon Prevailing Wage and Build America, Buy America Act (BABA) requirements. </w:t>
      </w:r>
    </w:p>
    <w:p w14:paraId="0A8EE85B" w14:textId="5484801F" w:rsidR="00416D49" w:rsidRPr="00664FF3" w:rsidRDefault="007C6AB4" w:rsidP="00DF2786">
      <w:pPr>
        <w:pStyle w:val="ListParagraph"/>
        <w:numPr>
          <w:ilvl w:val="0"/>
          <w:numId w:val="9"/>
        </w:numPr>
        <w:spacing w:before="80"/>
        <w:ind w:right="-20"/>
        <w:rPr>
          <w:rFonts w:ascii="Calibri" w:eastAsia="Calibri" w:hAnsi="Calibri" w:cs="Calibri"/>
        </w:rPr>
      </w:pPr>
      <w:r w:rsidRPr="00664FF3">
        <w:rPr>
          <w:rFonts w:ascii="Calibri" w:eastAsia="Calibri" w:hAnsi="Calibri" w:cs="Calibri"/>
          <w:b/>
          <w:bCs/>
        </w:rPr>
        <w:t>Procurement and Contracts</w:t>
      </w:r>
      <w:r w:rsidRPr="00664FF3">
        <w:rPr>
          <w:rFonts w:ascii="Calibri" w:eastAsia="Calibri" w:hAnsi="Calibri" w:cs="Calibri"/>
        </w:rPr>
        <w:t xml:space="preserve">: </w:t>
      </w:r>
      <w:r w:rsidR="00EB01DF" w:rsidRPr="00664FF3">
        <w:rPr>
          <w:rFonts w:ascii="Calibri" w:eastAsia="Calibri" w:hAnsi="Calibri" w:cs="Calibri"/>
        </w:rPr>
        <w:t>NYC DOT</w:t>
      </w:r>
      <w:r w:rsidR="008E7533" w:rsidRPr="00664FF3">
        <w:rPr>
          <w:rFonts w:ascii="Calibri" w:eastAsia="Calibri" w:hAnsi="Calibri" w:cs="Calibri"/>
        </w:rPr>
        <w:t xml:space="preserve"> and coalition members</w:t>
      </w:r>
      <w:r w:rsidRPr="00664FF3">
        <w:rPr>
          <w:rFonts w:ascii="Calibri" w:eastAsia="Calibri" w:hAnsi="Calibri" w:cs="Calibri"/>
        </w:rPr>
        <w:t xml:space="preserve"> will follow established NYC, state, and federal procurement policies and procedures to ensure the fair and efficient procurement of goods and services. </w:t>
      </w:r>
      <w:r w:rsidR="00EB01DF" w:rsidRPr="00664FF3">
        <w:rPr>
          <w:rFonts w:ascii="Calibri" w:eastAsia="Calibri" w:hAnsi="Calibri" w:cs="Calibri"/>
        </w:rPr>
        <w:t>NYC DOT</w:t>
      </w:r>
      <w:r w:rsidRPr="00664FF3">
        <w:rPr>
          <w:rFonts w:ascii="Calibri" w:eastAsia="Calibri" w:hAnsi="Calibri" w:cs="Calibri"/>
        </w:rPr>
        <w:t xml:space="preserve"> is </w:t>
      </w:r>
      <w:r w:rsidR="008E7533" w:rsidRPr="00664FF3">
        <w:rPr>
          <w:rFonts w:ascii="Calibri" w:eastAsia="Calibri" w:hAnsi="Calibri" w:cs="Calibri"/>
        </w:rPr>
        <w:t>well versed</w:t>
      </w:r>
      <w:r w:rsidRPr="00664FF3">
        <w:rPr>
          <w:rFonts w:ascii="Calibri" w:eastAsia="Calibri" w:hAnsi="Calibri" w:cs="Calibri"/>
        </w:rPr>
        <w:t xml:space="preserve"> </w:t>
      </w:r>
      <w:r w:rsidR="008E7533" w:rsidRPr="00664FF3">
        <w:rPr>
          <w:rFonts w:ascii="Calibri" w:eastAsia="Calibri" w:hAnsi="Calibri" w:cs="Calibri"/>
        </w:rPr>
        <w:t>in</w:t>
      </w:r>
      <w:r w:rsidRPr="00664FF3">
        <w:rPr>
          <w:rFonts w:ascii="Calibri" w:eastAsia="Calibri" w:hAnsi="Calibri" w:cs="Calibri"/>
        </w:rPr>
        <w:t xml:space="preserve"> procurement requirements and will ensure all rules and regulations are followed. Grant funded projects will adhere</w:t>
      </w:r>
      <w:r w:rsidRPr="00664FF3" w:rsidDel="008E7533">
        <w:rPr>
          <w:rFonts w:ascii="Calibri" w:eastAsia="Calibri" w:hAnsi="Calibri" w:cs="Calibri"/>
        </w:rPr>
        <w:t xml:space="preserve"> </w:t>
      </w:r>
      <w:r w:rsidRPr="00664FF3">
        <w:rPr>
          <w:rFonts w:ascii="Calibri" w:eastAsia="Calibri" w:hAnsi="Calibri" w:cs="Calibri"/>
        </w:rPr>
        <w:t>to applicable federal regulations, including those related to competitive bidding, cost reasonableness, and contract management.</w:t>
      </w:r>
    </w:p>
    <w:p w14:paraId="1FE28B16" w14:textId="18A31A9D" w:rsidR="00416D49" w:rsidRPr="00664FF3" w:rsidRDefault="007C6AB4" w:rsidP="00DF2786">
      <w:pPr>
        <w:pStyle w:val="ListParagraph"/>
        <w:numPr>
          <w:ilvl w:val="0"/>
          <w:numId w:val="9"/>
        </w:numPr>
        <w:spacing w:before="80"/>
        <w:ind w:right="-20"/>
        <w:rPr>
          <w:rFonts w:ascii="Calibri" w:hAnsi="Calibri" w:cs="Calibri"/>
          <w:bdr w:val="none" w:sz="0" w:space="0" w:color="auto" w:frame="1"/>
        </w:rPr>
      </w:pPr>
      <w:r w:rsidRPr="00664FF3">
        <w:rPr>
          <w:rFonts w:ascii="Calibri" w:eastAsia="Calibri" w:hAnsi="Calibri" w:cs="Calibri"/>
          <w:b/>
        </w:rPr>
        <w:t>Timely Reporting &amp; Communication</w:t>
      </w:r>
      <w:r w:rsidRPr="00664FF3">
        <w:rPr>
          <w:rFonts w:ascii="Calibri" w:eastAsia="Calibri" w:hAnsi="Calibri" w:cs="Calibri"/>
        </w:rPr>
        <w:t xml:space="preserve">: </w:t>
      </w:r>
      <w:r w:rsidR="00EB01DF" w:rsidRPr="00664FF3">
        <w:rPr>
          <w:rFonts w:ascii="Calibri" w:eastAsia="Calibri" w:hAnsi="Calibri" w:cs="Calibri"/>
        </w:rPr>
        <w:t>NYC DOT</w:t>
      </w:r>
      <w:r w:rsidRPr="00664FF3">
        <w:rPr>
          <w:rFonts w:ascii="Calibri" w:eastAsia="Calibri" w:hAnsi="Calibri" w:cs="Calibri"/>
        </w:rPr>
        <w:t xml:space="preserve"> and their coalition members are committed to providing accurate and timely</w:t>
      </w:r>
      <w:r w:rsidRPr="00664FF3">
        <w:rPr>
          <w:rFonts w:ascii="Calibri" w:hAnsi="Calibri" w:cs="Calibri"/>
        </w:rPr>
        <w:t xml:space="preserve"> </w:t>
      </w:r>
      <w:r w:rsidRPr="00664FF3">
        <w:rPr>
          <w:rFonts w:ascii="Calibri" w:eastAsia="Calibri" w:hAnsi="Calibri" w:cs="Calibri"/>
        </w:rPr>
        <w:t xml:space="preserve">reporting, both to the granting agency and to internal stakeholders. </w:t>
      </w:r>
      <w:r w:rsidR="00EB01DF" w:rsidRPr="00664FF3">
        <w:rPr>
          <w:rFonts w:ascii="Calibri" w:eastAsia="Calibri" w:hAnsi="Calibri" w:cs="Calibri"/>
        </w:rPr>
        <w:t>NYC DOT</w:t>
      </w:r>
      <w:r w:rsidRPr="00664FF3">
        <w:rPr>
          <w:rFonts w:ascii="Calibri" w:eastAsia="Calibri" w:hAnsi="Calibri" w:cs="Calibri"/>
        </w:rPr>
        <w:t>, building on prior experienc</w:t>
      </w:r>
      <w:r w:rsidR="00416D49" w:rsidRPr="00664FF3">
        <w:rPr>
          <w:rFonts w:ascii="Calibri" w:eastAsia="Calibri" w:hAnsi="Calibri" w:cs="Calibri"/>
        </w:rPr>
        <w:t>e</w:t>
      </w:r>
      <w:r w:rsidRPr="00664FF3">
        <w:rPr>
          <w:rFonts w:ascii="Calibri" w:eastAsia="Calibri" w:hAnsi="Calibri" w:cs="Calibri"/>
        </w:rPr>
        <w:t xml:space="preserve"> manag</w:t>
      </w:r>
      <w:r w:rsidR="00416D49" w:rsidRPr="00664FF3">
        <w:rPr>
          <w:rFonts w:ascii="Calibri" w:eastAsia="Calibri" w:hAnsi="Calibri" w:cs="Calibri"/>
        </w:rPr>
        <w:t>ing</w:t>
      </w:r>
      <w:r w:rsidRPr="00664FF3">
        <w:rPr>
          <w:rFonts w:ascii="Calibri" w:eastAsia="Calibri" w:hAnsi="Calibri" w:cs="Calibri"/>
        </w:rPr>
        <w:t xml:space="preserve"> large </w:t>
      </w:r>
      <w:r w:rsidR="00416D49" w:rsidRPr="00664FF3">
        <w:rPr>
          <w:rFonts w:ascii="Calibri" w:eastAsia="Calibri" w:hAnsi="Calibri" w:cs="Calibri"/>
        </w:rPr>
        <w:t>federal grant</w:t>
      </w:r>
      <w:r w:rsidR="00170164" w:rsidRPr="00664FF3">
        <w:rPr>
          <w:rFonts w:ascii="Calibri" w:eastAsia="Calibri" w:hAnsi="Calibri" w:cs="Calibri"/>
        </w:rPr>
        <w:t>s</w:t>
      </w:r>
      <w:r w:rsidRPr="00664FF3">
        <w:rPr>
          <w:rFonts w:ascii="Calibri" w:eastAsia="Calibri" w:hAnsi="Calibri" w:cs="Calibri"/>
        </w:rPr>
        <w:t xml:space="preserve">, will submit accurate and comprehensive financial reports, progress reports, and any other required documentation within the prescribed timelines. </w:t>
      </w:r>
    </w:p>
    <w:p w14:paraId="39771ABE" w14:textId="61E9E100" w:rsidR="007372FF" w:rsidRPr="00664FF3" w:rsidRDefault="007C6AB4" w:rsidP="00DF2786">
      <w:pPr>
        <w:pStyle w:val="Default"/>
        <w:spacing w:before="80" w:after="120"/>
        <w:rPr>
          <w:rFonts w:ascii="Calibri" w:hAnsi="Calibri" w:cs="Calibri"/>
          <w:color w:val="auto"/>
          <w:kern w:val="2"/>
          <w:sz w:val="22"/>
          <w:szCs w:val="22"/>
        </w:rPr>
      </w:pPr>
      <w:r w:rsidRPr="00664FF3">
        <w:rPr>
          <w:rStyle w:val="normaltextrun"/>
          <w:rFonts w:ascii="Calibri" w:hAnsi="Calibri" w:cs="Calibri"/>
          <w:color w:val="auto"/>
          <w:sz w:val="22"/>
          <w:szCs w:val="22"/>
          <w:bdr w:val="none" w:sz="0" w:space="0" w:color="auto" w:frame="1"/>
        </w:rPr>
        <w:t xml:space="preserve">By employing these approaches, procedures, and controls, </w:t>
      </w:r>
      <w:r w:rsidR="00EB01DF" w:rsidRPr="00664FF3">
        <w:rPr>
          <w:rStyle w:val="normaltextrun"/>
          <w:rFonts w:ascii="Calibri" w:hAnsi="Calibri" w:cs="Calibri"/>
          <w:color w:val="auto"/>
          <w:sz w:val="22"/>
          <w:szCs w:val="22"/>
          <w:bdr w:val="none" w:sz="0" w:space="0" w:color="auto" w:frame="1"/>
        </w:rPr>
        <w:t>NYC DOT</w:t>
      </w:r>
      <w:r w:rsidRPr="00664FF3">
        <w:rPr>
          <w:rStyle w:val="normaltextrun"/>
          <w:rFonts w:ascii="Calibri" w:hAnsi="Calibri" w:cs="Calibri"/>
          <w:color w:val="auto"/>
          <w:sz w:val="22"/>
          <w:szCs w:val="22"/>
          <w:bdr w:val="none" w:sz="0" w:space="0" w:color="auto" w:frame="1"/>
        </w:rPr>
        <w:t xml:space="preserve"> </w:t>
      </w:r>
      <w:r w:rsidR="00323A1D" w:rsidRPr="00664FF3">
        <w:rPr>
          <w:rStyle w:val="normaltextrun"/>
          <w:rFonts w:ascii="Calibri" w:hAnsi="Calibri" w:cs="Calibri"/>
          <w:color w:val="auto"/>
          <w:sz w:val="22"/>
          <w:szCs w:val="22"/>
          <w:bdr w:val="none" w:sz="0" w:space="0" w:color="auto" w:frame="1"/>
        </w:rPr>
        <w:t>can</w:t>
      </w:r>
      <w:r w:rsidRPr="00664FF3">
        <w:rPr>
          <w:rStyle w:val="normaltextrun"/>
          <w:rFonts w:ascii="Calibri" w:hAnsi="Calibri" w:cs="Calibri"/>
          <w:color w:val="auto"/>
          <w:sz w:val="22"/>
          <w:szCs w:val="22"/>
          <w:bdr w:val="none" w:sz="0" w:space="0" w:color="auto" w:frame="1"/>
        </w:rPr>
        <w:t xml:space="preserve"> manage awarded grant funds in a timely and efficient manner within the grant period. </w:t>
      </w:r>
      <w:r w:rsidR="00EB01DF" w:rsidRPr="00664FF3">
        <w:rPr>
          <w:rStyle w:val="normaltextrun"/>
          <w:rFonts w:ascii="Calibri" w:hAnsi="Calibri" w:cs="Calibri"/>
          <w:color w:val="auto"/>
          <w:sz w:val="22"/>
          <w:szCs w:val="22"/>
          <w:bdr w:val="none" w:sz="0" w:space="0" w:color="auto" w:frame="1"/>
        </w:rPr>
        <w:t>NYC DOT</w:t>
      </w:r>
      <w:r w:rsidRPr="00664FF3">
        <w:rPr>
          <w:rStyle w:val="normaltextrun"/>
          <w:rFonts w:ascii="Calibri" w:hAnsi="Calibri" w:cs="Calibri"/>
          <w:color w:val="auto"/>
          <w:sz w:val="22"/>
          <w:szCs w:val="22"/>
          <w:bdr w:val="none" w:sz="0" w:space="0" w:color="auto" w:frame="1"/>
        </w:rPr>
        <w:t xml:space="preserve"> is committed to financial transparency, accountability, and compliance </w:t>
      </w:r>
      <w:r w:rsidR="005D5957" w:rsidRPr="00664FF3">
        <w:rPr>
          <w:rStyle w:val="normaltextrun"/>
          <w:rFonts w:ascii="Calibri" w:hAnsi="Calibri" w:cs="Calibri"/>
          <w:color w:val="auto"/>
          <w:sz w:val="22"/>
          <w:szCs w:val="22"/>
          <w:bdr w:val="none" w:sz="0" w:space="0" w:color="auto" w:frame="1"/>
        </w:rPr>
        <w:t>to</w:t>
      </w:r>
      <w:r w:rsidRPr="00664FF3">
        <w:rPr>
          <w:rStyle w:val="normaltextrun"/>
          <w:rFonts w:ascii="Calibri" w:hAnsi="Calibri" w:cs="Calibri"/>
          <w:color w:val="auto"/>
          <w:sz w:val="22"/>
          <w:szCs w:val="22"/>
          <w:bdr w:val="none" w:sz="0" w:space="0" w:color="auto" w:frame="1"/>
        </w:rPr>
        <w:t xml:space="preserve"> make the most effective use of the funds, ensuring the successful implementation of the proposed project</w:t>
      </w:r>
      <w:r w:rsidR="00D3584A" w:rsidRPr="00664FF3">
        <w:rPr>
          <w:rStyle w:val="normaltextrun"/>
          <w:rFonts w:ascii="Calibri" w:hAnsi="Calibri" w:cs="Calibri"/>
          <w:color w:val="auto"/>
          <w:sz w:val="22"/>
          <w:szCs w:val="22"/>
          <w:bdr w:val="none" w:sz="0" w:space="0" w:color="auto" w:frame="1"/>
        </w:rPr>
        <w:t>.</w:t>
      </w:r>
      <w:r w:rsidR="00416D49" w:rsidRPr="00664FF3">
        <w:rPr>
          <w:rStyle w:val="normaltextrun"/>
          <w:rFonts w:ascii="Calibri" w:hAnsi="Calibri" w:cs="Calibri"/>
          <w:color w:val="auto"/>
          <w:sz w:val="22"/>
          <w:szCs w:val="22"/>
          <w:bdr w:val="none" w:sz="0" w:space="0" w:color="auto" w:frame="1"/>
        </w:rPr>
        <w:t xml:space="preserve"> </w:t>
      </w:r>
      <w:r w:rsidR="00965E15" w:rsidRPr="00664FF3">
        <w:rPr>
          <w:rFonts w:ascii="Calibri" w:hAnsi="Calibri" w:cs="Calibri"/>
          <w:color w:val="auto"/>
          <w:kern w:val="2"/>
          <w:sz w:val="22"/>
          <w:szCs w:val="22"/>
        </w:rPr>
        <w:t xml:space="preserve">Overall project costs are shown in </w:t>
      </w:r>
      <w:r w:rsidR="00965E15" w:rsidRPr="00664FF3">
        <w:rPr>
          <w:rFonts w:ascii="Calibri" w:hAnsi="Calibri" w:cs="Calibri"/>
          <w:color w:val="auto"/>
          <w:kern w:val="2"/>
          <w:sz w:val="22"/>
          <w:szCs w:val="22"/>
        </w:rPr>
        <w:fldChar w:fldCharType="begin"/>
      </w:r>
      <w:r w:rsidR="00965E15" w:rsidRPr="00664FF3">
        <w:rPr>
          <w:rFonts w:ascii="Calibri" w:hAnsi="Calibri" w:cs="Calibri"/>
          <w:color w:val="auto"/>
          <w:kern w:val="2"/>
          <w:sz w:val="22"/>
          <w:szCs w:val="22"/>
        </w:rPr>
        <w:instrText xml:space="preserve"> REF _Ref162019275 \h  \* MERGEFORMAT </w:instrText>
      </w:r>
      <w:r w:rsidR="00965E15" w:rsidRPr="00664FF3">
        <w:rPr>
          <w:rFonts w:ascii="Calibri" w:hAnsi="Calibri" w:cs="Calibri"/>
          <w:color w:val="auto"/>
          <w:kern w:val="2"/>
          <w:sz w:val="22"/>
          <w:szCs w:val="22"/>
        </w:rPr>
      </w:r>
      <w:r w:rsidR="00965E15" w:rsidRPr="00664FF3">
        <w:rPr>
          <w:rFonts w:ascii="Calibri" w:hAnsi="Calibri" w:cs="Calibri"/>
          <w:color w:val="auto"/>
          <w:kern w:val="2"/>
          <w:sz w:val="22"/>
          <w:szCs w:val="22"/>
        </w:rPr>
        <w:fldChar w:fldCharType="separate"/>
      </w:r>
      <w:r w:rsidR="00965E15" w:rsidRPr="00664FF3">
        <w:rPr>
          <w:rFonts w:ascii="Calibri" w:hAnsi="Calibri" w:cs="Calibri"/>
          <w:color w:val="auto"/>
          <w:kern w:val="2"/>
          <w:sz w:val="22"/>
          <w:szCs w:val="22"/>
        </w:rPr>
        <w:t>Table 1</w:t>
      </w:r>
      <w:r w:rsidR="00965E15" w:rsidRPr="00664FF3">
        <w:rPr>
          <w:rFonts w:ascii="Calibri" w:hAnsi="Calibri" w:cs="Calibri"/>
          <w:color w:val="auto"/>
          <w:kern w:val="2"/>
          <w:sz w:val="22"/>
          <w:szCs w:val="22"/>
        </w:rPr>
        <w:fldChar w:fldCharType="end"/>
      </w:r>
      <w:r w:rsidR="00965E15" w:rsidRPr="00664FF3">
        <w:rPr>
          <w:rFonts w:ascii="Calibri" w:hAnsi="Calibri" w:cs="Calibri"/>
          <w:color w:val="auto"/>
          <w:kern w:val="2"/>
          <w:sz w:val="22"/>
          <w:szCs w:val="22"/>
        </w:rPr>
        <w:t>.</w:t>
      </w:r>
    </w:p>
    <w:p w14:paraId="2913A062" w14:textId="104DF303" w:rsidR="00141536" w:rsidRPr="00664FF3" w:rsidRDefault="000344AB" w:rsidP="00DF2786">
      <w:pPr>
        <w:pStyle w:val="Caption"/>
        <w:spacing w:before="80" w:after="0"/>
        <w:jc w:val="center"/>
        <w:rPr>
          <w:rFonts w:ascii="Calibri" w:hAnsi="Calibri" w:cs="Calibri"/>
          <w:color w:val="auto"/>
        </w:rPr>
      </w:pPr>
      <w:bookmarkStart w:id="0" w:name="_Ref162019275"/>
      <w:r w:rsidRPr="00664FF3">
        <w:rPr>
          <w:rFonts w:ascii="Calibri" w:hAnsi="Calibri" w:cs="Calibri"/>
          <w:color w:val="auto"/>
        </w:rPr>
        <w:t xml:space="preserve">Table </w:t>
      </w:r>
      <w:r w:rsidRPr="00664FF3">
        <w:rPr>
          <w:rFonts w:ascii="Calibri" w:hAnsi="Calibri" w:cs="Calibri"/>
          <w:color w:val="auto"/>
        </w:rPr>
        <w:fldChar w:fldCharType="begin"/>
      </w:r>
      <w:r w:rsidRPr="00664FF3">
        <w:rPr>
          <w:rFonts w:ascii="Calibri" w:hAnsi="Calibri" w:cs="Calibri"/>
          <w:color w:val="auto"/>
        </w:rPr>
        <w:instrText xml:space="preserve"> SEQ Table \* ARABIC </w:instrText>
      </w:r>
      <w:r w:rsidRPr="00664FF3">
        <w:rPr>
          <w:rFonts w:ascii="Calibri" w:hAnsi="Calibri" w:cs="Calibri"/>
          <w:color w:val="auto"/>
        </w:rPr>
        <w:fldChar w:fldCharType="separate"/>
      </w:r>
      <w:r w:rsidR="00754B3D" w:rsidRPr="00664FF3">
        <w:rPr>
          <w:rFonts w:ascii="Calibri" w:hAnsi="Calibri" w:cs="Calibri"/>
          <w:noProof/>
          <w:color w:val="auto"/>
        </w:rPr>
        <w:t>1</w:t>
      </w:r>
      <w:r w:rsidRPr="00664FF3">
        <w:rPr>
          <w:rFonts w:ascii="Calibri" w:hAnsi="Calibri" w:cs="Calibri"/>
          <w:color w:val="auto"/>
        </w:rPr>
        <w:fldChar w:fldCharType="end"/>
      </w:r>
      <w:bookmarkEnd w:id="0"/>
      <w:r w:rsidRPr="00664FF3">
        <w:rPr>
          <w:rFonts w:ascii="Calibri" w:hAnsi="Calibri" w:cs="Calibri"/>
          <w:color w:val="auto"/>
        </w:rPr>
        <w:t>: Overall Project Costs Summary</w:t>
      </w:r>
    </w:p>
    <w:tbl>
      <w:tblPr>
        <w:tblW w:w="9860" w:type="dxa"/>
        <w:tblInd w:w="113" w:type="dxa"/>
        <w:tblLook w:val="04A0" w:firstRow="1" w:lastRow="0" w:firstColumn="1" w:lastColumn="0" w:noHBand="0" w:noVBand="1"/>
      </w:tblPr>
      <w:tblGrid>
        <w:gridCol w:w="2783"/>
        <w:gridCol w:w="5484"/>
        <w:gridCol w:w="1593"/>
      </w:tblGrid>
      <w:tr w:rsidR="00664FF3" w:rsidRPr="00F32C98" w14:paraId="3BCECD41" w14:textId="77777777" w:rsidTr="00F32C98">
        <w:trPr>
          <w:trHeight w:val="290"/>
        </w:trPr>
        <w:tc>
          <w:tcPr>
            <w:tcW w:w="9860" w:type="dxa"/>
            <w:gridSpan w:val="3"/>
            <w:tcBorders>
              <w:top w:val="single" w:sz="4" w:space="0" w:color="auto"/>
              <w:left w:val="single" w:sz="4" w:space="0" w:color="auto"/>
              <w:bottom w:val="single" w:sz="4" w:space="0" w:color="auto"/>
              <w:right w:val="single" w:sz="4" w:space="0" w:color="auto"/>
            </w:tcBorders>
            <w:shd w:val="clear" w:color="000000" w:fill="AEAAAA"/>
            <w:noWrap/>
            <w:vAlign w:val="bottom"/>
            <w:hideMark/>
          </w:tcPr>
          <w:p w14:paraId="6CCAD15D" w14:textId="77777777" w:rsidR="00F32C98" w:rsidRPr="00F32C98" w:rsidRDefault="00F32C98" w:rsidP="00F32C98">
            <w:pPr>
              <w:spacing w:before="0"/>
              <w:jc w:val="center"/>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Overall Project Costs Summary</w:t>
            </w:r>
          </w:p>
        </w:tc>
      </w:tr>
      <w:tr w:rsidR="00664FF3" w:rsidRPr="00F32C98" w14:paraId="189C28F7"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07A502D2" w14:textId="77777777" w:rsidR="00F32C98" w:rsidRPr="00F32C98" w:rsidRDefault="00F32C98" w:rsidP="00F32C98">
            <w:pPr>
              <w:spacing w:before="0"/>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Budget Object Category</w:t>
            </w:r>
          </w:p>
        </w:tc>
        <w:tc>
          <w:tcPr>
            <w:tcW w:w="5484" w:type="dxa"/>
            <w:tcBorders>
              <w:top w:val="nil"/>
              <w:left w:val="nil"/>
              <w:bottom w:val="single" w:sz="4" w:space="0" w:color="auto"/>
              <w:right w:val="single" w:sz="4" w:space="0" w:color="auto"/>
            </w:tcBorders>
            <w:shd w:val="clear" w:color="auto" w:fill="auto"/>
            <w:noWrap/>
            <w:vAlign w:val="bottom"/>
            <w:hideMark/>
          </w:tcPr>
          <w:p w14:paraId="6069DB59" w14:textId="77777777" w:rsidR="00F32C98" w:rsidRPr="00F32C98" w:rsidRDefault="00F32C98" w:rsidP="00F32C98">
            <w:pPr>
              <w:spacing w:before="0"/>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Description</w:t>
            </w:r>
          </w:p>
        </w:tc>
        <w:tc>
          <w:tcPr>
            <w:tcW w:w="1593" w:type="dxa"/>
            <w:tcBorders>
              <w:top w:val="nil"/>
              <w:left w:val="nil"/>
              <w:bottom w:val="single" w:sz="4" w:space="0" w:color="auto"/>
              <w:right w:val="single" w:sz="4" w:space="0" w:color="auto"/>
            </w:tcBorders>
            <w:shd w:val="clear" w:color="auto" w:fill="auto"/>
            <w:noWrap/>
            <w:vAlign w:val="bottom"/>
            <w:hideMark/>
          </w:tcPr>
          <w:p w14:paraId="5810D3DA" w14:textId="77777777" w:rsidR="00F32C98" w:rsidRPr="00F32C98" w:rsidRDefault="00F32C98" w:rsidP="00F32C98">
            <w:pPr>
              <w:spacing w:before="0"/>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Total Cost</w:t>
            </w:r>
          </w:p>
        </w:tc>
      </w:tr>
      <w:tr w:rsidR="00664FF3" w:rsidRPr="00F32C98" w14:paraId="5B6962EA"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39DC4C3F"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Personnel</w:t>
            </w:r>
          </w:p>
        </w:tc>
        <w:tc>
          <w:tcPr>
            <w:tcW w:w="5484" w:type="dxa"/>
            <w:tcBorders>
              <w:top w:val="nil"/>
              <w:left w:val="nil"/>
              <w:bottom w:val="single" w:sz="4" w:space="0" w:color="auto"/>
              <w:right w:val="single" w:sz="4" w:space="0" w:color="auto"/>
            </w:tcBorders>
            <w:shd w:val="clear" w:color="auto" w:fill="auto"/>
            <w:vAlign w:val="bottom"/>
            <w:hideMark/>
          </w:tcPr>
          <w:p w14:paraId="5365CF6C"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Cargo Bikes: 1 Project Manager, 2 Project Coordinators (NYC DOT)</w:t>
            </w:r>
          </w:p>
        </w:tc>
        <w:tc>
          <w:tcPr>
            <w:tcW w:w="1593" w:type="dxa"/>
            <w:tcBorders>
              <w:top w:val="nil"/>
              <w:left w:val="nil"/>
              <w:bottom w:val="single" w:sz="4" w:space="0" w:color="auto"/>
              <w:right w:val="single" w:sz="4" w:space="0" w:color="auto"/>
            </w:tcBorders>
            <w:shd w:val="clear" w:color="auto" w:fill="auto"/>
            <w:noWrap/>
            <w:vAlign w:val="bottom"/>
            <w:hideMark/>
          </w:tcPr>
          <w:p w14:paraId="03D34777"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$1,289,663</w:t>
            </w:r>
          </w:p>
        </w:tc>
      </w:tr>
      <w:tr w:rsidR="00664FF3" w:rsidRPr="00F32C98" w14:paraId="2CAA4060" w14:textId="77777777" w:rsidTr="00F32C98">
        <w:trPr>
          <w:trHeight w:val="53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75049E2B"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4D34DECB"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Microhubs Expansion: 1 Project Manager, 1 Project Coordinator (NYC DOT)</w:t>
            </w:r>
          </w:p>
        </w:tc>
        <w:tc>
          <w:tcPr>
            <w:tcW w:w="1593" w:type="dxa"/>
            <w:tcBorders>
              <w:top w:val="nil"/>
              <w:left w:val="nil"/>
              <w:bottom w:val="single" w:sz="4" w:space="0" w:color="auto"/>
              <w:right w:val="single" w:sz="4" w:space="0" w:color="auto"/>
            </w:tcBorders>
            <w:shd w:val="clear" w:color="auto" w:fill="auto"/>
            <w:noWrap/>
            <w:vAlign w:val="bottom"/>
            <w:hideMark/>
          </w:tcPr>
          <w:p w14:paraId="0053DF4D"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$889,132</w:t>
            </w:r>
          </w:p>
        </w:tc>
      </w:tr>
      <w:tr w:rsidR="00664FF3" w:rsidRPr="00F32C98" w14:paraId="554FC54C" w14:textId="77777777" w:rsidTr="00F32C98">
        <w:trPr>
          <w:trHeight w:val="53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1A746D95"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7F9CB2A9"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Truck Electrification: 1 Project Manager, 2 Project Coordinators (NYC DOT)</w:t>
            </w:r>
          </w:p>
        </w:tc>
        <w:tc>
          <w:tcPr>
            <w:tcW w:w="1593" w:type="dxa"/>
            <w:tcBorders>
              <w:top w:val="nil"/>
              <w:left w:val="nil"/>
              <w:bottom w:val="single" w:sz="4" w:space="0" w:color="auto"/>
              <w:right w:val="single" w:sz="4" w:space="0" w:color="auto"/>
            </w:tcBorders>
            <w:shd w:val="clear" w:color="auto" w:fill="auto"/>
            <w:noWrap/>
            <w:vAlign w:val="bottom"/>
            <w:hideMark/>
          </w:tcPr>
          <w:p w14:paraId="397EECD0"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$1,289,663</w:t>
            </w:r>
          </w:p>
        </w:tc>
      </w:tr>
      <w:tr w:rsidR="00664FF3" w:rsidRPr="00F32C98" w14:paraId="3E5043D9" w14:textId="77777777" w:rsidTr="00F32C98">
        <w:trPr>
          <w:trHeight w:val="53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7050D75D"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6862F40F"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FREIGHT 30: 1 Program Lead, 1 Project Manager, 1 Project Coordinator (NYC DOT)</w:t>
            </w:r>
          </w:p>
        </w:tc>
        <w:tc>
          <w:tcPr>
            <w:tcW w:w="1593" w:type="dxa"/>
            <w:tcBorders>
              <w:top w:val="nil"/>
              <w:left w:val="nil"/>
              <w:bottom w:val="single" w:sz="4" w:space="0" w:color="auto"/>
              <w:right w:val="single" w:sz="4" w:space="0" w:color="auto"/>
            </w:tcBorders>
            <w:shd w:val="clear" w:color="auto" w:fill="auto"/>
            <w:noWrap/>
            <w:vAlign w:val="bottom"/>
            <w:hideMark/>
          </w:tcPr>
          <w:p w14:paraId="3739C53B"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$1,412,320</w:t>
            </w:r>
          </w:p>
        </w:tc>
      </w:tr>
      <w:tr w:rsidR="00664FF3" w:rsidRPr="00F32C98" w14:paraId="51763E98" w14:textId="77777777" w:rsidTr="00F32C98">
        <w:trPr>
          <w:trHeight w:val="290"/>
        </w:trPr>
        <w:tc>
          <w:tcPr>
            <w:tcW w:w="2783" w:type="dxa"/>
            <w:tcBorders>
              <w:top w:val="nil"/>
              <w:left w:val="single" w:sz="4" w:space="0" w:color="auto"/>
              <w:bottom w:val="single" w:sz="4" w:space="0" w:color="auto"/>
              <w:right w:val="single" w:sz="4" w:space="0" w:color="auto"/>
            </w:tcBorders>
            <w:shd w:val="clear" w:color="000000" w:fill="BFBFBF"/>
            <w:noWrap/>
            <w:vAlign w:val="bottom"/>
            <w:hideMark/>
          </w:tcPr>
          <w:p w14:paraId="2847A663" w14:textId="77777777" w:rsidR="00F32C98" w:rsidRPr="00F32C98" w:rsidRDefault="00F32C98" w:rsidP="00F32C98">
            <w:pPr>
              <w:spacing w:before="0"/>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Personnel Subtotal</w:t>
            </w:r>
          </w:p>
        </w:tc>
        <w:tc>
          <w:tcPr>
            <w:tcW w:w="5484" w:type="dxa"/>
            <w:tcBorders>
              <w:top w:val="nil"/>
              <w:left w:val="nil"/>
              <w:bottom w:val="single" w:sz="4" w:space="0" w:color="auto"/>
              <w:right w:val="single" w:sz="4" w:space="0" w:color="auto"/>
            </w:tcBorders>
            <w:shd w:val="clear" w:color="000000" w:fill="BFBFBF"/>
            <w:vAlign w:val="bottom"/>
            <w:hideMark/>
          </w:tcPr>
          <w:p w14:paraId="5FC6F389"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1593" w:type="dxa"/>
            <w:tcBorders>
              <w:top w:val="nil"/>
              <w:left w:val="nil"/>
              <w:bottom w:val="single" w:sz="4" w:space="0" w:color="auto"/>
              <w:right w:val="single" w:sz="4" w:space="0" w:color="auto"/>
            </w:tcBorders>
            <w:shd w:val="clear" w:color="000000" w:fill="BFBFBF"/>
            <w:noWrap/>
            <w:vAlign w:val="bottom"/>
            <w:hideMark/>
          </w:tcPr>
          <w:p w14:paraId="6E79CB39" w14:textId="77777777" w:rsidR="00F32C98" w:rsidRPr="00F32C98" w:rsidRDefault="00F32C98" w:rsidP="00F32C98">
            <w:pPr>
              <w:spacing w:before="0"/>
              <w:jc w:val="right"/>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$4,880,779</w:t>
            </w:r>
          </w:p>
        </w:tc>
      </w:tr>
      <w:tr w:rsidR="00664FF3" w:rsidRPr="00F32C98" w14:paraId="5A645C33"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404C34D8"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Fringe Benefits</w:t>
            </w:r>
          </w:p>
        </w:tc>
        <w:tc>
          <w:tcPr>
            <w:tcW w:w="5484" w:type="dxa"/>
            <w:tcBorders>
              <w:top w:val="nil"/>
              <w:left w:val="nil"/>
              <w:bottom w:val="single" w:sz="4" w:space="0" w:color="auto"/>
              <w:right w:val="single" w:sz="4" w:space="0" w:color="auto"/>
            </w:tcBorders>
            <w:shd w:val="clear" w:color="auto" w:fill="auto"/>
            <w:vAlign w:val="bottom"/>
            <w:hideMark/>
          </w:tcPr>
          <w:p w14:paraId="46942453"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Fringe Benefits for NYC DOT Personnel (NYC 58.63% Fringe Rate)</w:t>
            </w:r>
          </w:p>
        </w:tc>
        <w:tc>
          <w:tcPr>
            <w:tcW w:w="1593" w:type="dxa"/>
            <w:tcBorders>
              <w:top w:val="nil"/>
              <w:left w:val="nil"/>
              <w:bottom w:val="single" w:sz="4" w:space="0" w:color="auto"/>
              <w:right w:val="single" w:sz="4" w:space="0" w:color="auto"/>
            </w:tcBorders>
            <w:shd w:val="clear" w:color="auto" w:fill="auto"/>
            <w:noWrap/>
            <w:vAlign w:val="bottom"/>
            <w:hideMark/>
          </w:tcPr>
          <w:p w14:paraId="3C426689"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$2,861,601</w:t>
            </w:r>
          </w:p>
        </w:tc>
      </w:tr>
      <w:tr w:rsidR="00664FF3" w:rsidRPr="00F32C98" w14:paraId="02014C7E" w14:textId="77777777" w:rsidTr="00F32C98">
        <w:trPr>
          <w:trHeight w:val="290"/>
        </w:trPr>
        <w:tc>
          <w:tcPr>
            <w:tcW w:w="2783" w:type="dxa"/>
            <w:tcBorders>
              <w:top w:val="nil"/>
              <w:left w:val="single" w:sz="4" w:space="0" w:color="auto"/>
              <w:bottom w:val="single" w:sz="4" w:space="0" w:color="auto"/>
              <w:right w:val="single" w:sz="4" w:space="0" w:color="auto"/>
            </w:tcBorders>
            <w:shd w:val="clear" w:color="000000" w:fill="BFBFBF"/>
            <w:noWrap/>
            <w:vAlign w:val="bottom"/>
            <w:hideMark/>
          </w:tcPr>
          <w:p w14:paraId="573206D7" w14:textId="77777777" w:rsidR="00F32C98" w:rsidRPr="00F32C98" w:rsidRDefault="00F32C98" w:rsidP="00F32C98">
            <w:pPr>
              <w:spacing w:before="0"/>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Fringe Subtotal</w:t>
            </w:r>
          </w:p>
        </w:tc>
        <w:tc>
          <w:tcPr>
            <w:tcW w:w="5484" w:type="dxa"/>
            <w:tcBorders>
              <w:top w:val="nil"/>
              <w:left w:val="nil"/>
              <w:bottom w:val="single" w:sz="4" w:space="0" w:color="auto"/>
              <w:right w:val="single" w:sz="4" w:space="0" w:color="auto"/>
            </w:tcBorders>
            <w:shd w:val="clear" w:color="000000" w:fill="BFBFBF"/>
            <w:vAlign w:val="bottom"/>
            <w:hideMark/>
          </w:tcPr>
          <w:p w14:paraId="353D38AD"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1593" w:type="dxa"/>
            <w:tcBorders>
              <w:top w:val="nil"/>
              <w:left w:val="nil"/>
              <w:bottom w:val="single" w:sz="4" w:space="0" w:color="auto"/>
              <w:right w:val="single" w:sz="4" w:space="0" w:color="auto"/>
            </w:tcBorders>
            <w:shd w:val="clear" w:color="000000" w:fill="BFBFBF"/>
            <w:noWrap/>
            <w:vAlign w:val="bottom"/>
            <w:hideMark/>
          </w:tcPr>
          <w:p w14:paraId="08B42522" w14:textId="77777777" w:rsidR="00F32C98" w:rsidRPr="00F32C98" w:rsidRDefault="00F32C98" w:rsidP="00F32C98">
            <w:pPr>
              <w:spacing w:before="0"/>
              <w:jc w:val="right"/>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$2,861,601</w:t>
            </w:r>
          </w:p>
        </w:tc>
      </w:tr>
      <w:tr w:rsidR="00664FF3" w:rsidRPr="00F32C98" w14:paraId="1412342F"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06E027AA"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Travel</w:t>
            </w:r>
          </w:p>
        </w:tc>
        <w:tc>
          <w:tcPr>
            <w:tcW w:w="5484" w:type="dxa"/>
            <w:tcBorders>
              <w:top w:val="nil"/>
              <w:left w:val="nil"/>
              <w:bottom w:val="single" w:sz="4" w:space="0" w:color="auto"/>
              <w:right w:val="single" w:sz="4" w:space="0" w:color="auto"/>
            </w:tcBorders>
            <w:shd w:val="clear" w:color="auto" w:fill="auto"/>
            <w:vAlign w:val="bottom"/>
            <w:hideMark/>
          </w:tcPr>
          <w:p w14:paraId="605E467A"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Conferences, peer-to-peer exchanges, learning opportunities</w:t>
            </w:r>
          </w:p>
        </w:tc>
        <w:tc>
          <w:tcPr>
            <w:tcW w:w="1593" w:type="dxa"/>
            <w:tcBorders>
              <w:top w:val="nil"/>
              <w:left w:val="nil"/>
              <w:bottom w:val="single" w:sz="4" w:space="0" w:color="auto"/>
              <w:right w:val="single" w:sz="4" w:space="0" w:color="auto"/>
            </w:tcBorders>
            <w:shd w:val="clear" w:color="auto" w:fill="auto"/>
            <w:noWrap/>
            <w:vAlign w:val="bottom"/>
            <w:hideMark/>
          </w:tcPr>
          <w:p w14:paraId="1BC29D1D"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$147,851</w:t>
            </w:r>
          </w:p>
        </w:tc>
      </w:tr>
      <w:tr w:rsidR="00664FF3" w:rsidRPr="00F32C98" w14:paraId="78C9A4A5" w14:textId="77777777" w:rsidTr="00F32C98">
        <w:trPr>
          <w:trHeight w:val="290"/>
        </w:trPr>
        <w:tc>
          <w:tcPr>
            <w:tcW w:w="2783" w:type="dxa"/>
            <w:tcBorders>
              <w:top w:val="nil"/>
              <w:left w:val="single" w:sz="4" w:space="0" w:color="auto"/>
              <w:bottom w:val="single" w:sz="4" w:space="0" w:color="auto"/>
              <w:right w:val="single" w:sz="4" w:space="0" w:color="auto"/>
            </w:tcBorders>
            <w:shd w:val="clear" w:color="000000" w:fill="BFBFBF"/>
            <w:noWrap/>
            <w:vAlign w:val="bottom"/>
            <w:hideMark/>
          </w:tcPr>
          <w:p w14:paraId="1968AFF7" w14:textId="77777777" w:rsidR="00F32C98" w:rsidRPr="00F32C98" w:rsidRDefault="00F32C98" w:rsidP="00F32C98">
            <w:pPr>
              <w:spacing w:before="0"/>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Travel Subtotal</w:t>
            </w:r>
          </w:p>
        </w:tc>
        <w:tc>
          <w:tcPr>
            <w:tcW w:w="5484" w:type="dxa"/>
            <w:tcBorders>
              <w:top w:val="nil"/>
              <w:left w:val="nil"/>
              <w:bottom w:val="single" w:sz="4" w:space="0" w:color="auto"/>
              <w:right w:val="single" w:sz="4" w:space="0" w:color="auto"/>
            </w:tcBorders>
            <w:shd w:val="clear" w:color="000000" w:fill="BFBFBF"/>
            <w:vAlign w:val="bottom"/>
            <w:hideMark/>
          </w:tcPr>
          <w:p w14:paraId="603355BE"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1593" w:type="dxa"/>
            <w:tcBorders>
              <w:top w:val="nil"/>
              <w:left w:val="nil"/>
              <w:bottom w:val="single" w:sz="4" w:space="0" w:color="auto"/>
              <w:right w:val="single" w:sz="4" w:space="0" w:color="auto"/>
            </w:tcBorders>
            <w:shd w:val="clear" w:color="000000" w:fill="BFBFBF"/>
            <w:noWrap/>
            <w:vAlign w:val="bottom"/>
            <w:hideMark/>
          </w:tcPr>
          <w:p w14:paraId="2C6D5103" w14:textId="77777777" w:rsidR="00F32C98" w:rsidRPr="00F32C98" w:rsidRDefault="00F32C98" w:rsidP="00F32C98">
            <w:pPr>
              <w:spacing w:before="0"/>
              <w:jc w:val="right"/>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$147,851</w:t>
            </w:r>
          </w:p>
        </w:tc>
      </w:tr>
      <w:tr w:rsidR="00664FF3" w:rsidRPr="00F32C98" w14:paraId="6DB1C2FD"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6ABE55DC"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xml:space="preserve">Equipment </w:t>
            </w:r>
          </w:p>
        </w:tc>
        <w:tc>
          <w:tcPr>
            <w:tcW w:w="5484" w:type="dxa"/>
            <w:tcBorders>
              <w:top w:val="nil"/>
              <w:left w:val="nil"/>
              <w:bottom w:val="single" w:sz="4" w:space="0" w:color="auto"/>
              <w:right w:val="single" w:sz="4" w:space="0" w:color="auto"/>
            </w:tcBorders>
            <w:shd w:val="clear" w:color="auto" w:fill="auto"/>
            <w:vAlign w:val="bottom"/>
            <w:hideMark/>
          </w:tcPr>
          <w:p w14:paraId="22F0C5F2"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None</w:t>
            </w:r>
          </w:p>
        </w:tc>
        <w:tc>
          <w:tcPr>
            <w:tcW w:w="1593" w:type="dxa"/>
            <w:tcBorders>
              <w:top w:val="nil"/>
              <w:left w:val="nil"/>
              <w:bottom w:val="single" w:sz="4" w:space="0" w:color="auto"/>
              <w:right w:val="single" w:sz="4" w:space="0" w:color="auto"/>
            </w:tcBorders>
            <w:shd w:val="clear" w:color="auto" w:fill="auto"/>
            <w:noWrap/>
            <w:vAlign w:val="bottom"/>
            <w:hideMark/>
          </w:tcPr>
          <w:p w14:paraId="09E69368"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$0</w:t>
            </w:r>
          </w:p>
        </w:tc>
      </w:tr>
      <w:tr w:rsidR="00664FF3" w:rsidRPr="00F32C98" w14:paraId="7EA214D3" w14:textId="77777777" w:rsidTr="00F32C98">
        <w:trPr>
          <w:trHeight w:val="53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57924551"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Supplies</w:t>
            </w:r>
          </w:p>
        </w:tc>
        <w:tc>
          <w:tcPr>
            <w:tcW w:w="5484" w:type="dxa"/>
            <w:tcBorders>
              <w:top w:val="nil"/>
              <w:left w:val="nil"/>
              <w:bottom w:val="single" w:sz="4" w:space="0" w:color="auto"/>
              <w:right w:val="single" w:sz="4" w:space="0" w:color="auto"/>
            </w:tcBorders>
            <w:shd w:val="clear" w:color="auto" w:fill="auto"/>
            <w:vAlign w:val="bottom"/>
            <w:hideMark/>
          </w:tcPr>
          <w:p w14:paraId="217A135D"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Staff Supplies for NYC DOT Personnel (Computer/Laptop, Printer Maintenance, Cellular Phone, General Supplies/Equipment)</w:t>
            </w:r>
          </w:p>
        </w:tc>
        <w:tc>
          <w:tcPr>
            <w:tcW w:w="1593" w:type="dxa"/>
            <w:tcBorders>
              <w:top w:val="nil"/>
              <w:left w:val="nil"/>
              <w:bottom w:val="single" w:sz="4" w:space="0" w:color="auto"/>
              <w:right w:val="single" w:sz="4" w:space="0" w:color="auto"/>
            </w:tcBorders>
            <w:shd w:val="clear" w:color="auto" w:fill="auto"/>
            <w:noWrap/>
            <w:vAlign w:val="bottom"/>
            <w:hideMark/>
          </w:tcPr>
          <w:p w14:paraId="63458F94"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$134,200</w:t>
            </w:r>
          </w:p>
        </w:tc>
      </w:tr>
      <w:tr w:rsidR="00664FF3" w:rsidRPr="00F32C98" w14:paraId="672CB763" w14:textId="77777777" w:rsidTr="00F32C98">
        <w:trPr>
          <w:trHeight w:val="290"/>
        </w:trPr>
        <w:tc>
          <w:tcPr>
            <w:tcW w:w="2783" w:type="dxa"/>
            <w:tcBorders>
              <w:top w:val="nil"/>
              <w:left w:val="single" w:sz="4" w:space="0" w:color="auto"/>
              <w:bottom w:val="single" w:sz="4" w:space="0" w:color="auto"/>
              <w:right w:val="single" w:sz="4" w:space="0" w:color="auto"/>
            </w:tcBorders>
            <w:shd w:val="clear" w:color="000000" w:fill="BFBFBF"/>
            <w:noWrap/>
            <w:vAlign w:val="bottom"/>
            <w:hideMark/>
          </w:tcPr>
          <w:p w14:paraId="2B05F0B8" w14:textId="77777777" w:rsidR="00F32C98" w:rsidRPr="00F32C98" w:rsidRDefault="00F32C98" w:rsidP="00F32C98">
            <w:pPr>
              <w:spacing w:before="0"/>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Supplies Subtotal</w:t>
            </w:r>
          </w:p>
        </w:tc>
        <w:tc>
          <w:tcPr>
            <w:tcW w:w="5484" w:type="dxa"/>
            <w:tcBorders>
              <w:top w:val="nil"/>
              <w:left w:val="nil"/>
              <w:bottom w:val="single" w:sz="4" w:space="0" w:color="auto"/>
              <w:right w:val="single" w:sz="4" w:space="0" w:color="auto"/>
            </w:tcBorders>
            <w:shd w:val="clear" w:color="000000" w:fill="BFBFBF"/>
            <w:vAlign w:val="bottom"/>
            <w:hideMark/>
          </w:tcPr>
          <w:p w14:paraId="1DF0854F"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1593" w:type="dxa"/>
            <w:tcBorders>
              <w:top w:val="nil"/>
              <w:left w:val="nil"/>
              <w:bottom w:val="single" w:sz="4" w:space="0" w:color="auto"/>
              <w:right w:val="single" w:sz="4" w:space="0" w:color="auto"/>
            </w:tcBorders>
            <w:shd w:val="clear" w:color="000000" w:fill="BFBFBF"/>
            <w:noWrap/>
            <w:vAlign w:val="bottom"/>
            <w:hideMark/>
          </w:tcPr>
          <w:p w14:paraId="2F36DF99" w14:textId="77777777" w:rsidR="00F32C98" w:rsidRPr="00F32C98" w:rsidRDefault="00F32C98" w:rsidP="00F32C98">
            <w:pPr>
              <w:spacing w:before="0"/>
              <w:jc w:val="right"/>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$134,200</w:t>
            </w:r>
          </w:p>
        </w:tc>
      </w:tr>
      <w:tr w:rsidR="00664FF3" w:rsidRPr="00F32C98" w14:paraId="71415524"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398443C1"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Contractual</w:t>
            </w:r>
          </w:p>
        </w:tc>
        <w:tc>
          <w:tcPr>
            <w:tcW w:w="5484" w:type="dxa"/>
            <w:tcBorders>
              <w:top w:val="nil"/>
              <w:left w:val="nil"/>
              <w:bottom w:val="single" w:sz="4" w:space="0" w:color="auto"/>
              <w:right w:val="single" w:sz="4" w:space="0" w:color="auto"/>
            </w:tcBorders>
            <w:shd w:val="clear" w:color="auto" w:fill="auto"/>
            <w:vAlign w:val="bottom"/>
            <w:hideMark/>
          </w:tcPr>
          <w:p w14:paraId="22282772"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Cargo Bikes: Incentives for Cargo Bike Purchase</w:t>
            </w:r>
          </w:p>
        </w:tc>
        <w:tc>
          <w:tcPr>
            <w:tcW w:w="1593" w:type="dxa"/>
            <w:tcBorders>
              <w:top w:val="nil"/>
              <w:left w:val="nil"/>
              <w:bottom w:val="single" w:sz="4" w:space="0" w:color="auto"/>
              <w:right w:val="single" w:sz="4" w:space="0" w:color="auto"/>
            </w:tcBorders>
            <w:shd w:val="clear" w:color="auto" w:fill="auto"/>
            <w:noWrap/>
            <w:vAlign w:val="bottom"/>
            <w:hideMark/>
          </w:tcPr>
          <w:p w14:paraId="797DFC34"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$20,000,000</w:t>
            </w:r>
          </w:p>
        </w:tc>
      </w:tr>
      <w:tr w:rsidR="00664FF3" w:rsidRPr="00F32C98" w14:paraId="54F6CBA9"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726C48D3"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3F32C582"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Cargo Bikes: Consultant for Program Administration</w:t>
            </w:r>
          </w:p>
        </w:tc>
        <w:tc>
          <w:tcPr>
            <w:tcW w:w="1593" w:type="dxa"/>
            <w:tcBorders>
              <w:top w:val="nil"/>
              <w:left w:val="nil"/>
              <w:bottom w:val="single" w:sz="4" w:space="0" w:color="auto"/>
              <w:right w:val="single" w:sz="4" w:space="0" w:color="auto"/>
            </w:tcBorders>
            <w:shd w:val="clear" w:color="auto" w:fill="auto"/>
            <w:noWrap/>
            <w:vAlign w:val="bottom"/>
            <w:hideMark/>
          </w:tcPr>
          <w:p w14:paraId="19CFD3A3"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$2,000,000</w:t>
            </w:r>
          </w:p>
        </w:tc>
      </w:tr>
      <w:tr w:rsidR="00664FF3" w:rsidRPr="00F32C98" w14:paraId="0E1223C3"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1AEFFC1F"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03A7F00E"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Microhubs: Site Construction</w:t>
            </w:r>
          </w:p>
        </w:tc>
        <w:tc>
          <w:tcPr>
            <w:tcW w:w="1593" w:type="dxa"/>
            <w:tcBorders>
              <w:top w:val="nil"/>
              <w:left w:val="nil"/>
              <w:bottom w:val="single" w:sz="4" w:space="0" w:color="auto"/>
              <w:right w:val="single" w:sz="4" w:space="0" w:color="auto"/>
            </w:tcBorders>
            <w:shd w:val="clear" w:color="auto" w:fill="auto"/>
            <w:noWrap/>
            <w:vAlign w:val="bottom"/>
            <w:hideMark/>
          </w:tcPr>
          <w:p w14:paraId="5CB104CD"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$16,777,703</w:t>
            </w:r>
          </w:p>
        </w:tc>
      </w:tr>
      <w:tr w:rsidR="00664FF3" w:rsidRPr="00F32C98" w14:paraId="7C804606"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68F2A9E8"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406D20B8"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Microhubs: Engineering and Design</w:t>
            </w:r>
          </w:p>
        </w:tc>
        <w:tc>
          <w:tcPr>
            <w:tcW w:w="1593" w:type="dxa"/>
            <w:tcBorders>
              <w:top w:val="nil"/>
              <w:left w:val="nil"/>
              <w:bottom w:val="single" w:sz="4" w:space="0" w:color="auto"/>
              <w:right w:val="single" w:sz="4" w:space="0" w:color="auto"/>
            </w:tcBorders>
            <w:shd w:val="clear" w:color="auto" w:fill="auto"/>
            <w:noWrap/>
            <w:vAlign w:val="bottom"/>
            <w:hideMark/>
          </w:tcPr>
          <w:p w14:paraId="358CFADA"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$786,947</w:t>
            </w:r>
          </w:p>
        </w:tc>
      </w:tr>
      <w:tr w:rsidR="00664FF3" w:rsidRPr="00F32C98" w14:paraId="33676D2D"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600B434C"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2B21A2D6"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Truck Electrification: Parametric Design</w:t>
            </w:r>
          </w:p>
        </w:tc>
        <w:tc>
          <w:tcPr>
            <w:tcW w:w="1593" w:type="dxa"/>
            <w:tcBorders>
              <w:top w:val="nil"/>
              <w:left w:val="nil"/>
              <w:bottom w:val="single" w:sz="4" w:space="0" w:color="auto"/>
              <w:right w:val="single" w:sz="4" w:space="0" w:color="auto"/>
            </w:tcBorders>
            <w:shd w:val="clear" w:color="auto" w:fill="auto"/>
            <w:noWrap/>
            <w:vAlign w:val="bottom"/>
            <w:hideMark/>
          </w:tcPr>
          <w:p w14:paraId="4470B89E"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$100,000</w:t>
            </w:r>
          </w:p>
        </w:tc>
      </w:tr>
      <w:tr w:rsidR="00664FF3" w:rsidRPr="00F32C98" w14:paraId="3E071522"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21D420C8"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61FA4C6E"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Truck Electrification: Design</w:t>
            </w:r>
          </w:p>
        </w:tc>
        <w:tc>
          <w:tcPr>
            <w:tcW w:w="1593" w:type="dxa"/>
            <w:tcBorders>
              <w:top w:val="nil"/>
              <w:left w:val="nil"/>
              <w:bottom w:val="single" w:sz="4" w:space="0" w:color="auto"/>
              <w:right w:val="single" w:sz="4" w:space="0" w:color="auto"/>
            </w:tcBorders>
            <w:shd w:val="clear" w:color="auto" w:fill="auto"/>
            <w:noWrap/>
            <w:vAlign w:val="bottom"/>
            <w:hideMark/>
          </w:tcPr>
          <w:p w14:paraId="5A530581"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$3,568,683</w:t>
            </w:r>
          </w:p>
        </w:tc>
      </w:tr>
      <w:tr w:rsidR="00664FF3" w:rsidRPr="00F32C98" w14:paraId="2D1D182F"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30C28914"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321181EF"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Truck Electrification: Construction</w:t>
            </w:r>
          </w:p>
        </w:tc>
        <w:tc>
          <w:tcPr>
            <w:tcW w:w="1593" w:type="dxa"/>
            <w:tcBorders>
              <w:top w:val="nil"/>
              <w:left w:val="nil"/>
              <w:bottom w:val="single" w:sz="4" w:space="0" w:color="auto"/>
              <w:right w:val="single" w:sz="4" w:space="0" w:color="auto"/>
            </w:tcBorders>
            <w:shd w:val="clear" w:color="auto" w:fill="auto"/>
            <w:noWrap/>
            <w:vAlign w:val="bottom"/>
            <w:hideMark/>
          </w:tcPr>
          <w:p w14:paraId="64B2741B"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$77,364,103</w:t>
            </w:r>
          </w:p>
        </w:tc>
      </w:tr>
      <w:tr w:rsidR="00664FF3" w:rsidRPr="00F32C98" w14:paraId="418E2ECF"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50359DE3"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33F6ED00"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Truck Electrification: Regional Fleet Advisory Services</w:t>
            </w:r>
          </w:p>
        </w:tc>
        <w:tc>
          <w:tcPr>
            <w:tcW w:w="1593" w:type="dxa"/>
            <w:tcBorders>
              <w:top w:val="nil"/>
              <w:left w:val="nil"/>
              <w:bottom w:val="single" w:sz="4" w:space="0" w:color="auto"/>
              <w:right w:val="single" w:sz="4" w:space="0" w:color="auto"/>
            </w:tcBorders>
            <w:shd w:val="clear" w:color="auto" w:fill="auto"/>
            <w:noWrap/>
            <w:vAlign w:val="bottom"/>
            <w:hideMark/>
          </w:tcPr>
          <w:p w14:paraId="22EEE32E"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$1,500,000</w:t>
            </w:r>
          </w:p>
        </w:tc>
      </w:tr>
      <w:tr w:rsidR="00664FF3" w:rsidRPr="00F32C98" w14:paraId="388E0A9A" w14:textId="77777777" w:rsidTr="00F32C98">
        <w:trPr>
          <w:trHeight w:val="290"/>
        </w:trPr>
        <w:tc>
          <w:tcPr>
            <w:tcW w:w="2783" w:type="dxa"/>
            <w:tcBorders>
              <w:top w:val="nil"/>
              <w:left w:val="single" w:sz="4" w:space="0" w:color="auto"/>
              <w:bottom w:val="single" w:sz="4" w:space="0" w:color="auto"/>
              <w:right w:val="single" w:sz="4" w:space="0" w:color="auto"/>
            </w:tcBorders>
            <w:shd w:val="clear" w:color="000000" w:fill="BFBFBF"/>
            <w:noWrap/>
            <w:vAlign w:val="bottom"/>
            <w:hideMark/>
          </w:tcPr>
          <w:p w14:paraId="06A67F8A" w14:textId="77777777" w:rsidR="00F32C98" w:rsidRPr="00F32C98" w:rsidRDefault="00F32C98" w:rsidP="00F32C98">
            <w:pPr>
              <w:spacing w:before="0"/>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Contractual Subtotal</w:t>
            </w:r>
          </w:p>
        </w:tc>
        <w:tc>
          <w:tcPr>
            <w:tcW w:w="5484" w:type="dxa"/>
            <w:tcBorders>
              <w:top w:val="nil"/>
              <w:left w:val="nil"/>
              <w:bottom w:val="single" w:sz="4" w:space="0" w:color="auto"/>
              <w:right w:val="single" w:sz="4" w:space="0" w:color="auto"/>
            </w:tcBorders>
            <w:shd w:val="clear" w:color="000000" w:fill="BFBFBF"/>
            <w:vAlign w:val="bottom"/>
            <w:hideMark/>
          </w:tcPr>
          <w:p w14:paraId="3C77776C"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1593" w:type="dxa"/>
            <w:tcBorders>
              <w:top w:val="nil"/>
              <w:left w:val="nil"/>
              <w:bottom w:val="single" w:sz="4" w:space="0" w:color="auto"/>
              <w:right w:val="single" w:sz="4" w:space="0" w:color="auto"/>
            </w:tcBorders>
            <w:shd w:val="clear" w:color="000000" w:fill="BFBFBF"/>
            <w:noWrap/>
            <w:vAlign w:val="bottom"/>
            <w:hideMark/>
          </w:tcPr>
          <w:p w14:paraId="4E2D3D1B" w14:textId="77777777" w:rsidR="00F32C98" w:rsidRPr="00F32C98" w:rsidRDefault="00F32C98" w:rsidP="00F32C98">
            <w:pPr>
              <w:spacing w:before="0"/>
              <w:jc w:val="right"/>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$122,097,436</w:t>
            </w:r>
          </w:p>
        </w:tc>
      </w:tr>
      <w:tr w:rsidR="00664FF3" w:rsidRPr="00F32C98" w14:paraId="4605A04C"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3C398EF6"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Other</w:t>
            </w:r>
          </w:p>
        </w:tc>
        <w:tc>
          <w:tcPr>
            <w:tcW w:w="5484" w:type="dxa"/>
            <w:tcBorders>
              <w:top w:val="nil"/>
              <w:left w:val="nil"/>
              <w:bottom w:val="single" w:sz="4" w:space="0" w:color="auto"/>
              <w:right w:val="single" w:sz="4" w:space="0" w:color="auto"/>
            </w:tcBorders>
            <w:shd w:val="clear" w:color="auto" w:fill="auto"/>
            <w:vAlign w:val="bottom"/>
            <w:hideMark/>
          </w:tcPr>
          <w:p w14:paraId="072E451E"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Cargo Bikes: Marketing and Collateral</w:t>
            </w:r>
          </w:p>
        </w:tc>
        <w:tc>
          <w:tcPr>
            <w:tcW w:w="1593" w:type="dxa"/>
            <w:tcBorders>
              <w:top w:val="nil"/>
              <w:left w:val="nil"/>
              <w:bottom w:val="single" w:sz="4" w:space="0" w:color="auto"/>
              <w:right w:val="single" w:sz="4" w:space="0" w:color="auto"/>
            </w:tcBorders>
            <w:shd w:val="clear" w:color="auto" w:fill="auto"/>
            <w:noWrap/>
            <w:vAlign w:val="bottom"/>
            <w:hideMark/>
          </w:tcPr>
          <w:p w14:paraId="151E49E5"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$200,000</w:t>
            </w:r>
          </w:p>
        </w:tc>
      </w:tr>
      <w:tr w:rsidR="00664FF3" w:rsidRPr="00F32C98" w14:paraId="69DB91BD"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60E34FBC"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0B76CE1F"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Blue Highways NYCEDC Subaward: Personnel funding</w:t>
            </w:r>
          </w:p>
        </w:tc>
        <w:tc>
          <w:tcPr>
            <w:tcW w:w="1593" w:type="dxa"/>
            <w:tcBorders>
              <w:top w:val="nil"/>
              <w:left w:val="nil"/>
              <w:bottom w:val="single" w:sz="4" w:space="0" w:color="auto"/>
              <w:right w:val="single" w:sz="4" w:space="0" w:color="auto"/>
            </w:tcBorders>
            <w:shd w:val="clear" w:color="auto" w:fill="auto"/>
            <w:noWrap/>
            <w:vAlign w:val="bottom"/>
            <w:hideMark/>
          </w:tcPr>
          <w:p w14:paraId="67CE212C"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$1,390,994</w:t>
            </w:r>
          </w:p>
        </w:tc>
      </w:tr>
      <w:tr w:rsidR="00664FF3" w:rsidRPr="00F32C98" w14:paraId="72B8B80F" w14:textId="77777777" w:rsidTr="00F32C98">
        <w:trPr>
          <w:trHeight w:val="53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2772EA0F"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7E8A1896"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Blue Highways NYCEDC Subaward: Fringe benefits for personnel at 58.63% NYC rate</w:t>
            </w:r>
          </w:p>
        </w:tc>
        <w:tc>
          <w:tcPr>
            <w:tcW w:w="1593" w:type="dxa"/>
            <w:tcBorders>
              <w:top w:val="nil"/>
              <w:left w:val="nil"/>
              <w:bottom w:val="single" w:sz="4" w:space="0" w:color="auto"/>
              <w:right w:val="single" w:sz="4" w:space="0" w:color="auto"/>
            </w:tcBorders>
            <w:shd w:val="clear" w:color="auto" w:fill="auto"/>
            <w:noWrap/>
            <w:vAlign w:val="bottom"/>
            <w:hideMark/>
          </w:tcPr>
          <w:p w14:paraId="12DE3C37"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$815,540</w:t>
            </w:r>
          </w:p>
        </w:tc>
      </w:tr>
      <w:tr w:rsidR="00664FF3" w:rsidRPr="00F32C98" w14:paraId="7DD14F94"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337A0C7D"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6C3DE6C2"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Blue Highways NYCEDC Subaward: Personnel supplies</w:t>
            </w:r>
          </w:p>
        </w:tc>
        <w:tc>
          <w:tcPr>
            <w:tcW w:w="1593" w:type="dxa"/>
            <w:tcBorders>
              <w:top w:val="nil"/>
              <w:left w:val="nil"/>
              <w:bottom w:val="single" w:sz="4" w:space="0" w:color="auto"/>
              <w:right w:val="single" w:sz="4" w:space="0" w:color="auto"/>
            </w:tcBorders>
            <w:shd w:val="clear" w:color="auto" w:fill="auto"/>
            <w:noWrap/>
            <w:vAlign w:val="bottom"/>
            <w:hideMark/>
          </w:tcPr>
          <w:p w14:paraId="1DCA8808"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$36,600</w:t>
            </w:r>
          </w:p>
        </w:tc>
      </w:tr>
      <w:tr w:rsidR="00664FF3" w:rsidRPr="00F32C98" w14:paraId="0299048B"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61E6D534"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6F8E1038"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Blue Highways NYCEDC Subaward: Pier 92 Site Upgrades</w:t>
            </w:r>
          </w:p>
        </w:tc>
        <w:tc>
          <w:tcPr>
            <w:tcW w:w="1593" w:type="dxa"/>
            <w:tcBorders>
              <w:top w:val="nil"/>
              <w:left w:val="nil"/>
              <w:bottom w:val="single" w:sz="4" w:space="0" w:color="auto"/>
              <w:right w:val="single" w:sz="4" w:space="0" w:color="auto"/>
            </w:tcBorders>
            <w:shd w:val="clear" w:color="auto" w:fill="auto"/>
            <w:noWrap/>
            <w:vAlign w:val="bottom"/>
            <w:hideMark/>
          </w:tcPr>
          <w:p w14:paraId="38111680"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$200,000,000</w:t>
            </w:r>
          </w:p>
        </w:tc>
      </w:tr>
      <w:tr w:rsidR="00664FF3" w:rsidRPr="00F32C98" w14:paraId="538DC43E"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43500C62"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70F7D4CE"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Blue Highways NYCEDC Subaward: South Brooklyn Site Upgrades</w:t>
            </w:r>
          </w:p>
        </w:tc>
        <w:tc>
          <w:tcPr>
            <w:tcW w:w="1593" w:type="dxa"/>
            <w:tcBorders>
              <w:top w:val="nil"/>
              <w:left w:val="nil"/>
              <w:bottom w:val="single" w:sz="4" w:space="0" w:color="auto"/>
              <w:right w:val="single" w:sz="4" w:space="0" w:color="auto"/>
            </w:tcBorders>
            <w:shd w:val="clear" w:color="auto" w:fill="auto"/>
            <w:noWrap/>
            <w:vAlign w:val="bottom"/>
            <w:hideMark/>
          </w:tcPr>
          <w:p w14:paraId="6EABE56F"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$90,000,000</w:t>
            </w:r>
          </w:p>
        </w:tc>
      </w:tr>
      <w:tr w:rsidR="00664FF3" w:rsidRPr="00F32C98" w14:paraId="7EBA0D4D"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00AE4E2D"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39F9CB0C"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Blue Highways NYCEDC Subaward: Midtown Manhattan Site Upgrades</w:t>
            </w:r>
          </w:p>
        </w:tc>
        <w:tc>
          <w:tcPr>
            <w:tcW w:w="1593" w:type="dxa"/>
            <w:tcBorders>
              <w:top w:val="nil"/>
              <w:left w:val="nil"/>
              <w:bottom w:val="single" w:sz="4" w:space="0" w:color="auto"/>
              <w:right w:val="single" w:sz="4" w:space="0" w:color="auto"/>
            </w:tcBorders>
            <w:shd w:val="clear" w:color="auto" w:fill="auto"/>
            <w:noWrap/>
            <w:vAlign w:val="bottom"/>
            <w:hideMark/>
          </w:tcPr>
          <w:p w14:paraId="3EEF55C4"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$5,000,000</w:t>
            </w:r>
          </w:p>
        </w:tc>
      </w:tr>
      <w:tr w:rsidR="00664FF3" w:rsidRPr="00F32C98" w14:paraId="5ECEF9F3"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429D3FA7"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259FCD1A"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Blue Highways NYCEDC Subaward: Lower Manhattan Site Upgrades</w:t>
            </w:r>
          </w:p>
        </w:tc>
        <w:tc>
          <w:tcPr>
            <w:tcW w:w="1593" w:type="dxa"/>
            <w:tcBorders>
              <w:top w:val="nil"/>
              <w:left w:val="nil"/>
              <w:bottom w:val="single" w:sz="4" w:space="0" w:color="auto"/>
              <w:right w:val="single" w:sz="4" w:space="0" w:color="auto"/>
            </w:tcBorders>
            <w:shd w:val="clear" w:color="auto" w:fill="auto"/>
            <w:noWrap/>
            <w:vAlign w:val="bottom"/>
            <w:hideMark/>
          </w:tcPr>
          <w:p w14:paraId="7E8C1357"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$5,000,000</w:t>
            </w:r>
          </w:p>
        </w:tc>
      </w:tr>
      <w:tr w:rsidR="00664FF3" w:rsidRPr="00F32C98" w14:paraId="5F7D23EA" w14:textId="77777777" w:rsidTr="00F32C98">
        <w:trPr>
          <w:trHeight w:val="53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4557B72B"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511AC8EF"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Blue Highways NYCEDC Subaward: Environmental Reviews and Approvals</w:t>
            </w:r>
          </w:p>
        </w:tc>
        <w:tc>
          <w:tcPr>
            <w:tcW w:w="1593" w:type="dxa"/>
            <w:tcBorders>
              <w:top w:val="nil"/>
              <w:left w:val="nil"/>
              <w:bottom w:val="single" w:sz="4" w:space="0" w:color="auto"/>
              <w:right w:val="single" w:sz="4" w:space="0" w:color="auto"/>
            </w:tcBorders>
            <w:shd w:val="clear" w:color="auto" w:fill="auto"/>
            <w:noWrap/>
            <w:vAlign w:val="bottom"/>
            <w:hideMark/>
          </w:tcPr>
          <w:p w14:paraId="0B9B4A46"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$85,000</w:t>
            </w:r>
          </w:p>
        </w:tc>
      </w:tr>
      <w:tr w:rsidR="00664FF3" w:rsidRPr="00F32C98" w14:paraId="59AB0EDD" w14:textId="77777777" w:rsidTr="00F32C98">
        <w:trPr>
          <w:trHeight w:val="53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5ED7A298"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11859237"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Blue Highways PANYNJ Subaward: Cargo Handling Equipment and Infrastructure</w:t>
            </w:r>
          </w:p>
        </w:tc>
        <w:tc>
          <w:tcPr>
            <w:tcW w:w="1593" w:type="dxa"/>
            <w:tcBorders>
              <w:top w:val="nil"/>
              <w:left w:val="nil"/>
              <w:bottom w:val="single" w:sz="4" w:space="0" w:color="auto"/>
              <w:right w:val="single" w:sz="4" w:space="0" w:color="auto"/>
            </w:tcBorders>
            <w:shd w:val="clear" w:color="auto" w:fill="auto"/>
            <w:noWrap/>
            <w:vAlign w:val="bottom"/>
            <w:hideMark/>
          </w:tcPr>
          <w:p w14:paraId="4C46F829"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$40,000,000</w:t>
            </w:r>
          </w:p>
        </w:tc>
      </w:tr>
      <w:tr w:rsidR="00664FF3" w:rsidRPr="00F32C98" w14:paraId="48AF2C83"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1266298D"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7454C3F6"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Blue Highways PANYNJ Subaward: Electrification Initiatives at NYNJR</w:t>
            </w:r>
          </w:p>
        </w:tc>
        <w:tc>
          <w:tcPr>
            <w:tcW w:w="1593" w:type="dxa"/>
            <w:tcBorders>
              <w:top w:val="nil"/>
              <w:left w:val="nil"/>
              <w:bottom w:val="single" w:sz="4" w:space="0" w:color="auto"/>
              <w:right w:val="single" w:sz="4" w:space="0" w:color="auto"/>
            </w:tcBorders>
            <w:shd w:val="clear" w:color="auto" w:fill="auto"/>
            <w:noWrap/>
            <w:vAlign w:val="bottom"/>
            <w:hideMark/>
          </w:tcPr>
          <w:p w14:paraId="72EEA7FB"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$26,700,000</w:t>
            </w:r>
          </w:p>
        </w:tc>
      </w:tr>
      <w:tr w:rsidR="00664FF3" w:rsidRPr="00F32C98" w14:paraId="6501AE74"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034B7FD3"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02737A27"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FREIGHT 30: Community Partners</w:t>
            </w:r>
          </w:p>
        </w:tc>
        <w:tc>
          <w:tcPr>
            <w:tcW w:w="1593" w:type="dxa"/>
            <w:tcBorders>
              <w:top w:val="nil"/>
              <w:left w:val="nil"/>
              <w:bottom w:val="single" w:sz="4" w:space="0" w:color="auto"/>
              <w:right w:val="single" w:sz="4" w:space="0" w:color="auto"/>
            </w:tcBorders>
            <w:shd w:val="clear" w:color="auto" w:fill="auto"/>
            <w:noWrap/>
            <w:vAlign w:val="bottom"/>
            <w:hideMark/>
          </w:tcPr>
          <w:p w14:paraId="2321DC00"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$250,000</w:t>
            </w:r>
          </w:p>
        </w:tc>
      </w:tr>
      <w:tr w:rsidR="00664FF3" w:rsidRPr="00F32C98" w14:paraId="1EB17C9A"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0C8E9520"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5484" w:type="dxa"/>
            <w:tcBorders>
              <w:top w:val="nil"/>
              <w:left w:val="nil"/>
              <w:bottom w:val="single" w:sz="4" w:space="0" w:color="auto"/>
              <w:right w:val="single" w:sz="4" w:space="0" w:color="auto"/>
            </w:tcBorders>
            <w:shd w:val="clear" w:color="auto" w:fill="auto"/>
            <w:vAlign w:val="bottom"/>
            <w:hideMark/>
          </w:tcPr>
          <w:p w14:paraId="54FB9F33"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Community engagement program-wide</w:t>
            </w:r>
          </w:p>
        </w:tc>
        <w:tc>
          <w:tcPr>
            <w:tcW w:w="1593" w:type="dxa"/>
            <w:tcBorders>
              <w:top w:val="nil"/>
              <w:left w:val="nil"/>
              <w:bottom w:val="single" w:sz="4" w:space="0" w:color="auto"/>
              <w:right w:val="single" w:sz="4" w:space="0" w:color="auto"/>
            </w:tcBorders>
            <w:shd w:val="clear" w:color="auto" w:fill="auto"/>
            <w:noWrap/>
            <w:vAlign w:val="bottom"/>
            <w:hideMark/>
          </w:tcPr>
          <w:p w14:paraId="541758AB"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$400,000</w:t>
            </w:r>
          </w:p>
        </w:tc>
      </w:tr>
      <w:tr w:rsidR="00664FF3" w:rsidRPr="00F32C98" w14:paraId="0B03C916" w14:textId="77777777" w:rsidTr="00F32C98">
        <w:trPr>
          <w:trHeight w:val="290"/>
        </w:trPr>
        <w:tc>
          <w:tcPr>
            <w:tcW w:w="2783" w:type="dxa"/>
            <w:tcBorders>
              <w:top w:val="nil"/>
              <w:left w:val="single" w:sz="4" w:space="0" w:color="auto"/>
              <w:bottom w:val="single" w:sz="4" w:space="0" w:color="auto"/>
              <w:right w:val="single" w:sz="4" w:space="0" w:color="auto"/>
            </w:tcBorders>
            <w:shd w:val="clear" w:color="000000" w:fill="BFBFBF"/>
            <w:noWrap/>
            <w:vAlign w:val="bottom"/>
            <w:hideMark/>
          </w:tcPr>
          <w:p w14:paraId="1A05E9AD" w14:textId="77777777" w:rsidR="00F32C98" w:rsidRPr="00F32C98" w:rsidRDefault="00F32C98" w:rsidP="00F32C98">
            <w:pPr>
              <w:spacing w:before="0"/>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Other Subtotal</w:t>
            </w:r>
          </w:p>
        </w:tc>
        <w:tc>
          <w:tcPr>
            <w:tcW w:w="5484" w:type="dxa"/>
            <w:tcBorders>
              <w:top w:val="nil"/>
              <w:left w:val="nil"/>
              <w:bottom w:val="single" w:sz="4" w:space="0" w:color="auto"/>
              <w:right w:val="single" w:sz="4" w:space="0" w:color="auto"/>
            </w:tcBorders>
            <w:shd w:val="clear" w:color="000000" w:fill="BFBFBF"/>
            <w:vAlign w:val="bottom"/>
            <w:hideMark/>
          </w:tcPr>
          <w:p w14:paraId="6FE2617E"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1593" w:type="dxa"/>
            <w:tcBorders>
              <w:top w:val="nil"/>
              <w:left w:val="nil"/>
              <w:bottom w:val="single" w:sz="4" w:space="0" w:color="auto"/>
              <w:right w:val="single" w:sz="4" w:space="0" w:color="auto"/>
            </w:tcBorders>
            <w:shd w:val="clear" w:color="000000" w:fill="BFBFBF"/>
            <w:noWrap/>
            <w:vAlign w:val="bottom"/>
            <w:hideMark/>
          </w:tcPr>
          <w:p w14:paraId="5AC32232" w14:textId="77777777" w:rsidR="00F32C98" w:rsidRPr="00F32C98" w:rsidRDefault="00F32C98" w:rsidP="00F32C98">
            <w:pPr>
              <w:spacing w:before="0"/>
              <w:jc w:val="right"/>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$369,878,133</w:t>
            </w:r>
          </w:p>
        </w:tc>
      </w:tr>
      <w:tr w:rsidR="00664FF3" w:rsidRPr="00F32C98" w14:paraId="6D1A262A"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2B45FA34"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Indirect</w:t>
            </w:r>
          </w:p>
        </w:tc>
        <w:tc>
          <w:tcPr>
            <w:tcW w:w="5484" w:type="dxa"/>
            <w:tcBorders>
              <w:top w:val="nil"/>
              <w:left w:val="nil"/>
              <w:bottom w:val="single" w:sz="4" w:space="0" w:color="auto"/>
              <w:right w:val="single" w:sz="4" w:space="0" w:color="auto"/>
            </w:tcBorders>
            <w:shd w:val="clear" w:color="auto" w:fill="auto"/>
            <w:vAlign w:val="bottom"/>
            <w:hideMark/>
          </w:tcPr>
          <w:p w14:paraId="369C72FC"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None</w:t>
            </w:r>
          </w:p>
        </w:tc>
        <w:tc>
          <w:tcPr>
            <w:tcW w:w="1593" w:type="dxa"/>
            <w:tcBorders>
              <w:top w:val="nil"/>
              <w:left w:val="nil"/>
              <w:bottom w:val="single" w:sz="4" w:space="0" w:color="auto"/>
              <w:right w:val="single" w:sz="4" w:space="0" w:color="auto"/>
            </w:tcBorders>
            <w:shd w:val="clear" w:color="auto" w:fill="auto"/>
            <w:noWrap/>
            <w:vAlign w:val="bottom"/>
            <w:hideMark/>
          </w:tcPr>
          <w:p w14:paraId="2AF3FC13" w14:textId="77777777" w:rsidR="00F32C98" w:rsidRPr="00F32C98" w:rsidRDefault="00F32C98" w:rsidP="00F32C98">
            <w:pPr>
              <w:spacing w:before="0"/>
              <w:jc w:val="right"/>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$0</w:t>
            </w:r>
          </w:p>
        </w:tc>
      </w:tr>
      <w:tr w:rsidR="00664FF3" w:rsidRPr="00F32C98" w14:paraId="2738DC91" w14:textId="77777777" w:rsidTr="00F32C98">
        <w:trPr>
          <w:trHeight w:val="290"/>
        </w:trPr>
        <w:tc>
          <w:tcPr>
            <w:tcW w:w="2783" w:type="dxa"/>
            <w:tcBorders>
              <w:top w:val="nil"/>
              <w:left w:val="single" w:sz="4" w:space="0" w:color="auto"/>
              <w:bottom w:val="single" w:sz="4" w:space="0" w:color="auto"/>
              <w:right w:val="single" w:sz="4" w:space="0" w:color="auto"/>
            </w:tcBorders>
            <w:shd w:val="clear" w:color="auto" w:fill="auto"/>
            <w:noWrap/>
            <w:vAlign w:val="bottom"/>
            <w:hideMark/>
          </w:tcPr>
          <w:p w14:paraId="1F36FB1E" w14:textId="77777777" w:rsidR="00F32C98" w:rsidRPr="00F32C98" w:rsidRDefault="00F32C98" w:rsidP="00F32C98">
            <w:pPr>
              <w:spacing w:before="0"/>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Total Costs</w:t>
            </w:r>
          </w:p>
        </w:tc>
        <w:tc>
          <w:tcPr>
            <w:tcW w:w="5484" w:type="dxa"/>
            <w:tcBorders>
              <w:top w:val="nil"/>
              <w:left w:val="nil"/>
              <w:bottom w:val="single" w:sz="4" w:space="0" w:color="auto"/>
              <w:right w:val="single" w:sz="4" w:space="0" w:color="auto"/>
            </w:tcBorders>
            <w:shd w:val="clear" w:color="auto" w:fill="auto"/>
            <w:noWrap/>
            <w:vAlign w:val="bottom"/>
            <w:hideMark/>
          </w:tcPr>
          <w:p w14:paraId="1B4C6A12" w14:textId="77777777" w:rsidR="00F32C98" w:rsidRPr="00F32C98" w:rsidRDefault="00F32C98" w:rsidP="00F32C98">
            <w:pPr>
              <w:spacing w:before="0"/>
              <w:rPr>
                <w:rFonts w:ascii="Calibri" w:eastAsia="Times New Roman" w:hAnsi="Calibri" w:cs="Calibri"/>
                <w:kern w:val="0"/>
                <w:sz w:val="20"/>
                <w:szCs w:val="20"/>
                <w14:ligatures w14:val="none"/>
              </w:rPr>
            </w:pPr>
            <w:r w:rsidRPr="00F32C98">
              <w:rPr>
                <w:rFonts w:ascii="Calibri" w:eastAsia="Times New Roman" w:hAnsi="Calibri" w:cs="Calibri"/>
                <w:kern w:val="0"/>
                <w:sz w:val="20"/>
                <w:szCs w:val="20"/>
                <w14:ligatures w14:val="none"/>
              </w:rPr>
              <w:t> </w:t>
            </w:r>
          </w:p>
        </w:tc>
        <w:tc>
          <w:tcPr>
            <w:tcW w:w="1593" w:type="dxa"/>
            <w:tcBorders>
              <w:top w:val="nil"/>
              <w:left w:val="nil"/>
              <w:bottom w:val="single" w:sz="4" w:space="0" w:color="auto"/>
              <w:right w:val="single" w:sz="4" w:space="0" w:color="auto"/>
            </w:tcBorders>
            <w:shd w:val="clear" w:color="auto" w:fill="auto"/>
            <w:noWrap/>
            <w:vAlign w:val="bottom"/>
            <w:hideMark/>
          </w:tcPr>
          <w:p w14:paraId="5D8DE28B" w14:textId="77777777" w:rsidR="00F32C98" w:rsidRPr="00F32C98" w:rsidRDefault="00F32C98" w:rsidP="00F32C98">
            <w:pPr>
              <w:spacing w:before="0"/>
              <w:jc w:val="right"/>
              <w:rPr>
                <w:rFonts w:ascii="Calibri" w:eastAsia="Times New Roman" w:hAnsi="Calibri" w:cs="Calibri"/>
                <w:b/>
                <w:bCs/>
                <w:kern w:val="0"/>
                <w:sz w:val="20"/>
                <w:szCs w:val="20"/>
                <w14:ligatures w14:val="none"/>
              </w:rPr>
            </w:pPr>
            <w:r w:rsidRPr="00F32C98">
              <w:rPr>
                <w:rFonts w:ascii="Calibri" w:eastAsia="Times New Roman" w:hAnsi="Calibri" w:cs="Calibri"/>
                <w:b/>
                <w:bCs/>
                <w:kern w:val="0"/>
                <w:sz w:val="20"/>
                <w:szCs w:val="20"/>
                <w14:ligatures w14:val="none"/>
              </w:rPr>
              <w:t>$500,000,000</w:t>
            </w:r>
          </w:p>
        </w:tc>
      </w:tr>
    </w:tbl>
    <w:p w14:paraId="3A1FE832" w14:textId="3C33C4DA" w:rsidR="009A39B0" w:rsidRPr="00664FF3" w:rsidRDefault="009A39B0" w:rsidP="00DF2786">
      <w:pPr>
        <w:pStyle w:val="Heading1"/>
        <w:spacing w:before="80" w:after="0"/>
        <w:rPr>
          <w:rFonts w:ascii="Calibri" w:hAnsi="Calibri" w:cs="Calibri"/>
          <w:color w:val="auto"/>
          <w:sz w:val="28"/>
          <w:szCs w:val="28"/>
        </w:rPr>
      </w:pPr>
    </w:p>
    <w:p w14:paraId="0081FEE1" w14:textId="3B2C36FE" w:rsidR="00D3584A" w:rsidRPr="003C4E2C" w:rsidRDefault="006360FA" w:rsidP="00DF2786">
      <w:pPr>
        <w:pStyle w:val="Heading1"/>
        <w:spacing w:before="80" w:after="0"/>
        <w:rPr>
          <w:rFonts w:ascii="Calibri" w:hAnsi="Calibri" w:cs="Calibri"/>
          <w:color w:val="auto"/>
          <w:sz w:val="24"/>
          <w:szCs w:val="24"/>
        </w:rPr>
      </w:pPr>
      <w:r w:rsidRPr="003C4E2C">
        <w:rPr>
          <w:rFonts w:ascii="Calibri" w:hAnsi="Calibri" w:cs="Calibri"/>
          <w:color w:val="auto"/>
          <w:sz w:val="24"/>
          <w:szCs w:val="24"/>
        </w:rPr>
        <w:t>BUDGET DETAIL</w:t>
      </w:r>
    </w:p>
    <w:p w14:paraId="7CFD639C" w14:textId="07E1D70B" w:rsidR="00562417" w:rsidRPr="003C4E2C" w:rsidRDefault="00562417" w:rsidP="00562417">
      <w:pPr>
        <w:rPr>
          <w:rFonts w:ascii="Calibri" w:hAnsi="Calibri" w:cs="Calibri"/>
        </w:rPr>
      </w:pPr>
      <w:r w:rsidRPr="003C4E2C">
        <w:rPr>
          <w:rFonts w:ascii="Calibri" w:hAnsi="Calibri" w:cs="Calibri"/>
        </w:rPr>
        <w:t>OVERALL PROGRAM</w:t>
      </w:r>
      <w:r w:rsidR="00994A2D" w:rsidRPr="003C4E2C">
        <w:rPr>
          <w:rFonts w:ascii="Calibri" w:hAnsi="Calibri" w:cs="Calibri"/>
        </w:rPr>
        <w:t xml:space="preserve"> SUMMARY</w:t>
      </w:r>
    </w:p>
    <w:p w14:paraId="508103A5" w14:textId="6C0952ED" w:rsidR="00CB5898" w:rsidRPr="003C4E2C" w:rsidRDefault="00DF2922" w:rsidP="00DF2786">
      <w:pPr>
        <w:pStyle w:val="Heading2"/>
        <w:spacing w:before="80" w:after="0"/>
        <w:jc w:val="both"/>
        <w:rPr>
          <w:rFonts w:ascii="Calibri" w:hAnsi="Calibri" w:cs="Calibri"/>
          <w:b/>
          <w:bCs/>
          <w:color w:val="auto"/>
          <w:sz w:val="22"/>
          <w:szCs w:val="22"/>
        </w:rPr>
      </w:pPr>
      <w:r w:rsidRPr="003C4E2C">
        <w:rPr>
          <w:rFonts w:ascii="Calibri" w:hAnsi="Calibri" w:cs="Calibri"/>
          <w:b/>
          <w:bCs/>
          <w:color w:val="auto"/>
          <w:sz w:val="22"/>
          <w:szCs w:val="22"/>
        </w:rPr>
        <w:t>Personnel</w:t>
      </w:r>
      <w:r w:rsidR="00CB5898" w:rsidRPr="003C4E2C">
        <w:rPr>
          <w:rFonts w:ascii="Calibri" w:hAnsi="Calibri" w:cs="Calibri"/>
          <w:b/>
          <w:bCs/>
          <w:color w:val="auto"/>
          <w:sz w:val="22"/>
          <w:szCs w:val="22"/>
        </w:rPr>
        <w:t xml:space="preserve">: </w:t>
      </w:r>
      <w:r w:rsidR="00CB5898" w:rsidRPr="003C4E2C">
        <w:rPr>
          <w:rFonts w:ascii="Calibri" w:hAnsi="Calibri" w:cs="Calibri"/>
          <w:color w:val="auto"/>
          <w:sz w:val="22"/>
          <w:szCs w:val="22"/>
        </w:rPr>
        <w:t>$</w:t>
      </w:r>
      <w:r w:rsidR="00EF6B39" w:rsidRPr="003C4E2C">
        <w:rPr>
          <w:rFonts w:ascii="Calibri" w:hAnsi="Calibri" w:cs="Calibri"/>
          <w:color w:val="auto"/>
          <w:sz w:val="22"/>
          <w:szCs w:val="22"/>
        </w:rPr>
        <w:t>4,880,779</w:t>
      </w:r>
    </w:p>
    <w:p w14:paraId="3B931E6F" w14:textId="0D6048DF" w:rsidR="00CB5898" w:rsidRPr="00664FF3" w:rsidRDefault="00CB5898" w:rsidP="00DF2786">
      <w:pPr>
        <w:spacing w:before="80"/>
        <w:jc w:val="both"/>
        <w:rPr>
          <w:rFonts w:ascii="Calibri" w:hAnsi="Calibri" w:cs="Calibri"/>
        </w:rPr>
      </w:pPr>
      <w:r w:rsidRPr="00664FF3">
        <w:rPr>
          <w:rFonts w:ascii="Calibri" w:hAnsi="Calibri" w:cs="Calibri"/>
        </w:rPr>
        <w:t>Personnel costs are requested for</w:t>
      </w:r>
      <w:r w:rsidR="0071652B" w:rsidRPr="00664FF3">
        <w:rPr>
          <w:rFonts w:ascii="Calibri" w:hAnsi="Calibri" w:cs="Calibri"/>
        </w:rPr>
        <w:t xml:space="preserve"> fifteen</w:t>
      </w:r>
      <w:r w:rsidR="003C39C7" w:rsidRPr="00664FF3">
        <w:rPr>
          <w:rFonts w:ascii="Calibri" w:hAnsi="Calibri" w:cs="Calibri"/>
        </w:rPr>
        <w:t xml:space="preserve"> </w:t>
      </w:r>
      <w:r w:rsidRPr="00664FF3">
        <w:rPr>
          <w:rFonts w:ascii="Calibri" w:hAnsi="Calibri" w:cs="Calibri"/>
        </w:rPr>
        <w:t xml:space="preserve">new 100% FTE positions within </w:t>
      </w:r>
      <w:r w:rsidR="00EB01DF" w:rsidRPr="00664FF3">
        <w:rPr>
          <w:rFonts w:ascii="Calibri" w:hAnsi="Calibri" w:cs="Calibri"/>
        </w:rPr>
        <w:t>NYC DOT</w:t>
      </w:r>
      <w:r w:rsidR="003C39C7" w:rsidRPr="00664FF3">
        <w:rPr>
          <w:rFonts w:ascii="Calibri" w:hAnsi="Calibri" w:cs="Calibri"/>
        </w:rPr>
        <w:t>:</w:t>
      </w:r>
    </w:p>
    <w:p w14:paraId="17267D8E" w14:textId="3493AA20" w:rsidR="00190B1A" w:rsidRPr="00664FF3" w:rsidRDefault="00190B1A" w:rsidP="00DF2786">
      <w:pPr>
        <w:pStyle w:val="ListParagraph"/>
        <w:numPr>
          <w:ilvl w:val="0"/>
          <w:numId w:val="1"/>
        </w:numPr>
        <w:spacing w:before="80"/>
        <w:jc w:val="both"/>
        <w:rPr>
          <w:rFonts w:ascii="Calibri" w:hAnsi="Calibri" w:cs="Calibri"/>
        </w:rPr>
      </w:pPr>
      <w:r w:rsidRPr="00664FF3">
        <w:rPr>
          <w:rFonts w:ascii="Calibri" w:hAnsi="Calibri" w:cs="Calibri"/>
          <w:b/>
        </w:rPr>
        <w:t>FREIGHT 2030:</w:t>
      </w:r>
      <w:r w:rsidRPr="00664FF3">
        <w:rPr>
          <w:rFonts w:ascii="Calibri" w:hAnsi="Calibri" w:cs="Calibri"/>
        </w:rPr>
        <w:t xml:space="preserve"> (1) Program </w:t>
      </w:r>
      <w:r w:rsidR="00EC384D" w:rsidRPr="00664FF3">
        <w:rPr>
          <w:rFonts w:ascii="Calibri" w:hAnsi="Calibri" w:cs="Calibri"/>
        </w:rPr>
        <w:t>Lead</w:t>
      </w:r>
      <w:r w:rsidRPr="00664FF3">
        <w:rPr>
          <w:rFonts w:ascii="Calibri" w:hAnsi="Calibri" w:cs="Calibri"/>
        </w:rPr>
        <w:t>, (1) Program Manager, (1) Program Coordinator (NYC DOT)</w:t>
      </w:r>
    </w:p>
    <w:p w14:paraId="79FE3F77" w14:textId="05513337" w:rsidR="003C39C7" w:rsidRPr="00664FF3" w:rsidRDefault="000B2AB7" w:rsidP="00DF2786">
      <w:pPr>
        <w:pStyle w:val="ListParagraph"/>
        <w:numPr>
          <w:ilvl w:val="0"/>
          <w:numId w:val="1"/>
        </w:numPr>
        <w:spacing w:before="80"/>
        <w:jc w:val="both"/>
        <w:rPr>
          <w:rFonts w:ascii="Calibri" w:hAnsi="Calibri" w:cs="Calibri"/>
        </w:rPr>
      </w:pPr>
      <w:r w:rsidRPr="00664FF3">
        <w:rPr>
          <w:rFonts w:ascii="Calibri" w:hAnsi="Calibri" w:cs="Calibri"/>
          <w:b/>
        </w:rPr>
        <w:t>Cargo Bike Incentive Program</w:t>
      </w:r>
      <w:r w:rsidR="003C39C7" w:rsidRPr="00664FF3">
        <w:rPr>
          <w:rFonts w:ascii="Calibri" w:hAnsi="Calibri" w:cs="Calibri"/>
          <w:b/>
        </w:rPr>
        <w:t>:</w:t>
      </w:r>
      <w:r w:rsidR="0071652B" w:rsidRPr="00664FF3">
        <w:rPr>
          <w:rFonts w:ascii="Calibri" w:hAnsi="Calibri" w:cs="Calibri"/>
          <w:b/>
        </w:rPr>
        <w:t xml:space="preserve"> </w:t>
      </w:r>
      <w:r w:rsidR="0071652B" w:rsidRPr="00664FF3">
        <w:rPr>
          <w:rFonts w:ascii="Calibri" w:hAnsi="Calibri" w:cs="Calibri"/>
        </w:rPr>
        <w:t>(1)</w:t>
      </w:r>
      <w:r w:rsidR="003C39C7" w:rsidRPr="00664FF3">
        <w:rPr>
          <w:rFonts w:ascii="Calibri" w:hAnsi="Calibri" w:cs="Calibri"/>
        </w:rPr>
        <w:t xml:space="preserve"> Project Manager</w:t>
      </w:r>
      <w:r w:rsidR="0071652B" w:rsidRPr="00664FF3">
        <w:rPr>
          <w:rFonts w:ascii="Calibri" w:hAnsi="Calibri" w:cs="Calibri"/>
        </w:rPr>
        <w:t>, (2) Project Coordinators</w:t>
      </w:r>
      <w:r w:rsidR="00384789" w:rsidRPr="00664FF3">
        <w:rPr>
          <w:rFonts w:ascii="Calibri" w:hAnsi="Calibri" w:cs="Calibri"/>
        </w:rPr>
        <w:t xml:space="preserve"> (</w:t>
      </w:r>
      <w:r w:rsidR="00EB01DF" w:rsidRPr="00664FF3">
        <w:rPr>
          <w:rFonts w:ascii="Calibri" w:hAnsi="Calibri" w:cs="Calibri"/>
        </w:rPr>
        <w:t>NYC DOT</w:t>
      </w:r>
      <w:r w:rsidR="00384789" w:rsidRPr="00664FF3">
        <w:rPr>
          <w:rFonts w:ascii="Calibri" w:hAnsi="Calibri" w:cs="Calibri"/>
        </w:rPr>
        <w:t>)</w:t>
      </w:r>
    </w:p>
    <w:p w14:paraId="5F13C9D9" w14:textId="2A7572C2" w:rsidR="00255A0B" w:rsidRPr="00664FF3" w:rsidRDefault="00255A0B" w:rsidP="00DF2786">
      <w:pPr>
        <w:pStyle w:val="ListParagraph"/>
        <w:numPr>
          <w:ilvl w:val="0"/>
          <w:numId w:val="1"/>
        </w:numPr>
        <w:spacing w:before="80"/>
        <w:jc w:val="both"/>
        <w:rPr>
          <w:rFonts w:ascii="Calibri" w:hAnsi="Calibri" w:cs="Calibri"/>
        </w:rPr>
      </w:pPr>
      <w:r w:rsidRPr="00664FF3">
        <w:rPr>
          <w:rFonts w:ascii="Calibri" w:hAnsi="Calibri" w:cs="Calibri"/>
          <w:b/>
        </w:rPr>
        <w:t>Microhubs Expansion:</w:t>
      </w:r>
      <w:r w:rsidRPr="00664FF3">
        <w:rPr>
          <w:rFonts w:ascii="Calibri" w:hAnsi="Calibri" w:cs="Calibri"/>
        </w:rPr>
        <w:t xml:space="preserve"> </w:t>
      </w:r>
      <w:r w:rsidR="0071652B" w:rsidRPr="00664FF3">
        <w:rPr>
          <w:rFonts w:ascii="Calibri" w:hAnsi="Calibri" w:cs="Calibri"/>
        </w:rPr>
        <w:t>(1) Project Manager, (1) Project Coordinator</w:t>
      </w:r>
      <w:r w:rsidR="00972C24" w:rsidRPr="00664FF3">
        <w:rPr>
          <w:rFonts w:ascii="Calibri" w:hAnsi="Calibri" w:cs="Calibri"/>
        </w:rPr>
        <w:t xml:space="preserve"> (</w:t>
      </w:r>
      <w:r w:rsidR="00EB01DF" w:rsidRPr="00664FF3">
        <w:rPr>
          <w:rFonts w:ascii="Calibri" w:hAnsi="Calibri" w:cs="Calibri"/>
        </w:rPr>
        <w:t>NYC DOT</w:t>
      </w:r>
      <w:r w:rsidR="00972C24" w:rsidRPr="00664FF3">
        <w:rPr>
          <w:rFonts w:ascii="Calibri" w:hAnsi="Calibri" w:cs="Calibri"/>
        </w:rPr>
        <w:t>)</w:t>
      </w:r>
    </w:p>
    <w:p w14:paraId="3AE2227A" w14:textId="7CCC1564" w:rsidR="003C39C7" w:rsidRPr="00664FF3" w:rsidRDefault="003C39C7" w:rsidP="00DF2786">
      <w:pPr>
        <w:pStyle w:val="ListParagraph"/>
        <w:numPr>
          <w:ilvl w:val="0"/>
          <w:numId w:val="1"/>
        </w:numPr>
        <w:spacing w:before="80"/>
        <w:jc w:val="both"/>
        <w:rPr>
          <w:rFonts w:ascii="Calibri" w:hAnsi="Calibri" w:cs="Calibri"/>
        </w:rPr>
      </w:pPr>
      <w:r w:rsidRPr="00664FF3">
        <w:rPr>
          <w:rFonts w:ascii="Calibri" w:hAnsi="Calibri" w:cs="Calibri"/>
          <w:b/>
        </w:rPr>
        <w:t>Truck Electrification</w:t>
      </w:r>
      <w:r w:rsidR="000B2AB7" w:rsidRPr="00664FF3">
        <w:rPr>
          <w:rFonts w:ascii="Calibri" w:hAnsi="Calibri" w:cs="Calibri"/>
          <w:b/>
        </w:rPr>
        <w:t xml:space="preserve"> and Parking</w:t>
      </w:r>
      <w:r w:rsidRPr="00664FF3">
        <w:rPr>
          <w:rFonts w:ascii="Calibri" w:hAnsi="Calibri" w:cs="Calibri"/>
          <w:b/>
        </w:rPr>
        <w:t>:</w:t>
      </w:r>
      <w:r w:rsidRPr="00664FF3">
        <w:rPr>
          <w:rFonts w:ascii="Calibri" w:hAnsi="Calibri" w:cs="Calibri"/>
        </w:rPr>
        <w:t xml:space="preserve"> </w:t>
      </w:r>
      <w:r w:rsidR="0071652B" w:rsidRPr="00664FF3">
        <w:rPr>
          <w:rFonts w:ascii="Calibri" w:hAnsi="Calibri" w:cs="Calibri"/>
        </w:rPr>
        <w:t>(1) Project Manager, (2) Project Coordinators</w:t>
      </w:r>
      <w:r w:rsidR="00972C24" w:rsidRPr="00664FF3">
        <w:rPr>
          <w:rFonts w:ascii="Calibri" w:hAnsi="Calibri" w:cs="Calibri"/>
        </w:rPr>
        <w:t xml:space="preserve"> (</w:t>
      </w:r>
      <w:r w:rsidR="00EB01DF" w:rsidRPr="00664FF3">
        <w:rPr>
          <w:rFonts w:ascii="Calibri" w:hAnsi="Calibri" w:cs="Calibri"/>
        </w:rPr>
        <w:t>NYC DOT</w:t>
      </w:r>
      <w:r w:rsidR="00972C24" w:rsidRPr="00664FF3">
        <w:rPr>
          <w:rFonts w:ascii="Calibri" w:hAnsi="Calibri" w:cs="Calibri"/>
        </w:rPr>
        <w:t>)</w:t>
      </w:r>
    </w:p>
    <w:p w14:paraId="1ADF0639" w14:textId="3082ECBC" w:rsidR="00CB5898" w:rsidRPr="00664FF3" w:rsidRDefault="009C71F7" w:rsidP="00DF2786">
      <w:pPr>
        <w:spacing w:before="80"/>
        <w:rPr>
          <w:rFonts w:ascii="Calibri" w:hAnsi="Calibri" w:cs="Calibri"/>
        </w:rPr>
      </w:pPr>
      <w:r w:rsidRPr="00664FF3">
        <w:rPr>
          <w:rFonts w:ascii="Calibri" w:hAnsi="Calibri" w:cs="Calibri"/>
        </w:rPr>
        <w:t>Descriptions</w:t>
      </w:r>
      <w:r w:rsidR="00A7539D" w:rsidRPr="00664FF3">
        <w:rPr>
          <w:rFonts w:ascii="Calibri" w:hAnsi="Calibri" w:cs="Calibri"/>
        </w:rPr>
        <w:t xml:space="preserve"> of</w:t>
      </w:r>
      <w:r w:rsidRPr="00664FF3">
        <w:rPr>
          <w:rFonts w:ascii="Calibri" w:hAnsi="Calibri" w:cs="Calibri"/>
        </w:rPr>
        <w:t xml:space="preserve"> staff </w:t>
      </w:r>
      <w:r w:rsidR="00602EB5" w:rsidRPr="00664FF3">
        <w:rPr>
          <w:rFonts w:ascii="Calibri" w:hAnsi="Calibri" w:cs="Calibri"/>
        </w:rPr>
        <w:t xml:space="preserve">roles and responsibilities </w:t>
      </w:r>
      <w:r w:rsidRPr="00664FF3">
        <w:rPr>
          <w:rFonts w:ascii="Calibri" w:hAnsi="Calibri" w:cs="Calibri"/>
        </w:rPr>
        <w:t>are</w:t>
      </w:r>
      <w:r w:rsidR="0042496A" w:rsidRPr="00664FF3">
        <w:rPr>
          <w:rFonts w:ascii="Calibri" w:hAnsi="Calibri" w:cs="Calibri"/>
        </w:rPr>
        <w:t xml:space="preserve"> provided </w:t>
      </w:r>
      <w:r w:rsidR="000B4CA9" w:rsidRPr="00664FF3">
        <w:rPr>
          <w:rFonts w:ascii="Calibri" w:hAnsi="Calibri" w:cs="Calibri"/>
        </w:rPr>
        <w:t>within</w:t>
      </w:r>
      <w:r w:rsidR="0042496A" w:rsidRPr="00664FF3">
        <w:rPr>
          <w:rFonts w:ascii="Calibri" w:hAnsi="Calibri" w:cs="Calibri"/>
        </w:rPr>
        <w:t xml:space="preserve"> each </w:t>
      </w:r>
      <w:r w:rsidR="000B4CA9" w:rsidRPr="00664FF3">
        <w:rPr>
          <w:rFonts w:ascii="Calibri" w:hAnsi="Calibri" w:cs="Calibri"/>
        </w:rPr>
        <w:t>initiative</w:t>
      </w:r>
      <w:r w:rsidR="0042496A" w:rsidRPr="00664FF3">
        <w:rPr>
          <w:rFonts w:ascii="Calibri" w:hAnsi="Calibri" w:cs="Calibri"/>
        </w:rPr>
        <w:t xml:space="preserve"> section.</w:t>
      </w:r>
      <w:r w:rsidR="003C39C7" w:rsidRPr="00664FF3">
        <w:rPr>
          <w:rFonts w:ascii="Calibri" w:hAnsi="Calibri" w:cs="Calibri"/>
        </w:rPr>
        <w:t xml:space="preserve"> </w:t>
      </w:r>
      <w:r w:rsidR="00732B86" w:rsidRPr="00664FF3">
        <w:rPr>
          <w:rFonts w:ascii="Calibri" w:hAnsi="Calibri" w:cs="Calibri"/>
        </w:rPr>
        <w:t>Salaries for</w:t>
      </w:r>
      <w:r w:rsidR="0042496A" w:rsidRPr="00664FF3">
        <w:rPr>
          <w:rFonts w:ascii="Calibri" w:hAnsi="Calibri" w:cs="Calibri"/>
        </w:rPr>
        <w:t xml:space="preserve"> </w:t>
      </w:r>
      <w:r w:rsidR="00EB01DF" w:rsidRPr="00664FF3">
        <w:rPr>
          <w:rFonts w:ascii="Calibri" w:hAnsi="Calibri" w:cs="Calibri"/>
        </w:rPr>
        <w:t>NYC DOT</w:t>
      </w:r>
      <w:r w:rsidR="00045E0F" w:rsidRPr="00664FF3">
        <w:rPr>
          <w:rFonts w:ascii="Calibri" w:hAnsi="Calibri" w:cs="Calibri"/>
        </w:rPr>
        <w:t xml:space="preserve"> positions</w:t>
      </w:r>
      <w:r w:rsidR="0042496A" w:rsidRPr="00664FF3">
        <w:rPr>
          <w:rFonts w:ascii="Calibri" w:hAnsi="Calibri" w:cs="Calibri"/>
        </w:rPr>
        <w:t xml:space="preserve"> </w:t>
      </w:r>
      <w:r w:rsidR="00894F94" w:rsidRPr="00664FF3">
        <w:rPr>
          <w:rFonts w:ascii="Calibri" w:hAnsi="Calibri" w:cs="Calibri"/>
        </w:rPr>
        <w:t>ar</w:t>
      </w:r>
      <w:r w:rsidR="00070E6A" w:rsidRPr="00664FF3">
        <w:rPr>
          <w:rFonts w:ascii="Calibri" w:hAnsi="Calibri" w:cs="Calibri"/>
        </w:rPr>
        <w:t>e</w:t>
      </w:r>
      <w:r w:rsidR="00894F94" w:rsidRPr="00664FF3">
        <w:rPr>
          <w:rFonts w:ascii="Calibri" w:hAnsi="Calibri" w:cs="Calibri"/>
        </w:rPr>
        <w:t xml:space="preserve"> </w:t>
      </w:r>
      <w:r w:rsidR="00070E6A" w:rsidRPr="00664FF3">
        <w:rPr>
          <w:rFonts w:ascii="Calibri" w:hAnsi="Calibri" w:cs="Calibri"/>
        </w:rPr>
        <w:t xml:space="preserve">based on </w:t>
      </w:r>
      <w:r w:rsidR="00894F94" w:rsidRPr="00664FF3">
        <w:rPr>
          <w:rFonts w:ascii="Calibri" w:hAnsi="Calibri" w:cs="Calibri"/>
        </w:rPr>
        <w:t>median salar</w:t>
      </w:r>
      <w:r w:rsidR="00070E6A" w:rsidRPr="00664FF3">
        <w:rPr>
          <w:rFonts w:ascii="Calibri" w:hAnsi="Calibri" w:cs="Calibri"/>
        </w:rPr>
        <w:t>ies</w:t>
      </w:r>
      <w:r w:rsidR="00894F94" w:rsidRPr="00664FF3">
        <w:rPr>
          <w:rFonts w:ascii="Calibri" w:hAnsi="Calibri" w:cs="Calibri"/>
        </w:rPr>
        <w:t xml:space="preserve"> for current </w:t>
      </w:r>
      <w:r w:rsidR="00F44A86" w:rsidRPr="00664FF3">
        <w:rPr>
          <w:rFonts w:ascii="Calibri" w:hAnsi="Calibri" w:cs="Calibri"/>
        </w:rPr>
        <w:t>job postings.</w:t>
      </w:r>
      <w:r w:rsidR="007E795D" w:rsidRPr="00664FF3">
        <w:rPr>
          <w:rFonts w:ascii="Calibri" w:hAnsi="Calibri" w:cs="Calibri"/>
        </w:rPr>
        <w:t xml:space="preserve"> </w:t>
      </w:r>
      <w:r w:rsidR="00EB01DF" w:rsidRPr="00664FF3">
        <w:rPr>
          <w:rFonts w:ascii="Calibri" w:hAnsi="Calibri" w:cs="Calibri"/>
        </w:rPr>
        <w:t>NYC DOT</w:t>
      </w:r>
      <w:r w:rsidR="007E795D" w:rsidRPr="00664FF3">
        <w:rPr>
          <w:rFonts w:ascii="Calibri" w:hAnsi="Calibri" w:cs="Calibri"/>
        </w:rPr>
        <w:t xml:space="preserve"> will hire one Program </w:t>
      </w:r>
      <w:r w:rsidR="00525D19" w:rsidRPr="00664FF3">
        <w:rPr>
          <w:rFonts w:ascii="Calibri" w:hAnsi="Calibri" w:cs="Calibri"/>
        </w:rPr>
        <w:t>Lead</w:t>
      </w:r>
      <w:r w:rsidR="007E795D" w:rsidRPr="00664FF3">
        <w:rPr>
          <w:rFonts w:ascii="Calibri" w:hAnsi="Calibri" w:cs="Calibri"/>
        </w:rPr>
        <w:t>, Pr</w:t>
      </w:r>
      <w:r w:rsidR="00525D19" w:rsidRPr="00664FF3">
        <w:rPr>
          <w:rFonts w:ascii="Calibri" w:hAnsi="Calibri" w:cs="Calibri"/>
        </w:rPr>
        <w:t>oject</w:t>
      </w:r>
      <w:r w:rsidR="007E795D" w:rsidRPr="00664FF3">
        <w:rPr>
          <w:rFonts w:ascii="Calibri" w:hAnsi="Calibri" w:cs="Calibri"/>
        </w:rPr>
        <w:t xml:space="preserve"> Manager, and Pro</w:t>
      </w:r>
      <w:r w:rsidR="00525D19" w:rsidRPr="00664FF3">
        <w:rPr>
          <w:rFonts w:ascii="Calibri" w:hAnsi="Calibri" w:cs="Calibri"/>
        </w:rPr>
        <w:t>ject</w:t>
      </w:r>
      <w:r w:rsidR="007E795D" w:rsidRPr="00664FF3">
        <w:rPr>
          <w:rFonts w:ascii="Calibri" w:hAnsi="Calibri" w:cs="Calibri"/>
        </w:rPr>
        <w:t xml:space="preserve"> Coordinator to facilitate the implementation of the overall </w:t>
      </w:r>
      <w:r w:rsidR="007E795D" w:rsidRPr="00664FF3">
        <w:rPr>
          <w:rFonts w:ascii="Calibri" w:hAnsi="Calibri" w:cs="Calibri"/>
          <w:i/>
          <w:iCs/>
        </w:rPr>
        <w:t>FREIGHT 2030</w:t>
      </w:r>
      <w:r w:rsidR="007E795D" w:rsidRPr="00664FF3">
        <w:rPr>
          <w:rFonts w:ascii="Calibri" w:hAnsi="Calibri" w:cs="Calibri"/>
        </w:rPr>
        <w:t xml:space="preserve"> program</w:t>
      </w:r>
      <w:r w:rsidR="005D514E" w:rsidRPr="00664FF3">
        <w:rPr>
          <w:rFonts w:ascii="Calibri" w:hAnsi="Calibri" w:cs="Calibri"/>
        </w:rPr>
        <w:t xml:space="preserve"> and assist with management and coordination in each measure</w:t>
      </w:r>
      <w:r w:rsidR="007E795D" w:rsidRPr="00664FF3">
        <w:rPr>
          <w:rFonts w:ascii="Calibri" w:hAnsi="Calibri" w:cs="Calibri"/>
        </w:rPr>
        <w:t>.</w:t>
      </w:r>
      <w:r w:rsidR="00070E6A" w:rsidRPr="00664FF3">
        <w:rPr>
          <w:rFonts w:ascii="Calibri" w:hAnsi="Calibri" w:cs="Calibri"/>
        </w:rPr>
        <w:t xml:space="preserve"> </w:t>
      </w:r>
      <w:r w:rsidR="00563489" w:rsidRPr="00664FF3">
        <w:rPr>
          <w:rFonts w:ascii="Calibri" w:hAnsi="Calibri" w:cs="Calibri"/>
        </w:rPr>
        <w:t>S</w:t>
      </w:r>
      <w:r w:rsidR="008F0F44" w:rsidRPr="00664FF3">
        <w:rPr>
          <w:rFonts w:ascii="Calibri" w:hAnsi="Calibri" w:cs="Calibri"/>
        </w:rPr>
        <w:t>alaries include a</w:t>
      </w:r>
      <w:r w:rsidR="00732B86" w:rsidRPr="00664FF3">
        <w:rPr>
          <w:rFonts w:ascii="Calibri" w:hAnsi="Calibri" w:cs="Calibri"/>
        </w:rPr>
        <w:t xml:space="preserve"> standard 3% </w:t>
      </w:r>
      <w:r w:rsidR="00E74A76" w:rsidRPr="00664FF3">
        <w:rPr>
          <w:rFonts w:ascii="Calibri" w:hAnsi="Calibri" w:cs="Calibri"/>
        </w:rPr>
        <w:t xml:space="preserve">annual </w:t>
      </w:r>
      <w:r w:rsidR="00732B86" w:rsidRPr="00664FF3">
        <w:rPr>
          <w:rFonts w:ascii="Calibri" w:hAnsi="Calibri" w:cs="Calibri"/>
        </w:rPr>
        <w:t>salary increase.</w:t>
      </w:r>
      <w:r w:rsidR="005D514E" w:rsidRPr="00664FF3">
        <w:rPr>
          <w:rFonts w:ascii="Calibri" w:hAnsi="Calibri" w:cs="Calibri"/>
        </w:rPr>
        <w:t xml:space="preserve"> </w:t>
      </w:r>
      <w:r w:rsidR="003C39C7" w:rsidRPr="00664FF3">
        <w:rPr>
          <w:rFonts w:ascii="Calibri" w:hAnsi="Calibri" w:cs="Calibri"/>
        </w:rPr>
        <w:t>These staff will r</w:t>
      </w:r>
      <w:r w:rsidR="008549F4" w:rsidRPr="00664FF3">
        <w:rPr>
          <w:rFonts w:ascii="Calibri" w:hAnsi="Calibri" w:cs="Calibri"/>
        </w:rPr>
        <w:t>eport</w:t>
      </w:r>
      <w:r w:rsidR="003C39C7" w:rsidRPr="00664FF3">
        <w:rPr>
          <w:rFonts w:ascii="Calibri" w:hAnsi="Calibri" w:cs="Calibri"/>
        </w:rPr>
        <w:t xml:space="preserve"> to existing managers </w:t>
      </w:r>
      <w:r w:rsidR="00E82D06" w:rsidRPr="00664FF3">
        <w:rPr>
          <w:rFonts w:ascii="Calibri" w:hAnsi="Calibri" w:cs="Calibri"/>
        </w:rPr>
        <w:t>at</w:t>
      </w:r>
      <w:r w:rsidR="003C39C7" w:rsidRPr="00664FF3">
        <w:rPr>
          <w:rFonts w:ascii="Calibri" w:hAnsi="Calibri" w:cs="Calibri"/>
        </w:rPr>
        <w:t xml:space="preserve"> </w:t>
      </w:r>
      <w:r w:rsidR="00EB01DF" w:rsidRPr="00664FF3">
        <w:rPr>
          <w:rFonts w:ascii="Calibri" w:hAnsi="Calibri" w:cs="Calibri"/>
        </w:rPr>
        <w:t>NYC DOT</w:t>
      </w:r>
      <w:r w:rsidR="003C39C7" w:rsidRPr="00664FF3">
        <w:rPr>
          <w:rFonts w:ascii="Calibri" w:hAnsi="Calibri" w:cs="Calibri"/>
        </w:rPr>
        <w:t xml:space="preserve">. </w:t>
      </w:r>
      <w:r w:rsidR="0066054F" w:rsidRPr="00664FF3">
        <w:rPr>
          <w:rFonts w:ascii="Calibri" w:hAnsi="Calibri" w:cs="Calibri"/>
        </w:rPr>
        <w:t>While e</w:t>
      </w:r>
      <w:r w:rsidR="003C39C7" w:rsidRPr="00664FF3">
        <w:rPr>
          <w:rFonts w:ascii="Calibri" w:hAnsi="Calibri" w:cs="Calibri"/>
        </w:rPr>
        <w:t xml:space="preserve">xisting staff from each of these agencies </w:t>
      </w:r>
      <w:r w:rsidR="001D621A" w:rsidRPr="00664FF3">
        <w:rPr>
          <w:rFonts w:ascii="Calibri" w:hAnsi="Calibri" w:cs="Calibri"/>
        </w:rPr>
        <w:t>will</w:t>
      </w:r>
      <w:r w:rsidR="003C39C7" w:rsidRPr="00664FF3">
        <w:rPr>
          <w:rFonts w:ascii="Calibri" w:hAnsi="Calibri" w:cs="Calibri"/>
        </w:rPr>
        <w:t xml:space="preserve"> provide support </w:t>
      </w:r>
      <w:r w:rsidR="002A49C4" w:rsidRPr="00664FF3">
        <w:rPr>
          <w:rFonts w:ascii="Calibri" w:hAnsi="Calibri" w:cs="Calibri"/>
        </w:rPr>
        <w:t>for</w:t>
      </w:r>
      <w:r w:rsidR="003C39C7" w:rsidRPr="00664FF3">
        <w:rPr>
          <w:rFonts w:ascii="Calibri" w:hAnsi="Calibri" w:cs="Calibri"/>
        </w:rPr>
        <w:t xml:space="preserve"> this project</w:t>
      </w:r>
      <w:r w:rsidR="0066054F" w:rsidRPr="00664FF3">
        <w:rPr>
          <w:rFonts w:ascii="Calibri" w:hAnsi="Calibri" w:cs="Calibri"/>
        </w:rPr>
        <w:t>,</w:t>
      </w:r>
      <w:r w:rsidR="00A177D3" w:rsidRPr="00664FF3">
        <w:rPr>
          <w:rFonts w:ascii="Calibri" w:hAnsi="Calibri" w:cs="Calibri"/>
        </w:rPr>
        <w:t xml:space="preserve"> </w:t>
      </w:r>
      <w:r w:rsidR="003C39C7" w:rsidRPr="00664FF3">
        <w:rPr>
          <w:rFonts w:ascii="Calibri" w:hAnsi="Calibri" w:cs="Calibri"/>
        </w:rPr>
        <w:t>funding for existing staff</w:t>
      </w:r>
      <w:r w:rsidR="001D621A" w:rsidRPr="00664FF3">
        <w:rPr>
          <w:rFonts w:ascii="Calibri" w:hAnsi="Calibri" w:cs="Calibri"/>
        </w:rPr>
        <w:t xml:space="preserve"> is not requested</w:t>
      </w:r>
      <w:r w:rsidR="003C39C7" w:rsidRPr="00664FF3">
        <w:rPr>
          <w:rFonts w:ascii="Calibri" w:hAnsi="Calibri" w:cs="Calibri"/>
        </w:rPr>
        <w:t>.</w:t>
      </w:r>
      <w:r w:rsidR="00E223CE" w:rsidRPr="00664FF3">
        <w:rPr>
          <w:rFonts w:ascii="Calibri" w:hAnsi="Calibri" w:cs="Calibri"/>
        </w:rPr>
        <w:t xml:space="preserve"> </w:t>
      </w:r>
    </w:p>
    <w:p w14:paraId="6EF4BC42" w14:textId="6257B0B9" w:rsidR="009E6A8C" w:rsidRPr="003C4E2C" w:rsidRDefault="00CB5898" w:rsidP="00DF2786">
      <w:pPr>
        <w:pStyle w:val="Heading2"/>
        <w:spacing w:before="80" w:after="0"/>
        <w:jc w:val="both"/>
        <w:rPr>
          <w:rFonts w:ascii="Calibri" w:hAnsi="Calibri" w:cs="Calibri"/>
          <w:b/>
          <w:bCs/>
          <w:color w:val="auto"/>
          <w:sz w:val="22"/>
          <w:szCs w:val="22"/>
        </w:rPr>
      </w:pPr>
      <w:r w:rsidRPr="003C4E2C">
        <w:rPr>
          <w:rFonts w:ascii="Calibri" w:hAnsi="Calibri" w:cs="Calibri"/>
          <w:b/>
          <w:bCs/>
          <w:color w:val="auto"/>
          <w:sz w:val="22"/>
          <w:szCs w:val="22"/>
        </w:rPr>
        <w:t xml:space="preserve">Fringe Benefits: </w:t>
      </w:r>
      <w:r w:rsidRPr="003C4E2C">
        <w:rPr>
          <w:rFonts w:ascii="Calibri" w:hAnsi="Calibri" w:cs="Calibri"/>
          <w:color w:val="auto"/>
          <w:sz w:val="22"/>
          <w:szCs w:val="22"/>
        </w:rPr>
        <w:t>$</w:t>
      </w:r>
      <w:r w:rsidR="00EF6B39" w:rsidRPr="003C4E2C">
        <w:rPr>
          <w:rFonts w:ascii="Calibri" w:hAnsi="Calibri" w:cs="Calibri"/>
          <w:color w:val="auto"/>
          <w:sz w:val="22"/>
          <w:szCs w:val="22"/>
        </w:rPr>
        <w:t>2,861,601</w:t>
      </w:r>
    </w:p>
    <w:p w14:paraId="64E337EA" w14:textId="65F905E6" w:rsidR="009E6A8C" w:rsidRDefault="00EB01DF" w:rsidP="00DF2786">
      <w:pPr>
        <w:autoSpaceDE w:val="0"/>
        <w:autoSpaceDN w:val="0"/>
        <w:adjustRightInd w:val="0"/>
        <w:snapToGrid w:val="0"/>
        <w:spacing w:before="80" w:after="240"/>
        <w:rPr>
          <w:rFonts w:ascii="Calibri" w:eastAsia="Times New Roman" w:hAnsi="Calibri" w:cs="Calibri"/>
          <w:kern w:val="0"/>
          <w:lang w:val="x-none"/>
        </w:rPr>
      </w:pPr>
      <w:r w:rsidRPr="00664FF3">
        <w:rPr>
          <w:rFonts w:ascii="Calibri" w:eastAsia="Times New Roman" w:hAnsi="Calibri" w:cs="Calibri"/>
          <w:kern w:val="0"/>
        </w:rPr>
        <w:t>NYC DOT</w:t>
      </w:r>
      <w:r w:rsidR="003D0B0F" w:rsidRPr="00664FF3">
        <w:rPr>
          <w:rFonts w:ascii="Calibri" w:eastAsia="Times New Roman" w:hAnsi="Calibri" w:cs="Calibri"/>
          <w:kern w:val="0"/>
        </w:rPr>
        <w:t xml:space="preserve"> is requesting f</w:t>
      </w:r>
      <w:proofErr w:type="spellStart"/>
      <w:r w:rsidR="009E6A8C" w:rsidRPr="00664FF3">
        <w:rPr>
          <w:rFonts w:ascii="Calibri" w:eastAsia="Times New Roman" w:hAnsi="Calibri" w:cs="Calibri"/>
          <w:kern w:val="0"/>
          <w:lang w:val="x-none"/>
        </w:rPr>
        <w:t>ringe</w:t>
      </w:r>
      <w:proofErr w:type="spellEnd"/>
      <w:r w:rsidR="009E6A8C" w:rsidRPr="00664FF3">
        <w:rPr>
          <w:rFonts w:ascii="Calibri" w:eastAsia="Times New Roman" w:hAnsi="Calibri" w:cs="Calibri"/>
          <w:kern w:val="0"/>
          <w:lang w:val="x-none"/>
        </w:rPr>
        <w:t xml:space="preserve"> benefits</w:t>
      </w:r>
      <w:r w:rsidR="00744348" w:rsidRPr="00664FF3">
        <w:rPr>
          <w:rFonts w:ascii="Calibri" w:eastAsia="Times New Roman" w:hAnsi="Calibri" w:cs="Calibri"/>
          <w:kern w:val="0"/>
          <w:lang w:val="x-none"/>
        </w:rPr>
        <w:t xml:space="preserve"> for the </w:t>
      </w:r>
      <w:r w:rsidR="001D621A" w:rsidRPr="00664FF3">
        <w:rPr>
          <w:rFonts w:ascii="Calibri" w:eastAsia="Times New Roman" w:hAnsi="Calibri" w:cs="Calibri"/>
          <w:kern w:val="0"/>
          <w:lang w:val="x-none"/>
        </w:rPr>
        <w:t>fifteen</w:t>
      </w:r>
      <w:r w:rsidR="00744348" w:rsidRPr="00664FF3">
        <w:rPr>
          <w:rFonts w:ascii="Calibri" w:eastAsia="Times New Roman" w:hAnsi="Calibri" w:cs="Calibri"/>
          <w:kern w:val="0"/>
          <w:lang w:val="x-none"/>
        </w:rPr>
        <w:t xml:space="preserve"> new </w:t>
      </w:r>
      <w:r w:rsidR="008A29D5" w:rsidRPr="00664FF3">
        <w:rPr>
          <w:rFonts w:ascii="Calibri" w:eastAsia="Times New Roman" w:hAnsi="Calibri" w:cs="Calibri"/>
          <w:kern w:val="0"/>
          <w:lang w:val="x-none"/>
        </w:rPr>
        <w:t>100% FTE posit</w:t>
      </w:r>
      <w:r w:rsidR="009C1368" w:rsidRPr="00664FF3">
        <w:rPr>
          <w:rFonts w:ascii="Calibri" w:eastAsia="Times New Roman" w:hAnsi="Calibri" w:cs="Calibri"/>
          <w:kern w:val="0"/>
          <w:lang w:val="x-none"/>
        </w:rPr>
        <w:t xml:space="preserve">ions </w:t>
      </w:r>
      <w:r w:rsidR="00BE5834" w:rsidRPr="00664FF3">
        <w:rPr>
          <w:rFonts w:ascii="Calibri" w:eastAsia="Times New Roman" w:hAnsi="Calibri" w:cs="Calibri"/>
          <w:kern w:val="0"/>
          <w:lang w:val="x-none"/>
        </w:rPr>
        <w:t>described</w:t>
      </w:r>
      <w:r w:rsidR="009C1368" w:rsidRPr="00664FF3">
        <w:rPr>
          <w:rFonts w:ascii="Calibri" w:eastAsia="Times New Roman" w:hAnsi="Calibri" w:cs="Calibri"/>
          <w:kern w:val="0"/>
          <w:lang w:val="x-none"/>
        </w:rPr>
        <w:t xml:space="preserve"> above. </w:t>
      </w:r>
      <w:r w:rsidR="006D6877" w:rsidRPr="00664FF3">
        <w:rPr>
          <w:rFonts w:ascii="Calibri" w:eastAsia="Times New Roman" w:hAnsi="Calibri" w:cs="Calibri"/>
          <w:kern w:val="0"/>
          <w:lang w:val="x-none"/>
        </w:rPr>
        <w:t>Fring</w:t>
      </w:r>
      <w:r w:rsidR="00453B9A" w:rsidRPr="00664FF3">
        <w:rPr>
          <w:rFonts w:ascii="Calibri" w:eastAsia="Times New Roman" w:hAnsi="Calibri" w:cs="Calibri"/>
          <w:kern w:val="0"/>
        </w:rPr>
        <w:t>e</w:t>
      </w:r>
      <w:r w:rsidR="006D6877" w:rsidRPr="00664FF3">
        <w:rPr>
          <w:rFonts w:ascii="Calibri" w:eastAsia="Times New Roman" w:hAnsi="Calibri" w:cs="Calibri"/>
          <w:kern w:val="0"/>
          <w:lang w:val="x-none"/>
        </w:rPr>
        <w:t xml:space="preserve"> benefits for these positions</w:t>
      </w:r>
      <w:r w:rsidR="009E6A8C" w:rsidRPr="00664FF3">
        <w:rPr>
          <w:rFonts w:ascii="Calibri" w:eastAsia="Times New Roman" w:hAnsi="Calibri" w:cs="Calibri"/>
          <w:kern w:val="0"/>
          <w:lang w:val="x-none"/>
        </w:rPr>
        <w:t xml:space="preserve"> were calculated at a rate of 58.63%, which represents NYC’s FY2024 federally negotiated civilian fringe rate. This fringe rate includes pension, social security, health insurance, supplemental benefits, worker’s compensation, unemployment, and MTA payroll tax. </w:t>
      </w:r>
      <w:r w:rsidR="00097562" w:rsidRPr="00664FF3">
        <w:rPr>
          <w:rFonts w:ascii="Calibri" w:eastAsia="Times New Roman" w:hAnsi="Calibri" w:cs="Calibri"/>
          <w:kern w:val="0"/>
          <w:lang w:val="x-none"/>
        </w:rPr>
        <w:t>A</w:t>
      </w:r>
      <w:r w:rsidR="00F43F7F" w:rsidRPr="00664FF3">
        <w:rPr>
          <w:rFonts w:ascii="Calibri" w:eastAsia="Times New Roman" w:hAnsi="Calibri" w:cs="Calibri"/>
          <w:kern w:val="0"/>
          <w:lang w:val="x-none"/>
        </w:rPr>
        <w:t xml:space="preserve"> breakdown of total</w:t>
      </w:r>
      <w:r w:rsidR="001F12F5" w:rsidRPr="00664FF3">
        <w:rPr>
          <w:rFonts w:ascii="Calibri" w:eastAsia="Times New Roman" w:hAnsi="Calibri" w:cs="Calibri"/>
          <w:kern w:val="0"/>
          <w:lang w:val="x-none"/>
        </w:rPr>
        <w:t xml:space="preserve"> personnel and</w:t>
      </w:r>
      <w:r w:rsidR="00F43F7F" w:rsidRPr="00664FF3">
        <w:rPr>
          <w:rFonts w:ascii="Calibri" w:eastAsia="Times New Roman" w:hAnsi="Calibri" w:cs="Calibri"/>
          <w:kern w:val="0"/>
          <w:lang w:val="x-none"/>
        </w:rPr>
        <w:t xml:space="preserve"> fringe benefit</w:t>
      </w:r>
      <w:r w:rsidR="001F12F5" w:rsidRPr="00664FF3">
        <w:rPr>
          <w:rFonts w:ascii="Calibri" w:eastAsia="Times New Roman" w:hAnsi="Calibri" w:cs="Calibri"/>
          <w:kern w:val="0"/>
          <w:lang w:val="x-none"/>
        </w:rPr>
        <w:t xml:space="preserve"> </w:t>
      </w:r>
      <w:r w:rsidR="00F43F7F" w:rsidRPr="00664FF3">
        <w:rPr>
          <w:rFonts w:ascii="Calibri" w:eastAsia="Times New Roman" w:hAnsi="Calibri" w:cs="Calibri"/>
          <w:kern w:val="0"/>
          <w:lang w:val="x-none"/>
        </w:rPr>
        <w:t>project</w:t>
      </w:r>
      <w:r w:rsidR="006B478F" w:rsidRPr="00664FF3">
        <w:rPr>
          <w:rFonts w:ascii="Calibri" w:eastAsia="Times New Roman" w:hAnsi="Calibri" w:cs="Calibri"/>
          <w:kern w:val="0"/>
          <w:lang w:val="x-none"/>
        </w:rPr>
        <w:t xml:space="preserve"> costs</w:t>
      </w:r>
      <w:r w:rsidR="00097562" w:rsidRPr="00664FF3">
        <w:rPr>
          <w:rFonts w:ascii="Calibri" w:eastAsia="Times New Roman" w:hAnsi="Calibri" w:cs="Calibri"/>
          <w:kern w:val="0"/>
          <w:lang w:val="x-none"/>
        </w:rPr>
        <w:t xml:space="preserve"> is shown in </w:t>
      </w:r>
      <w:r w:rsidR="00097562" w:rsidRPr="00664FF3">
        <w:rPr>
          <w:rFonts w:ascii="Calibri" w:eastAsia="Times New Roman" w:hAnsi="Calibri" w:cs="Calibri"/>
          <w:b/>
          <w:bCs/>
          <w:kern w:val="0"/>
          <w:lang w:val="x-none"/>
        </w:rPr>
        <w:t>Table 2</w:t>
      </w:r>
      <w:r w:rsidR="00F43F7F" w:rsidRPr="00664FF3">
        <w:rPr>
          <w:rFonts w:ascii="Calibri" w:eastAsia="Times New Roman" w:hAnsi="Calibri" w:cs="Calibri"/>
          <w:kern w:val="0"/>
          <w:lang w:val="x-none"/>
        </w:rPr>
        <w:t>.</w:t>
      </w:r>
    </w:p>
    <w:p w14:paraId="5B7FBD65" w14:textId="77777777" w:rsidR="003C4E2C" w:rsidRDefault="003C4E2C" w:rsidP="00DF2786">
      <w:pPr>
        <w:autoSpaceDE w:val="0"/>
        <w:autoSpaceDN w:val="0"/>
        <w:adjustRightInd w:val="0"/>
        <w:snapToGrid w:val="0"/>
        <w:spacing w:before="80" w:after="240"/>
        <w:rPr>
          <w:rFonts w:ascii="Calibri" w:eastAsia="Times New Roman" w:hAnsi="Calibri" w:cs="Calibri"/>
          <w:kern w:val="0"/>
          <w:lang w:val="x-none"/>
        </w:rPr>
      </w:pPr>
    </w:p>
    <w:p w14:paraId="463D106C" w14:textId="77777777" w:rsidR="003C4E2C" w:rsidRPr="00664FF3" w:rsidRDefault="003C4E2C" w:rsidP="00DF2786">
      <w:pPr>
        <w:autoSpaceDE w:val="0"/>
        <w:autoSpaceDN w:val="0"/>
        <w:adjustRightInd w:val="0"/>
        <w:snapToGrid w:val="0"/>
        <w:spacing w:before="80" w:after="240"/>
        <w:rPr>
          <w:rFonts w:ascii="Calibri" w:eastAsia="Times New Roman" w:hAnsi="Calibri" w:cs="Calibri"/>
          <w:kern w:val="0"/>
          <w:lang w:val="x-none"/>
        </w:rPr>
      </w:pPr>
    </w:p>
    <w:p w14:paraId="24196AD0" w14:textId="45F1502C" w:rsidR="000C55CD" w:rsidRPr="00664FF3" w:rsidRDefault="00754B3D" w:rsidP="00DF2786">
      <w:pPr>
        <w:pStyle w:val="Caption"/>
        <w:spacing w:before="80" w:after="0"/>
        <w:jc w:val="center"/>
        <w:rPr>
          <w:color w:val="auto"/>
        </w:rPr>
      </w:pPr>
      <w:r w:rsidRPr="00664FF3">
        <w:rPr>
          <w:color w:val="auto"/>
        </w:rPr>
        <w:t xml:space="preserve">Table </w:t>
      </w:r>
      <w:r w:rsidR="00686437" w:rsidRPr="00664FF3">
        <w:rPr>
          <w:color w:val="auto"/>
        </w:rPr>
        <w:fldChar w:fldCharType="begin"/>
      </w:r>
      <w:r w:rsidR="00686437" w:rsidRPr="00664FF3">
        <w:rPr>
          <w:color w:val="auto"/>
        </w:rPr>
        <w:instrText xml:space="preserve"> SEQ Table \* ARABIC </w:instrText>
      </w:r>
      <w:r w:rsidR="00686437" w:rsidRPr="00664FF3">
        <w:rPr>
          <w:color w:val="auto"/>
        </w:rPr>
        <w:fldChar w:fldCharType="separate"/>
      </w:r>
      <w:r w:rsidRPr="00664FF3">
        <w:rPr>
          <w:noProof/>
          <w:color w:val="auto"/>
        </w:rPr>
        <w:t>2</w:t>
      </w:r>
      <w:r w:rsidR="00686437" w:rsidRPr="00664FF3">
        <w:rPr>
          <w:noProof/>
          <w:color w:val="auto"/>
        </w:rPr>
        <w:fldChar w:fldCharType="end"/>
      </w:r>
      <w:r w:rsidRPr="00664FF3">
        <w:rPr>
          <w:color w:val="auto"/>
        </w:rPr>
        <w:t xml:space="preserve">: </w:t>
      </w:r>
      <w:r w:rsidR="00C81986" w:rsidRPr="00664FF3">
        <w:rPr>
          <w:color w:val="auto"/>
        </w:rPr>
        <w:t xml:space="preserve">Personnel and </w:t>
      </w:r>
      <w:r w:rsidRPr="00664FF3">
        <w:rPr>
          <w:color w:val="auto"/>
        </w:rPr>
        <w:t>Fringe Benefits Total</w:t>
      </w:r>
    </w:p>
    <w:tbl>
      <w:tblPr>
        <w:tblW w:w="8680" w:type="dxa"/>
        <w:jc w:val="center"/>
        <w:tblLook w:val="04A0" w:firstRow="1" w:lastRow="0" w:firstColumn="1" w:lastColumn="0" w:noHBand="0" w:noVBand="1"/>
      </w:tblPr>
      <w:tblGrid>
        <w:gridCol w:w="1560"/>
        <w:gridCol w:w="940"/>
        <w:gridCol w:w="1020"/>
        <w:gridCol w:w="1080"/>
        <w:gridCol w:w="1100"/>
        <w:gridCol w:w="1040"/>
        <w:gridCol w:w="740"/>
        <w:gridCol w:w="1200"/>
      </w:tblGrid>
      <w:tr w:rsidR="00664FF3" w:rsidRPr="00664FF3" w14:paraId="26F8754D" w14:textId="77777777" w:rsidTr="00D70966">
        <w:trPr>
          <w:trHeight w:val="580"/>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2A7373" w14:textId="77777777" w:rsidR="00D70966" w:rsidRPr="00664FF3" w:rsidRDefault="00D70966"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Position (100% FTE)</w:t>
            </w:r>
          </w:p>
        </w:tc>
        <w:tc>
          <w:tcPr>
            <w:tcW w:w="940" w:type="dxa"/>
            <w:tcBorders>
              <w:top w:val="single" w:sz="4" w:space="0" w:color="auto"/>
              <w:left w:val="nil"/>
              <w:bottom w:val="single" w:sz="4" w:space="0" w:color="auto"/>
              <w:right w:val="single" w:sz="4" w:space="0" w:color="auto"/>
            </w:tcBorders>
            <w:shd w:val="clear" w:color="auto" w:fill="auto"/>
            <w:vAlign w:val="bottom"/>
            <w:hideMark/>
          </w:tcPr>
          <w:p w14:paraId="349BF412" w14:textId="77777777" w:rsidR="00D70966" w:rsidRPr="00664FF3" w:rsidRDefault="00D70966"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Year 1 Salary</w:t>
            </w:r>
          </w:p>
        </w:tc>
        <w:tc>
          <w:tcPr>
            <w:tcW w:w="1020" w:type="dxa"/>
            <w:tcBorders>
              <w:top w:val="single" w:sz="4" w:space="0" w:color="auto"/>
              <w:left w:val="nil"/>
              <w:bottom w:val="single" w:sz="4" w:space="0" w:color="auto"/>
              <w:right w:val="single" w:sz="4" w:space="0" w:color="auto"/>
            </w:tcBorders>
            <w:shd w:val="clear" w:color="auto" w:fill="auto"/>
            <w:vAlign w:val="bottom"/>
            <w:hideMark/>
          </w:tcPr>
          <w:p w14:paraId="5DEF2297" w14:textId="77777777" w:rsidR="00D70966" w:rsidRPr="00664FF3" w:rsidRDefault="00D70966"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Year 2 Salary</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14:paraId="3A0EE2B5" w14:textId="77777777" w:rsidR="00D70966" w:rsidRPr="00664FF3" w:rsidRDefault="00D70966"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Year 3 Salary</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14:paraId="681C0A26" w14:textId="77777777" w:rsidR="00D70966" w:rsidRPr="00664FF3" w:rsidRDefault="00D70966"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Year 4 Salary</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14:paraId="16BE5030" w14:textId="77777777" w:rsidR="00D70966" w:rsidRPr="00664FF3" w:rsidRDefault="00D70966"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Year 5 Salary</w:t>
            </w:r>
          </w:p>
        </w:tc>
        <w:tc>
          <w:tcPr>
            <w:tcW w:w="740" w:type="dxa"/>
            <w:tcBorders>
              <w:top w:val="single" w:sz="4" w:space="0" w:color="auto"/>
              <w:left w:val="nil"/>
              <w:bottom w:val="single" w:sz="4" w:space="0" w:color="auto"/>
              <w:right w:val="single" w:sz="4" w:space="0" w:color="auto"/>
            </w:tcBorders>
            <w:shd w:val="clear" w:color="auto" w:fill="auto"/>
            <w:vAlign w:val="bottom"/>
            <w:hideMark/>
          </w:tcPr>
          <w:p w14:paraId="1E1708FF" w14:textId="77777777" w:rsidR="00D70966" w:rsidRPr="00664FF3" w:rsidRDefault="00D70966"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Staff</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14:paraId="74C0E404" w14:textId="77777777" w:rsidR="00D70966" w:rsidRPr="00664FF3" w:rsidRDefault="00D70966"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Subtotal</w:t>
            </w:r>
          </w:p>
        </w:tc>
      </w:tr>
      <w:tr w:rsidR="00664FF3" w:rsidRPr="00664FF3" w14:paraId="74B2DDDD" w14:textId="77777777" w:rsidTr="00D70966">
        <w:trPr>
          <w:trHeight w:val="87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14:paraId="24B8CA97" w14:textId="77777777" w:rsidR="00D70966" w:rsidRPr="00664FF3" w:rsidRDefault="00D70966"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Project Manager (NYCDOT)</w:t>
            </w:r>
          </w:p>
        </w:tc>
        <w:tc>
          <w:tcPr>
            <w:tcW w:w="940" w:type="dxa"/>
            <w:tcBorders>
              <w:top w:val="nil"/>
              <w:left w:val="nil"/>
              <w:bottom w:val="single" w:sz="4" w:space="0" w:color="auto"/>
              <w:right w:val="single" w:sz="4" w:space="0" w:color="auto"/>
            </w:tcBorders>
            <w:shd w:val="clear" w:color="auto" w:fill="auto"/>
            <w:vAlign w:val="bottom"/>
            <w:hideMark/>
          </w:tcPr>
          <w:p w14:paraId="6040BE7F"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$92,030 </w:t>
            </w:r>
          </w:p>
        </w:tc>
        <w:tc>
          <w:tcPr>
            <w:tcW w:w="1020" w:type="dxa"/>
            <w:tcBorders>
              <w:top w:val="nil"/>
              <w:left w:val="nil"/>
              <w:bottom w:val="single" w:sz="4" w:space="0" w:color="auto"/>
              <w:right w:val="single" w:sz="4" w:space="0" w:color="auto"/>
            </w:tcBorders>
            <w:shd w:val="clear" w:color="auto" w:fill="auto"/>
            <w:vAlign w:val="bottom"/>
            <w:hideMark/>
          </w:tcPr>
          <w:p w14:paraId="2ED8FE75"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$94,791 </w:t>
            </w:r>
          </w:p>
        </w:tc>
        <w:tc>
          <w:tcPr>
            <w:tcW w:w="1080" w:type="dxa"/>
            <w:tcBorders>
              <w:top w:val="nil"/>
              <w:left w:val="nil"/>
              <w:bottom w:val="single" w:sz="4" w:space="0" w:color="auto"/>
              <w:right w:val="single" w:sz="4" w:space="0" w:color="auto"/>
            </w:tcBorders>
            <w:shd w:val="clear" w:color="auto" w:fill="auto"/>
            <w:vAlign w:val="bottom"/>
            <w:hideMark/>
          </w:tcPr>
          <w:p w14:paraId="55A68CB2"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$97,635 </w:t>
            </w:r>
          </w:p>
        </w:tc>
        <w:tc>
          <w:tcPr>
            <w:tcW w:w="1100" w:type="dxa"/>
            <w:tcBorders>
              <w:top w:val="nil"/>
              <w:left w:val="nil"/>
              <w:bottom w:val="single" w:sz="4" w:space="0" w:color="auto"/>
              <w:right w:val="single" w:sz="4" w:space="0" w:color="auto"/>
            </w:tcBorders>
            <w:shd w:val="clear" w:color="auto" w:fill="auto"/>
            <w:vAlign w:val="bottom"/>
            <w:hideMark/>
          </w:tcPr>
          <w:p w14:paraId="7170595C"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$100,564 </w:t>
            </w:r>
          </w:p>
        </w:tc>
        <w:tc>
          <w:tcPr>
            <w:tcW w:w="1040" w:type="dxa"/>
            <w:tcBorders>
              <w:top w:val="nil"/>
              <w:left w:val="nil"/>
              <w:bottom w:val="single" w:sz="4" w:space="0" w:color="auto"/>
              <w:right w:val="single" w:sz="4" w:space="0" w:color="auto"/>
            </w:tcBorders>
            <w:shd w:val="clear" w:color="auto" w:fill="auto"/>
            <w:vAlign w:val="bottom"/>
            <w:hideMark/>
          </w:tcPr>
          <w:p w14:paraId="7E21104F"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$103,581 </w:t>
            </w:r>
          </w:p>
        </w:tc>
        <w:tc>
          <w:tcPr>
            <w:tcW w:w="740" w:type="dxa"/>
            <w:tcBorders>
              <w:top w:val="nil"/>
              <w:left w:val="nil"/>
              <w:bottom w:val="single" w:sz="4" w:space="0" w:color="auto"/>
              <w:right w:val="single" w:sz="4" w:space="0" w:color="auto"/>
            </w:tcBorders>
            <w:shd w:val="clear" w:color="auto" w:fill="auto"/>
            <w:vAlign w:val="bottom"/>
            <w:hideMark/>
          </w:tcPr>
          <w:p w14:paraId="557BAA7F"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4</w:t>
            </w:r>
          </w:p>
        </w:tc>
        <w:tc>
          <w:tcPr>
            <w:tcW w:w="1200" w:type="dxa"/>
            <w:tcBorders>
              <w:top w:val="nil"/>
              <w:left w:val="nil"/>
              <w:bottom w:val="single" w:sz="4" w:space="0" w:color="auto"/>
              <w:right w:val="single" w:sz="4" w:space="0" w:color="auto"/>
            </w:tcBorders>
            <w:shd w:val="clear" w:color="auto" w:fill="auto"/>
            <w:vAlign w:val="bottom"/>
            <w:hideMark/>
          </w:tcPr>
          <w:p w14:paraId="0448B776"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$1,954,399 </w:t>
            </w:r>
          </w:p>
        </w:tc>
      </w:tr>
      <w:tr w:rsidR="00664FF3" w:rsidRPr="00664FF3" w14:paraId="79FB9415" w14:textId="77777777" w:rsidTr="00D70966">
        <w:trPr>
          <w:trHeight w:val="87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14:paraId="0CF669BD" w14:textId="77777777" w:rsidR="00D70966" w:rsidRPr="00664FF3" w:rsidRDefault="00D70966"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Project Coordinator (NYCDOT)</w:t>
            </w:r>
          </w:p>
        </w:tc>
        <w:tc>
          <w:tcPr>
            <w:tcW w:w="940" w:type="dxa"/>
            <w:tcBorders>
              <w:top w:val="nil"/>
              <w:left w:val="nil"/>
              <w:bottom w:val="single" w:sz="4" w:space="0" w:color="auto"/>
              <w:right w:val="single" w:sz="4" w:space="0" w:color="auto"/>
            </w:tcBorders>
            <w:shd w:val="clear" w:color="auto" w:fill="auto"/>
            <w:vAlign w:val="bottom"/>
            <w:hideMark/>
          </w:tcPr>
          <w:p w14:paraId="64433446"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$75,442 </w:t>
            </w:r>
          </w:p>
        </w:tc>
        <w:tc>
          <w:tcPr>
            <w:tcW w:w="1020" w:type="dxa"/>
            <w:tcBorders>
              <w:top w:val="nil"/>
              <w:left w:val="nil"/>
              <w:bottom w:val="single" w:sz="4" w:space="0" w:color="auto"/>
              <w:right w:val="single" w:sz="4" w:space="0" w:color="auto"/>
            </w:tcBorders>
            <w:shd w:val="clear" w:color="auto" w:fill="auto"/>
            <w:vAlign w:val="bottom"/>
            <w:hideMark/>
          </w:tcPr>
          <w:p w14:paraId="01395F9D"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$77,705 </w:t>
            </w:r>
          </w:p>
        </w:tc>
        <w:tc>
          <w:tcPr>
            <w:tcW w:w="1080" w:type="dxa"/>
            <w:tcBorders>
              <w:top w:val="nil"/>
              <w:left w:val="nil"/>
              <w:bottom w:val="single" w:sz="4" w:space="0" w:color="auto"/>
              <w:right w:val="single" w:sz="4" w:space="0" w:color="auto"/>
            </w:tcBorders>
            <w:shd w:val="clear" w:color="auto" w:fill="auto"/>
            <w:vAlign w:val="bottom"/>
            <w:hideMark/>
          </w:tcPr>
          <w:p w14:paraId="1115B905"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$80,036 </w:t>
            </w:r>
          </w:p>
        </w:tc>
        <w:tc>
          <w:tcPr>
            <w:tcW w:w="1100" w:type="dxa"/>
            <w:tcBorders>
              <w:top w:val="nil"/>
              <w:left w:val="nil"/>
              <w:bottom w:val="single" w:sz="4" w:space="0" w:color="auto"/>
              <w:right w:val="single" w:sz="4" w:space="0" w:color="auto"/>
            </w:tcBorders>
            <w:shd w:val="clear" w:color="auto" w:fill="auto"/>
            <w:vAlign w:val="bottom"/>
            <w:hideMark/>
          </w:tcPr>
          <w:p w14:paraId="0967A407"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$82,438 </w:t>
            </w:r>
          </w:p>
        </w:tc>
        <w:tc>
          <w:tcPr>
            <w:tcW w:w="1040" w:type="dxa"/>
            <w:tcBorders>
              <w:top w:val="nil"/>
              <w:left w:val="nil"/>
              <w:bottom w:val="single" w:sz="4" w:space="0" w:color="auto"/>
              <w:right w:val="single" w:sz="4" w:space="0" w:color="auto"/>
            </w:tcBorders>
            <w:shd w:val="clear" w:color="auto" w:fill="auto"/>
            <w:vAlign w:val="bottom"/>
            <w:hideMark/>
          </w:tcPr>
          <w:p w14:paraId="680C49CA"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$84,911 </w:t>
            </w:r>
          </w:p>
        </w:tc>
        <w:tc>
          <w:tcPr>
            <w:tcW w:w="740" w:type="dxa"/>
            <w:tcBorders>
              <w:top w:val="nil"/>
              <w:left w:val="nil"/>
              <w:bottom w:val="single" w:sz="4" w:space="0" w:color="auto"/>
              <w:right w:val="single" w:sz="4" w:space="0" w:color="auto"/>
            </w:tcBorders>
            <w:shd w:val="clear" w:color="auto" w:fill="auto"/>
            <w:vAlign w:val="bottom"/>
            <w:hideMark/>
          </w:tcPr>
          <w:p w14:paraId="3A77B724"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6</w:t>
            </w:r>
          </w:p>
        </w:tc>
        <w:tc>
          <w:tcPr>
            <w:tcW w:w="1200" w:type="dxa"/>
            <w:tcBorders>
              <w:top w:val="nil"/>
              <w:left w:val="nil"/>
              <w:bottom w:val="single" w:sz="4" w:space="0" w:color="auto"/>
              <w:right w:val="single" w:sz="4" w:space="0" w:color="auto"/>
            </w:tcBorders>
            <w:shd w:val="clear" w:color="auto" w:fill="auto"/>
            <w:vAlign w:val="bottom"/>
            <w:hideMark/>
          </w:tcPr>
          <w:p w14:paraId="1DB9BFB0"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$2,403,191 </w:t>
            </w:r>
          </w:p>
        </w:tc>
      </w:tr>
      <w:tr w:rsidR="00664FF3" w:rsidRPr="00664FF3" w14:paraId="1A63BC8C" w14:textId="77777777" w:rsidTr="00D70966">
        <w:trPr>
          <w:trHeight w:val="58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14:paraId="436CDEF7" w14:textId="77777777" w:rsidR="00D70966" w:rsidRPr="00664FF3" w:rsidRDefault="00D70966"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Program Lead (NYCDOT)</w:t>
            </w:r>
          </w:p>
        </w:tc>
        <w:tc>
          <w:tcPr>
            <w:tcW w:w="940" w:type="dxa"/>
            <w:tcBorders>
              <w:top w:val="nil"/>
              <w:left w:val="nil"/>
              <w:bottom w:val="single" w:sz="4" w:space="0" w:color="auto"/>
              <w:right w:val="single" w:sz="4" w:space="0" w:color="auto"/>
            </w:tcBorders>
            <w:shd w:val="clear" w:color="auto" w:fill="auto"/>
            <w:vAlign w:val="bottom"/>
            <w:hideMark/>
          </w:tcPr>
          <w:p w14:paraId="42B294F4"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$98,545 </w:t>
            </w:r>
          </w:p>
        </w:tc>
        <w:tc>
          <w:tcPr>
            <w:tcW w:w="1020" w:type="dxa"/>
            <w:tcBorders>
              <w:top w:val="nil"/>
              <w:left w:val="nil"/>
              <w:bottom w:val="single" w:sz="4" w:space="0" w:color="auto"/>
              <w:right w:val="single" w:sz="4" w:space="0" w:color="auto"/>
            </w:tcBorders>
            <w:shd w:val="clear" w:color="auto" w:fill="auto"/>
            <w:vAlign w:val="bottom"/>
            <w:hideMark/>
          </w:tcPr>
          <w:p w14:paraId="58092BB5"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$101,501 </w:t>
            </w:r>
          </w:p>
        </w:tc>
        <w:tc>
          <w:tcPr>
            <w:tcW w:w="1080" w:type="dxa"/>
            <w:tcBorders>
              <w:top w:val="nil"/>
              <w:left w:val="nil"/>
              <w:bottom w:val="single" w:sz="4" w:space="0" w:color="auto"/>
              <w:right w:val="single" w:sz="4" w:space="0" w:color="auto"/>
            </w:tcBorders>
            <w:shd w:val="clear" w:color="auto" w:fill="auto"/>
            <w:vAlign w:val="bottom"/>
            <w:hideMark/>
          </w:tcPr>
          <w:p w14:paraId="72DE9B23"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$104,546 </w:t>
            </w:r>
          </w:p>
        </w:tc>
        <w:tc>
          <w:tcPr>
            <w:tcW w:w="1100" w:type="dxa"/>
            <w:tcBorders>
              <w:top w:val="nil"/>
              <w:left w:val="nil"/>
              <w:bottom w:val="single" w:sz="4" w:space="0" w:color="auto"/>
              <w:right w:val="single" w:sz="4" w:space="0" w:color="auto"/>
            </w:tcBorders>
            <w:shd w:val="clear" w:color="auto" w:fill="auto"/>
            <w:vAlign w:val="bottom"/>
            <w:hideMark/>
          </w:tcPr>
          <w:p w14:paraId="60F28C7E"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$107,683 </w:t>
            </w:r>
          </w:p>
        </w:tc>
        <w:tc>
          <w:tcPr>
            <w:tcW w:w="1040" w:type="dxa"/>
            <w:tcBorders>
              <w:top w:val="nil"/>
              <w:left w:val="nil"/>
              <w:bottom w:val="single" w:sz="4" w:space="0" w:color="auto"/>
              <w:right w:val="single" w:sz="4" w:space="0" w:color="auto"/>
            </w:tcBorders>
            <w:shd w:val="clear" w:color="auto" w:fill="auto"/>
            <w:vAlign w:val="bottom"/>
            <w:hideMark/>
          </w:tcPr>
          <w:p w14:paraId="5404A480"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$110,913 </w:t>
            </w:r>
          </w:p>
        </w:tc>
        <w:tc>
          <w:tcPr>
            <w:tcW w:w="740" w:type="dxa"/>
            <w:tcBorders>
              <w:top w:val="nil"/>
              <w:left w:val="nil"/>
              <w:bottom w:val="single" w:sz="4" w:space="0" w:color="auto"/>
              <w:right w:val="single" w:sz="4" w:space="0" w:color="auto"/>
            </w:tcBorders>
            <w:shd w:val="clear" w:color="auto" w:fill="auto"/>
            <w:vAlign w:val="bottom"/>
            <w:hideMark/>
          </w:tcPr>
          <w:p w14:paraId="51279D76"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1</w:t>
            </w:r>
          </w:p>
        </w:tc>
        <w:tc>
          <w:tcPr>
            <w:tcW w:w="1200" w:type="dxa"/>
            <w:tcBorders>
              <w:top w:val="nil"/>
              <w:left w:val="nil"/>
              <w:bottom w:val="single" w:sz="4" w:space="0" w:color="auto"/>
              <w:right w:val="single" w:sz="4" w:space="0" w:color="auto"/>
            </w:tcBorders>
            <w:shd w:val="clear" w:color="auto" w:fill="auto"/>
            <w:vAlign w:val="bottom"/>
            <w:hideMark/>
          </w:tcPr>
          <w:p w14:paraId="77D0A556"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xml:space="preserve">$523,189 </w:t>
            </w:r>
          </w:p>
        </w:tc>
      </w:tr>
      <w:tr w:rsidR="00664FF3" w:rsidRPr="00664FF3" w14:paraId="5268FD06" w14:textId="77777777" w:rsidTr="00DF2786">
        <w:trPr>
          <w:trHeight w:val="290"/>
          <w:jc w:val="center"/>
        </w:trPr>
        <w:tc>
          <w:tcPr>
            <w:tcW w:w="1560" w:type="dxa"/>
            <w:tcBorders>
              <w:top w:val="nil"/>
              <w:left w:val="nil"/>
              <w:bottom w:val="nil"/>
              <w:right w:val="nil"/>
            </w:tcBorders>
            <w:shd w:val="clear" w:color="auto" w:fill="auto"/>
            <w:noWrap/>
            <w:vAlign w:val="bottom"/>
            <w:hideMark/>
          </w:tcPr>
          <w:p w14:paraId="7F44F456" w14:textId="77777777" w:rsidR="00D70966" w:rsidRPr="00664FF3" w:rsidRDefault="00D70966" w:rsidP="00DF2786">
            <w:pPr>
              <w:spacing w:before="80"/>
              <w:jc w:val="right"/>
              <w:rPr>
                <w:rFonts w:ascii="Calibri" w:eastAsia="Times New Roman" w:hAnsi="Calibri" w:cs="Calibri"/>
                <w:kern w:val="0"/>
                <w:sz w:val="20"/>
                <w:szCs w:val="20"/>
                <w14:ligatures w14:val="none"/>
              </w:rPr>
            </w:pPr>
          </w:p>
        </w:tc>
        <w:tc>
          <w:tcPr>
            <w:tcW w:w="940" w:type="dxa"/>
            <w:tcBorders>
              <w:top w:val="nil"/>
              <w:left w:val="nil"/>
              <w:bottom w:val="nil"/>
              <w:right w:val="nil"/>
            </w:tcBorders>
            <w:shd w:val="clear" w:color="auto" w:fill="auto"/>
            <w:noWrap/>
            <w:vAlign w:val="bottom"/>
            <w:hideMark/>
          </w:tcPr>
          <w:p w14:paraId="135E9143" w14:textId="77777777" w:rsidR="00D70966" w:rsidRPr="00664FF3" w:rsidRDefault="00D70966" w:rsidP="00DF2786">
            <w:pPr>
              <w:spacing w:before="80"/>
              <w:rPr>
                <w:rFonts w:ascii="Times New Roman" w:eastAsia="Times New Roman" w:hAnsi="Times New Roman" w:cs="Times New Roman"/>
                <w:kern w:val="0"/>
                <w:sz w:val="20"/>
                <w:szCs w:val="20"/>
                <w14:ligatures w14:val="none"/>
              </w:rPr>
            </w:pPr>
          </w:p>
        </w:tc>
        <w:tc>
          <w:tcPr>
            <w:tcW w:w="1020" w:type="dxa"/>
            <w:tcBorders>
              <w:top w:val="nil"/>
              <w:left w:val="nil"/>
              <w:bottom w:val="nil"/>
              <w:right w:val="nil"/>
            </w:tcBorders>
            <w:shd w:val="clear" w:color="auto" w:fill="auto"/>
            <w:noWrap/>
            <w:vAlign w:val="bottom"/>
            <w:hideMark/>
          </w:tcPr>
          <w:p w14:paraId="2DF7814C" w14:textId="77777777" w:rsidR="00D70966" w:rsidRPr="00664FF3" w:rsidRDefault="00D70966" w:rsidP="00DF2786">
            <w:pPr>
              <w:spacing w:before="80"/>
              <w:rPr>
                <w:rFonts w:ascii="Times New Roman" w:eastAsia="Times New Roman" w:hAnsi="Times New Roman" w:cs="Times New Roman"/>
                <w:kern w:val="0"/>
                <w:sz w:val="20"/>
                <w:szCs w:val="20"/>
                <w14:ligatures w14:val="none"/>
              </w:rPr>
            </w:pPr>
          </w:p>
        </w:tc>
        <w:tc>
          <w:tcPr>
            <w:tcW w:w="1080" w:type="dxa"/>
            <w:tcBorders>
              <w:top w:val="nil"/>
              <w:left w:val="nil"/>
              <w:bottom w:val="nil"/>
              <w:right w:val="nil"/>
            </w:tcBorders>
            <w:shd w:val="clear" w:color="auto" w:fill="auto"/>
            <w:noWrap/>
            <w:vAlign w:val="bottom"/>
            <w:hideMark/>
          </w:tcPr>
          <w:p w14:paraId="0B27FECE" w14:textId="77777777" w:rsidR="00D70966" w:rsidRPr="00664FF3" w:rsidRDefault="00D70966" w:rsidP="00DF2786">
            <w:pPr>
              <w:spacing w:before="80"/>
              <w:rPr>
                <w:rFonts w:ascii="Times New Roman" w:eastAsia="Times New Roman" w:hAnsi="Times New Roman" w:cs="Times New Roman"/>
                <w:kern w:val="0"/>
                <w:sz w:val="20"/>
                <w:szCs w:val="20"/>
                <w14:ligatures w14:val="none"/>
              </w:rPr>
            </w:pPr>
          </w:p>
        </w:tc>
        <w:tc>
          <w:tcPr>
            <w:tcW w:w="2880" w:type="dxa"/>
            <w:gridSpan w:val="3"/>
            <w:tcBorders>
              <w:top w:val="nil"/>
              <w:left w:val="single" w:sz="4" w:space="0" w:color="auto"/>
              <w:bottom w:val="single" w:sz="4" w:space="0" w:color="auto"/>
              <w:right w:val="single" w:sz="4" w:space="0" w:color="auto"/>
            </w:tcBorders>
            <w:shd w:val="clear" w:color="auto" w:fill="auto"/>
            <w:noWrap/>
            <w:vAlign w:val="bottom"/>
            <w:hideMark/>
          </w:tcPr>
          <w:p w14:paraId="1866CF2C"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Personnel Base Salary Total</w:t>
            </w:r>
          </w:p>
        </w:tc>
        <w:tc>
          <w:tcPr>
            <w:tcW w:w="1200" w:type="dxa"/>
            <w:tcBorders>
              <w:top w:val="nil"/>
              <w:left w:val="nil"/>
              <w:bottom w:val="single" w:sz="4" w:space="0" w:color="auto"/>
              <w:right w:val="single" w:sz="4" w:space="0" w:color="auto"/>
            </w:tcBorders>
            <w:shd w:val="clear" w:color="auto" w:fill="auto"/>
            <w:noWrap/>
            <w:vAlign w:val="bottom"/>
            <w:hideMark/>
          </w:tcPr>
          <w:p w14:paraId="3B269683" w14:textId="77777777" w:rsidR="00D70966" w:rsidRPr="00664FF3" w:rsidRDefault="00D70966" w:rsidP="00DF2786">
            <w:pPr>
              <w:spacing w:before="80"/>
              <w:jc w:val="right"/>
              <w:rPr>
                <w:rFonts w:ascii="Calibri" w:eastAsia="Times New Roman" w:hAnsi="Calibri" w:cs="Calibri"/>
                <w:b/>
                <w:kern w:val="0"/>
                <w:sz w:val="20"/>
                <w:szCs w:val="20"/>
                <w14:ligatures w14:val="none"/>
              </w:rPr>
            </w:pPr>
            <w:r w:rsidRPr="00664FF3">
              <w:rPr>
                <w:rFonts w:ascii="Calibri" w:eastAsia="Times New Roman" w:hAnsi="Calibri" w:cs="Calibri"/>
                <w:b/>
                <w:kern w:val="0"/>
                <w:sz w:val="20"/>
                <w:szCs w:val="20"/>
                <w14:ligatures w14:val="none"/>
              </w:rPr>
              <w:t>$4,880,779</w:t>
            </w:r>
          </w:p>
        </w:tc>
      </w:tr>
      <w:tr w:rsidR="00664FF3" w:rsidRPr="00664FF3" w14:paraId="697601BC" w14:textId="77777777" w:rsidTr="00DF2786">
        <w:trPr>
          <w:trHeight w:val="290"/>
          <w:jc w:val="center"/>
        </w:trPr>
        <w:tc>
          <w:tcPr>
            <w:tcW w:w="1560" w:type="dxa"/>
            <w:tcBorders>
              <w:top w:val="nil"/>
              <w:left w:val="nil"/>
              <w:bottom w:val="nil"/>
              <w:right w:val="nil"/>
            </w:tcBorders>
            <w:shd w:val="clear" w:color="auto" w:fill="auto"/>
            <w:noWrap/>
            <w:vAlign w:val="bottom"/>
            <w:hideMark/>
          </w:tcPr>
          <w:p w14:paraId="20BFBC6D" w14:textId="77777777" w:rsidR="00D70966" w:rsidRPr="00664FF3" w:rsidRDefault="00D70966" w:rsidP="00DF2786">
            <w:pPr>
              <w:spacing w:before="80"/>
              <w:jc w:val="right"/>
              <w:rPr>
                <w:rFonts w:ascii="Calibri" w:eastAsia="Times New Roman" w:hAnsi="Calibri" w:cs="Calibri"/>
                <w:b/>
                <w:kern w:val="0"/>
                <w:sz w:val="20"/>
                <w:szCs w:val="20"/>
                <w14:ligatures w14:val="none"/>
              </w:rPr>
            </w:pPr>
          </w:p>
        </w:tc>
        <w:tc>
          <w:tcPr>
            <w:tcW w:w="940" w:type="dxa"/>
            <w:tcBorders>
              <w:top w:val="nil"/>
              <w:left w:val="nil"/>
              <w:bottom w:val="nil"/>
              <w:right w:val="nil"/>
            </w:tcBorders>
            <w:shd w:val="clear" w:color="auto" w:fill="auto"/>
            <w:noWrap/>
            <w:vAlign w:val="bottom"/>
            <w:hideMark/>
          </w:tcPr>
          <w:p w14:paraId="76AC74FD" w14:textId="77777777" w:rsidR="00D70966" w:rsidRPr="00664FF3" w:rsidRDefault="00D70966" w:rsidP="00DF2786">
            <w:pPr>
              <w:spacing w:before="80"/>
              <w:rPr>
                <w:rFonts w:ascii="Times New Roman" w:eastAsia="Times New Roman" w:hAnsi="Times New Roman" w:cs="Times New Roman"/>
                <w:kern w:val="0"/>
                <w:sz w:val="20"/>
                <w:szCs w:val="20"/>
                <w14:ligatures w14:val="none"/>
              </w:rPr>
            </w:pPr>
          </w:p>
        </w:tc>
        <w:tc>
          <w:tcPr>
            <w:tcW w:w="1020" w:type="dxa"/>
            <w:tcBorders>
              <w:top w:val="nil"/>
              <w:left w:val="nil"/>
              <w:bottom w:val="nil"/>
              <w:right w:val="nil"/>
            </w:tcBorders>
            <w:shd w:val="clear" w:color="auto" w:fill="auto"/>
            <w:noWrap/>
            <w:vAlign w:val="bottom"/>
            <w:hideMark/>
          </w:tcPr>
          <w:p w14:paraId="5111147B" w14:textId="77777777" w:rsidR="00D70966" w:rsidRPr="00664FF3" w:rsidRDefault="00D70966" w:rsidP="00DF2786">
            <w:pPr>
              <w:spacing w:before="80"/>
              <w:rPr>
                <w:rFonts w:ascii="Times New Roman" w:eastAsia="Times New Roman" w:hAnsi="Times New Roman" w:cs="Times New Roman"/>
                <w:kern w:val="0"/>
                <w:sz w:val="20"/>
                <w:szCs w:val="20"/>
                <w14:ligatures w14:val="none"/>
              </w:rPr>
            </w:pPr>
          </w:p>
        </w:tc>
        <w:tc>
          <w:tcPr>
            <w:tcW w:w="1080" w:type="dxa"/>
            <w:tcBorders>
              <w:top w:val="nil"/>
              <w:left w:val="nil"/>
              <w:bottom w:val="nil"/>
              <w:right w:val="nil"/>
            </w:tcBorders>
            <w:shd w:val="clear" w:color="auto" w:fill="auto"/>
            <w:noWrap/>
            <w:vAlign w:val="bottom"/>
            <w:hideMark/>
          </w:tcPr>
          <w:p w14:paraId="174B9538" w14:textId="77777777" w:rsidR="00D70966" w:rsidRPr="00664FF3" w:rsidRDefault="00D70966" w:rsidP="00DF2786">
            <w:pPr>
              <w:spacing w:before="80"/>
              <w:rPr>
                <w:rFonts w:ascii="Times New Roman" w:eastAsia="Times New Roman" w:hAnsi="Times New Roman" w:cs="Times New Roman"/>
                <w:kern w:val="0"/>
                <w:sz w:val="20"/>
                <w:szCs w:val="20"/>
                <w14:ligatures w14:val="none"/>
              </w:rPr>
            </w:pPr>
          </w:p>
        </w:tc>
        <w:tc>
          <w:tcPr>
            <w:tcW w:w="28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83359"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NYC Fringe Rate</w:t>
            </w:r>
          </w:p>
        </w:tc>
        <w:tc>
          <w:tcPr>
            <w:tcW w:w="1200" w:type="dxa"/>
            <w:tcBorders>
              <w:top w:val="nil"/>
              <w:left w:val="nil"/>
              <w:bottom w:val="single" w:sz="4" w:space="0" w:color="auto"/>
              <w:right w:val="single" w:sz="4" w:space="0" w:color="auto"/>
            </w:tcBorders>
            <w:shd w:val="clear" w:color="auto" w:fill="auto"/>
            <w:noWrap/>
            <w:vAlign w:val="bottom"/>
            <w:hideMark/>
          </w:tcPr>
          <w:p w14:paraId="54C6CB67"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58.63%</w:t>
            </w:r>
          </w:p>
        </w:tc>
      </w:tr>
      <w:tr w:rsidR="00664FF3" w:rsidRPr="00664FF3" w14:paraId="2B192340" w14:textId="77777777" w:rsidTr="00DF2786">
        <w:trPr>
          <w:trHeight w:val="290"/>
          <w:jc w:val="center"/>
        </w:trPr>
        <w:tc>
          <w:tcPr>
            <w:tcW w:w="1560" w:type="dxa"/>
            <w:tcBorders>
              <w:top w:val="nil"/>
              <w:left w:val="nil"/>
              <w:bottom w:val="nil"/>
              <w:right w:val="nil"/>
            </w:tcBorders>
            <w:shd w:val="clear" w:color="auto" w:fill="auto"/>
            <w:noWrap/>
            <w:vAlign w:val="bottom"/>
            <w:hideMark/>
          </w:tcPr>
          <w:p w14:paraId="6F2D88E6" w14:textId="77777777" w:rsidR="00D70966" w:rsidRPr="00664FF3" w:rsidRDefault="00D70966" w:rsidP="00DF2786">
            <w:pPr>
              <w:spacing w:before="80"/>
              <w:jc w:val="right"/>
              <w:rPr>
                <w:rFonts w:ascii="Calibri" w:eastAsia="Times New Roman" w:hAnsi="Calibri" w:cs="Calibri"/>
                <w:kern w:val="0"/>
                <w:sz w:val="20"/>
                <w:szCs w:val="20"/>
                <w14:ligatures w14:val="none"/>
              </w:rPr>
            </w:pPr>
          </w:p>
        </w:tc>
        <w:tc>
          <w:tcPr>
            <w:tcW w:w="940" w:type="dxa"/>
            <w:tcBorders>
              <w:top w:val="nil"/>
              <w:left w:val="nil"/>
              <w:bottom w:val="nil"/>
              <w:right w:val="nil"/>
            </w:tcBorders>
            <w:shd w:val="clear" w:color="auto" w:fill="auto"/>
            <w:noWrap/>
            <w:vAlign w:val="bottom"/>
            <w:hideMark/>
          </w:tcPr>
          <w:p w14:paraId="40E9C635" w14:textId="77777777" w:rsidR="00D70966" w:rsidRPr="00664FF3" w:rsidRDefault="00D70966" w:rsidP="00DF2786">
            <w:pPr>
              <w:spacing w:before="80"/>
              <w:rPr>
                <w:rFonts w:ascii="Times New Roman" w:eastAsia="Times New Roman" w:hAnsi="Times New Roman" w:cs="Times New Roman"/>
                <w:kern w:val="0"/>
                <w:sz w:val="20"/>
                <w:szCs w:val="20"/>
                <w14:ligatures w14:val="none"/>
              </w:rPr>
            </w:pPr>
          </w:p>
        </w:tc>
        <w:tc>
          <w:tcPr>
            <w:tcW w:w="1020" w:type="dxa"/>
            <w:tcBorders>
              <w:top w:val="nil"/>
              <w:left w:val="nil"/>
              <w:bottom w:val="nil"/>
              <w:right w:val="nil"/>
            </w:tcBorders>
            <w:shd w:val="clear" w:color="auto" w:fill="auto"/>
            <w:noWrap/>
            <w:vAlign w:val="bottom"/>
            <w:hideMark/>
          </w:tcPr>
          <w:p w14:paraId="6365B366" w14:textId="77777777" w:rsidR="00D70966" w:rsidRPr="00664FF3" w:rsidRDefault="00D70966" w:rsidP="00DF2786">
            <w:pPr>
              <w:spacing w:before="80"/>
              <w:rPr>
                <w:rFonts w:ascii="Times New Roman" w:eastAsia="Times New Roman" w:hAnsi="Times New Roman" w:cs="Times New Roman"/>
                <w:kern w:val="0"/>
                <w:sz w:val="20"/>
                <w:szCs w:val="20"/>
                <w14:ligatures w14:val="none"/>
              </w:rPr>
            </w:pPr>
          </w:p>
        </w:tc>
        <w:tc>
          <w:tcPr>
            <w:tcW w:w="1080" w:type="dxa"/>
            <w:tcBorders>
              <w:top w:val="nil"/>
              <w:left w:val="nil"/>
              <w:bottom w:val="nil"/>
              <w:right w:val="nil"/>
            </w:tcBorders>
            <w:shd w:val="clear" w:color="auto" w:fill="auto"/>
            <w:noWrap/>
            <w:vAlign w:val="bottom"/>
            <w:hideMark/>
          </w:tcPr>
          <w:p w14:paraId="4FA02938" w14:textId="77777777" w:rsidR="00D70966" w:rsidRPr="00664FF3" w:rsidRDefault="00D70966" w:rsidP="00DF2786">
            <w:pPr>
              <w:spacing w:before="80"/>
              <w:rPr>
                <w:rFonts w:ascii="Times New Roman" w:eastAsia="Times New Roman" w:hAnsi="Times New Roman" w:cs="Times New Roman"/>
                <w:kern w:val="0"/>
                <w:sz w:val="20"/>
                <w:szCs w:val="20"/>
                <w14:ligatures w14:val="none"/>
              </w:rPr>
            </w:pPr>
          </w:p>
        </w:tc>
        <w:tc>
          <w:tcPr>
            <w:tcW w:w="288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E5A2907" w14:textId="77777777" w:rsidR="00D70966" w:rsidRPr="00664FF3" w:rsidRDefault="00D70966"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Fringe Total</w:t>
            </w:r>
          </w:p>
        </w:tc>
        <w:tc>
          <w:tcPr>
            <w:tcW w:w="1200" w:type="dxa"/>
            <w:tcBorders>
              <w:top w:val="nil"/>
              <w:left w:val="nil"/>
              <w:bottom w:val="single" w:sz="4" w:space="0" w:color="auto"/>
              <w:right w:val="single" w:sz="4" w:space="0" w:color="auto"/>
            </w:tcBorders>
            <w:shd w:val="clear" w:color="auto" w:fill="auto"/>
            <w:noWrap/>
            <w:vAlign w:val="bottom"/>
            <w:hideMark/>
          </w:tcPr>
          <w:p w14:paraId="73E4C9A8" w14:textId="77777777" w:rsidR="00D70966" w:rsidRPr="00664FF3" w:rsidRDefault="00D70966" w:rsidP="00DF2786">
            <w:pPr>
              <w:spacing w:before="80"/>
              <w:jc w:val="right"/>
              <w:rPr>
                <w:rFonts w:ascii="Calibri" w:eastAsia="Times New Roman" w:hAnsi="Calibri" w:cs="Calibri"/>
                <w:b/>
                <w:kern w:val="0"/>
                <w:sz w:val="20"/>
                <w:szCs w:val="20"/>
                <w14:ligatures w14:val="none"/>
              </w:rPr>
            </w:pPr>
            <w:r w:rsidRPr="00664FF3">
              <w:rPr>
                <w:rFonts w:ascii="Calibri" w:eastAsia="Times New Roman" w:hAnsi="Calibri" w:cs="Calibri"/>
                <w:b/>
                <w:kern w:val="0"/>
                <w:sz w:val="20"/>
                <w:szCs w:val="20"/>
                <w14:ligatures w14:val="none"/>
              </w:rPr>
              <w:t>$2,861,601</w:t>
            </w:r>
          </w:p>
        </w:tc>
      </w:tr>
    </w:tbl>
    <w:p w14:paraId="5AAB6345" w14:textId="028ECC26" w:rsidR="00D05990" w:rsidRPr="003C4E2C" w:rsidRDefault="00CB5898" w:rsidP="00DF2786">
      <w:pPr>
        <w:pStyle w:val="Heading2"/>
        <w:spacing w:before="80" w:after="0"/>
        <w:jc w:val="both"/>
        <w:rPr>
          <w:rFonts w:ascii="Calibri" w:eastAsia="Times New Roman" w:hAnsi="Calibri" w:cs="Calibri"/>
          <w:color w:val="auto"/>
          <w:kern w:val="0"/>
          <w:sz w:val="22"/>
          <w:szCs w:val="22"/>
          <w14:ligatures w14:val="none"/>
        </w:rPr>
      </w:pPr>
      <w:r w:rsidRPr="003C4E2C">
        <w:rPr>
          <w:rFonts w:ascii="Calibri" w:hAnsi="Calibri" w:cs="Calibri"/>
          <w:b/>
          <w:bCs/>
          <w:color w:val="auto"/>
          <w:sz w:val="22"/>
          <w:szCs w:val="22"/>
        </w:rPr>
        <w:t xml:space="preserve">Travel: </w:t>
      </w:r>
      <w:r w:rsidR="00D05990" w:rsidRPr="003C4E2C">
        <w:rPr>
          <w:rFonts w:ascii="Calibri" w:eastAsia="Times New Roman" w:hAnsi="Calibri" w:cs="Calibri"/>
          <w:color w:val="auto"/>
          <w:kern w:val="0"/>
          <w:sz w:val="22"/>
          <w:szCs w:val="22"/>
          <w14:ligatures w14:val="none"/>
        </w:rPr>
        <w:t>$1</w:t>
      </w:r>
      <w:r w:rsidR="5CE34F8D" w:rsidRPr="003C4E2C">
        <w:rPr>
          <w:rFonts w:ascii="Calibri" w:eastAsia="Times New Roman" w:hAnsi="Calibri" w:cs="Calibri"/>
          <w:color w:val="auto"/>
          <w:kern w:val="0"/>
          <w:sz w:val="22"/>
          <w:szCs w:val="22"/>
          <w14:ligatures w14:val="none"/>
        </w:rPr>
        <w:t>4</w:t>
      </w:r>
      <w:r w:rsidR="00D05990" w:rsidRPr="003C4E2C">
        <w:rPr>
          <w:rFonts w:ascii="Calibri" w:eastAsia="Times New Roman" w:hAnsi="Calibri" w:cs="Calibri"/>
          <w:color w:val="auto"/>
          <w:kern w:val="0"/>
          <w:sz w:val="22"/>
          <w:szCs w:val="22"/>
          <w14:ligatures w14:val="none"/>
        </w:rPr>
        <w:t>7,851</w:t>
      </w:r>
    </w:p>
    <w:p w14:paraId="4A798FA9" w14:textId="787307E5" w:rsidR="00D05990" w:rsidRPr="003C4E2C" w:rsidRDefault="00D05990" w:rsidP="00DF2786">
      <w:pPr>
        <w:spacing w:before="80"/>
      </w:pPr>
      <w:r w:rsidRPr="003C4E2C">
        <w:rPr>
          <w:rFonts w:ascii="Calibri" w:hAnsi="Calibri" w:cs="Calibri"/>
        </w:rPr>
        <w:t xml:space="preserve">NYC DOT is requesting </w:t>
      </w:r>
      <w:r w:rsidR="007C5785" w:rsidRPr="003C4E2C">
        <w:rPr>
          <w:rFonts w:ascii="Calibri" w:hAnsi="Calibri" w:cs="Calibri"/>
        </w:rPr>
        <w:t xml:space="preserve">travel </w:t>
      </w:r>
      <w:r w:rsidRPr="003C4E2C">
        <w:rPr>
          <w:rFonts w:ascii="Calibri" w:hAnsi="Calibri" w:cs="Calibri"/>
        </w:rPr>
        <w:t xml:space="preserve">funding for opportunities to attend conferences, participate in peer-to-peer exchanges, and to travel to learn about best practices and share successes and lessons learned with other municipalities. </w:t>
      </w:r>
    </w:p>
    <w:p w14:paraId="18485649" w14:textId="12978A90" w:rsidR="007C0E90" w:rsidRPr="003C4E2C" w:rsidRDefault="00CB5898" w:rsidP="00DF2786">
      <w:pPr>
        <w:pStyle w:val="Heading2"/>
        <w:spacing w:before="80" w:after="0"/>
        <w:jc w:val="both"/>
        <w:rPr>
          <w:rFonts w:ascii="Calibri" w:hAnsi="Calibri" w:cs="Calibri"/>
          <w:b/>
          <w:bCs/>
          <w:color w:val="auto"/>
          <w:sz w:val="22"/>
          <w:szCs w:val="22"/>
        </w:rPr>
      </w:pPr>
      <w:r w:rsidRPr="003C4E2C">
        <w:rPr>
          <w:rFonts w:ascii="Calibri" w:hAnsi="Calibri" w:cs="Calibri"/>
          <w:b/>
          <w:bCs/>
          <w:color w:val="auto"/>
          <w:sz w:val="22"/>
          <w:szCs w:val="22"/>
        </w:rPr>
        <w:t xml:space="preserve">Equipment: </w:t>
      </w:r>
      <w:r w:rsidR="00D54CFD" w:rsidRPr="003C4E2C">
        <w:rPr>
          <w:rFonts w:ascii="Calibri" w:hAnsi="Calibri" w:cs="Calibri"/>
          <w:color w:val="auto"/>
          <w:sz w:val="22"/>
          <w:szCs w:val="22"/>
        </w:rPr>
        <w:t>None</w:t>
      </w:r>
    </w:p>
    <w:p w14:paraId="45FB62C6" w14:textId="4BAA196C" w:rsidR="00CB5898" w:rsidRPr="003C4E2C" w:rsidRDefault="00CB5898" w:rsidP="00DF2786">
      <w:pPr>
        <w:pStyle w:val="Heading2"/>
        <w:spacing w:before="80" w:after="0"/>
        <w:jc w:val="both"/>
        <w:rPr>
          <w:rFonts w:ascii="Calibri" w:hAnsi="Calibri" w:cs="Calibri"/>
          <w:color w:val="auto"/>
          <w:sz w:val="22"/>
          <w:szCs w:val="22"/>
        </w:rPr>
      </w:pPr>
      <w:r w:rsidRPr="003C4E2C">
        <w:rPr>
          <w:rFonts w:ascii="Calibri" w:hAnsi="Calibri" w:cs="Calibri"/>
          <w:b/>
          <w:bCs/>
          <w:color w:val="auto"/>
          <w:sz w:val="22"/>
          <w:szCs w:val="22"/>
        </w:rPr>
        <w:t>Supplies:</w:t>
      </w:r>
      <w:r w:rsidRPr="003C4E2C">
        <w:rPr>
          <w:rFonts w:ascii="Calibri" w:hAnsi="Calibri" w:cs="Calibri"/>
          <w:color w:val="auto"/>
          <w:sz w:val="22"/>
          <w:szCs w:val="22"/>
        </w:rPr>
        <w:t xml:space="preserve"> </w:t>
      </w:r>
      <w:r w:rsidR="00460514" w:rsidRPr="003C4E2C">
        <w:rPr>
          <w:rFonts w:ascii="Calibri" w:hAnsi="Calibri" w:cs="Calibri"/>
          <w:color w:val="auto"/>
          <w:sz w:val="22"/>
          <w:szCs w:val="22"/>
        </w:rPr>
        <w:t>$</w:t>
      </w:r>
      <w:r w:rsidR="4CFA55EE" w:rsidRPr="003C4E2C">
        <w:rPr>
          <w:rFonts w:ascii="Calibri" w:hAnsi="Calibri" w:cs="Calibri"/>
          <w:color w:val="auto"/>
          <w:sz w:val="22"/>
          <w:szCs w:val="22"/>
        </w:rPr>
        <w:t>1</w:t>
      </w:r>
      <w:r w:rsidR="00EF6B39" w:rsidRPr="003C4E2C">
        <w:rPr>
          <w:rFonts w:ascii="Calibri" w:hAnsi="Calibri" w:cs="Calibri"/>
          <w:color w:val="auto"/>
          <w:sz w:val="22"/>
          <w:szCs w:val="22"/>
        </w:rPr>
        <w:t>34,200</w:t>
      </w:r>
    </w:p>
    <w:p w14:paraId="00A786F1" w14:textId="65FD8734" w:rsidR="00D54CFD" w:rsidRPr="00664FF3" w:rsidRDefault="00D05990" w:rsidP="00DF2786">
      <w:pPr>
        <w:spacing w:before="80" w:after="240"/>
        <w:rPr>
          <w:rFonts w:ascii="Calibri" w:hAnsi="Calibri" w:cs="Calibri"/>
        </w:rPr>
      </w:pPr>
      <w:r w:rsidRPr="00664FF3">
        <w:rPr>
          <w:rFonts w:ascii="Calibri" w:hAnsi="Calibri" w:cs="Calibri"/>
        </w:rPr>
        <w:t xml:space="preserve">NYC </w:t>
      </w:r>
      <w:r w:rsidR="00D54CFD" w:rsidRPr="00664FF3">
        <w:rPr>
          <w:rFonts w:ascii="Calibri" w:hAnsi="Calibri" w:cs="Calibri"/>
        </w:rPr>
        <w:t xml:space="preserve">DOT is requesting funding for supplies required for each of the new FTE positions within </w:t>
      </w:r>
      <w:r w:rsidR="00EB01DF" w:rsidRPr="00664FF3">
        <w:rPr>
          <w:rFonts w:ascii="Calibri" w:hAnsi="Calibri" w:cs="Calibri"/>
        </w:rPr>
        <w:t>NYC DOT</w:t>
      </w:r>
      <w:r w:rsidR="00E91882" w:rsidRPr="00664FF3">
        <w:rPr>
          <w:rFonts w:ascii="Calibri" w:hAnsi="Calibri" w:cs="Calibri"/>
        </w:rPr>
        <w:t xml:space="preserve"> </w:t>
      </w:r>
      <w:r w:rsidR="00D54CFD" w:rsidRPr="00664FF3">
        <w:rPr>
          <w:rFonts w:ascii="Calibri" w:hAnsi="Calibri" w:cs="Calibri"/>
        </w:rPr>
        <w:t xml:space="preserve">provided above. NYC has typical equipment requirements and rates for each FTE employee which include computer/laptop/printer maintenance, cellular phone, and general supplies/equipment. There is an upfront cost for each of these items as well as yearly baseline costs for equipment per employee. </w:t>
      </w:r>
      <w:r w:rsidR="00B07655" w:rsidRPr="00664FF3">
        <w:rPr>
          <w:rFonts w:ascii="Calibri" w:hAnsi="Calibri" w:cs="Calibri"/>
        </w:rPr>
        <w:t>A</w:t>
      </w:r>
      <w:r w:rsidR="00D54CFD" w:rsidRPr="00664FF3">
        <w:rPr>
          <w:rFonts w:ascii="Calibri" w:hAnsi="Calibri" w:cs="Calibri"/>
        </w:rPr>
        <w:t xml:space="preserve"> breakdown of the </w:t>
      </w:r>
      <w:r w:rsidR="00B07655" w:rsidRPr="00664FF3">
        <w:rPr>
          <w:rFonts w:ascii="Calibri" w:hAnsi="Calibri" w:cs="Calibri"/>
        </w:rPr>
        <w:t>supply</w:t>
      </w:r>
      <w:r w:rsidR="00D54CFD" w:rsidRPr="00664FF3">
        <w:rPr>
          <w:rFonts w:ascii="Calibri" w:hAnsi="Calibri" w:cs="Calibri"/>
        </w:rPr>
        <w:t xml:space="preserve"> costs for each FTE</w:t>
      </w:r>
      <w:r w:rsidR="00B07655" w:rsidRPr="00664FF3">
        <w:rPr>
          <w:rFonts w:ascii="Calibri" w:hAnsi="Calibri" w:cs="Calibri"/>
        </w:rPr>
        <w:t xml:space="preserve"> position is </w:t>
      </w:r>
      <w:r w:rsidR="006A3F73" w:rsidRPr="00664FF3">
        <w:rPr>
          <w:rFonts w:ascii="Calibri" w:hAnsi="Calibri" w:cs="Calibri"/>
        </w:rPr>
        <w:t xml:space="preserve">shown in </w:t>
      </w:r>
      <w:r w:rsidR="006A3F73" w:rsidRPr="00664FF3">
        <w:rPr>
          <w:rFonts w:ascii="Calibri" w:hAnsi="Calibri" w:cs="Calibri"/>
          <w:b/>
          <w:bCs/>
        </w:rPr>
        <w:t>Table 3</w:t>
      </w:r>
      <w:r w:rsidR="00D54CFD" w:rsidRPr="00664FF3">
        <w:rPr>
          <w:rFonts w:ascii="Calibri" w:hAnsi="Calibri" w:cs="Calibri"/>
        </w:rPr>
        <w:t>.</w:t>
      </w:r>
    </w:p>
    <w:p w14:paraId="3039F166" w14:textId="27F9042E" w:rsidR="00B643BF" w:rsidRPr="00664FF3" w:rsidRDefault="00B643BF" w:rsidP="00DF2786">
      <w:pPr>
        <w:pStyle w:val="Caption"/>
        <w:spacing w:before="80" w:after="0"/>
        <w:jc w:val="center"/>
        <w:rPr>
          <w:color w:val="auto"/>
        </w:rPr>
      </w:pPr>
      <w:r w:rsidRPr="00664FF3">
        <w:rPr>
          <w:color w:val="auto"/>
        </w:rPr>
        <w:t xml:space="preserve">Table </w:t>
      </w:r>
      <w:r w:rsidR="00686437" w:rsidRPr="00664FF3">
        <w:rPr>
          <w:color w:val="auto"/>
        </w:rPr>
        <w:fldChar w:fldCharType="begin"/>
      </w:r>
      <w:r w:rsidR="00686437" w:rsidRPr="00664FF3">
        <w:rPr>
          <w:color w:val="auto"/>
        </w:rPr>
        <w:instrText xml:space="preserve"> SEQ Table \* ARABIC </w:instrText>
      </w:r>
      <w:r w:rsidR="00686437" w:rsidRPr="00664FF3">
        <w:rPr>
          <w:color w:val="auto"/>
        </w:rPr>
        <w:fldChar w:fldCharType="separate"/>
      </w:r>
      <w:r w:rsidRPr="00664FF3">
        <w:rPr>
          <w:noProof/>
          <w:color w:val="auto"/>
        </w:rPr>
        <w:t>3</w:t>
      </w:r>
      <w:r w:rsidR="00686437" w:rsidRPr="00664FF3">
        <w:rPr>
          <w:noProof/>
          <w:color w:val="auto"/>
        </w:rPr>
        <w:fldChar w:fldCharType="end"/>
      </w:r>
      <w:r w:rsidRPr="00664FF3">
        <w:rPr>
          <w:color w:val="auto"/>
        </w:rPr>
        <w:t xml:space="preserve">: </w:t>
      </w:r>
      <w:r w:rsidR="00150C7A" w:rsidRPr="00664FF3">
        <w:rPr>
          <w:color w:val="auto"/>
        </w:rPr>
        <w:t>Supplies</w:t>
      </w:r>
      <w:r w:rsidRPr="00664FF3">
        <w:rPr>
          <w:color w:val="auto"/>
        </w:rPr>
        <w:t xml:space="preserve"> Costs</w:t>
      </w:r>
    </w:p>
    <w:tbl>
      <w:tblPr>
        <w:tblW w:w="8782" w:type="dxa"/>
        <w:jc w:val="center"/>
        <w:tblLook w:val="04A0" w:firstRow="1" w:lastRow="0" w:firstColumn="1" w:lastColumn="0" w:noHBand="0" w:noVBand="1"/>
      </w:tblPr>
      <w:tblGrid>
        <w:gridCol w:w="3602"/>
        <w:gridCol w:w="940"/>
        <w:gridCol w:w="1020"/>
        <w:gridCol w:w="1080"/>
        <w:gridCol w:w="1100"/>
        <w:gridCol w:w="1040"/>
      </w:tblGrid>
      <w:tr w:rsidR="00664FF3" w:rsidRPr="00664FF3" w14:paraId="09F79E71" w14:textId="77777777" w:rsidTr="00562417">
        <w:trPr>
          <w:trHeight w:val="290"/>
          <w:jc w:val="center"/>
        </w:trPr>
        <w:tc>
          <w:tcPr>
            <w:tcW w:w="36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29360" w14:textId="77777777" w:rsidR="000D292C" w:rsidRPr="00664FF3" w:rsidRDefault="000D292C"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Item</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41DC9148" w14:textId="77777777" w:rsidR="000D292C" w:rsidRPr="00664FF3" w:rsidRDefault="000D292C"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Initial Cost</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45BE54F7" w14:textId="77777777" w:rsidR="000D292C" w:rsidRPr="00664FF3" w:rsidRDefault="000D292C"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Yearly Cost</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1CE7175" w14:textId="77777777" w:rsidR="000D292C" w:rsidRPr="00664FF3" w:rsidRDefault="000D292C"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Years</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57E3544B" w14:textId="77777777" w:rsidR="000D292C" w:rsidRPr="00664FF3" w:rsidRDefault="000D292C"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 Employees</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4725A354" w14:textId="77777777" w:rsidR="000D292C" w:rsidRPr="00664FF3" w:rsidRDefault="000D292C"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Subtotal</w:t>
            </w:r>
          </w:p>
        </w:tc>
      </w:tr>
      <w:tr w:rsidR="00664FF3" w:rsidRPr="00664FF3" w14:paraId="016129A2" w14:textId="77777777" w:rsidTr="00562417">
        <w:trPr>
          <w:trHeight w:val="870"/>
          <w:jc w:val="center"/>
        </w:trPr>
        <w:tc>
          <w:tcPr>
            <w:tcW w:w="3602" w:type="dxa"/>
            <w:tcBorders>
              <w:top w:val="nil"/>
              <w:left w:val="single" w:sz="4" w:space="0" w:color="auto"/>
              <w:bottom w:val="single" w:sz="4" w:space="0" w:color="auto"/>
              <w:right w:val="single" w:sz="4" w:space="0" w:color="auto"/>
            </w:tcBorders>
            <w:shd w:val="clear" w:color="auto" w:fill="auto"/>
            <w:vAlign w:val="bottom"/>
            <w:hideMark/>
          </w:tcPr>
          <w:p w14:paraId="7B860F1E" w14:textId="77777777" w:rsidR="000D292C" w:rsidRPr="00664FF3" w:rsidRDefault="000D292C"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Computer/Laptop/Printer/Maintenance</w:t>
            </w:r>
          </w:p>
        </w:tc>
        <w:tc>
          <w:tcPr>
            <w:tcW w:w="940" w:type="dxa"/>
            <w:tcBorders>
              <w:top w:val="nil"/>
              <w:left w:val="nil"/>
              <w:bottom w:val="single" w:sz="4" w:space="0" w:color="auto"/>
              <w:right w:val="single" w:sz="4" w:space="0" w:color="auto"/>
            </w:tcBorders>
            <w:shd w:val="clear" w:color="auto" w:fill="auto"/>
            <w:noWrap/>
            <w:vAlign w:val="bottom"/>
            <w:hideMark/>
          </w:tcPr>
          <w:p w14:paraId="60FEE955"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$3,000</w:t>
            </w:r>
          </w:p>
        </w:tc>
        <w:tc>
          <w:tcPr>
            <w:tcW w:w="1020" w:type="dxa"/>
            <w:tcBorders>
              <w:top w:val="nil"/>
              <w:left w:val="nil"/>
              <w:bottom w:val="single" w:sz="4" w:space="0" w:color="auto"/>
              <w:right w:val="single" w:sz="4" w:space="0" w:color="auto"/>
            </w:tcBorders>
            <w:shd w:val="clear" w:color="auto" w:fill="auto"/>
            <w:noWrap/>
            <w:vAlign w:val="bottom"/>
            <w:hideMark/>
          </w:tcPr>
          <w:p w14:paraId="2E4A5066"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$1,500</w:t>
            </w:r>
          </w:p>
        </w:tc>
        <w:tc>
          <w:tcPr>
            <w:tcW w:w="1080" w:type="dxa"/>
            <w:tcBorders>
              <w:top w:val="nil"/>
              <w:left w:val="nil"/>
              <w:bottom w:val="single" w:sz="4" w:space="0" w:color="auto"/>
              <w:right w:val="single" w:sz="4" w:space="0" w:color="auto"/>
            </w:tcBorders>
            <w:shd w:val="clear" w:color="auto" w:fill="auto"/>
            <w:noWrap/>
            <w:vAlign w:val="bottom"/>
            <w:hideMark/>
          </w:tcPr>
          <w:p w14:paraId="73FB2FD2"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5</w:t>
            </w:r>
          </w:p>
        </w:tc>
        <w:tc>
          <w:tcPr>
            <w:tcW w:w="1100" w:type="dxa"/>
            <w:tcBorders>
              <w:top w:val="nil"/>
              <w:left w:val="nil"/>
              <w:bottom w:val="single" w:sz="4" w:space="0" w:color="auto"/>
              <w:right w:val="single" w:sz="4" w:space="0" w:color="auto"/>
            </w:tcBorders>
            <w:shd w:val="clear" w:color="auto" w:fill="auto"/>
            <w:noWrap/>
            <w:vAlign w:val="bottom"/>
            <w:hideMark/>
          </w:tcPr>
          <w:p w14:paraId="0666722B"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11</w:t>
            </w:r>
          </w:p>
        </w:tc>
        <w:tc>
          <w:tcPr>
            <w:tcW w:w="1040" w:type="dxa"/>
            <w:tcBorders>
              <w:top w:val="nil"/>
              <w:left w:val="nil"/>
              <w:bottom w:val="single" w:sz="4" w:space="0" w:color="auto"/>
              <w:right w:val="single" w:sz="4" w:space="0" w:color="auto"/>
            </w:tcBorders>
            <w:shd w:val="clear" w:color="auto" w:fill="auto"/>
            <w:noWrap/>
            <w:vAlign w:val="bottom"/>
            <w:hideMark/>
          </w:tcPr>
          <w:p w14:paraId="23369E3C"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$115,500</w:t>
            </w:r>
          </w:p>
        </w:tc>
      </w:tr>
      <w:tr w:rsidR="00664FF3" w:rsidRPr="00664FF3" w14:paraId="572D79B3" w14:textId="77777777" w:rsidTr="00562417">
        <w:trPr>
          <w:trHeight w:val="290"/>
          <w:jc w:val="center"/>
        </w:trPr>
        <w:tc>
          <w:tcPr>
            <w:tcW w:w="3602" w:type="dxa"/>
            <w:tcBorders>
              <w:top w:val="nil"/>
              <w:left w:val="single" w:sz="4" w:space="0" w:color="auto"/>
              <w:bottom w:val="single" w:sz="4" w:space="0" w:color="auto"/>
              <w:right w:val="single" w:sz="4" w:space="0" w:color="auto"/>
            </w:tcBorders>
            <w:shd w:val="clear" w:color="auto" w:fill="auto"/>
            <w:vAlign w:val="bottom"/>
            <w:hideMark/>
          </w:tcPr>
          <w:p w14:paraId="0786EA6C" w14:textId="77777777" w:rsidR="000D292C" w:rsidRPr="00664FF3" w:rsidRDefault="000D292C"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Cell Phone</w:t>
            </w:r>
          </w:p>
        </w:tc>
        <w:tc>
          <w:tcPr>
            <w:tcW w:w="940" w:type="dxa"/>
            <w:tcBorders>
              <w:top w:val="nil"/>
              <w:left w:val="nil"/>
              <w:bottom w:val="single" w:sz="4" w:space="0" w:color="auto"/>
              <w:right w:val="single" w:sz="4" w:space="0" w:color="auto"/>
            </w:tcBorders>
            <w:shd w:val="clear" w:color="auto" w:fill="auto"/>
            <w:noWrap/>
            <w:vAlign w:val="bottom"/>
            <w:hideMark/>
          </w:tcPr>
          <w:p w14:paraId="5DDBD80C"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$200</w:t>
            </w:r>
          </w:p>
        </w:tc>
        <w:tc>
          <w:tcPr>
            <w:tcW w:w="1020" w:type="dxa"/>
            <w:tcBorders>
              <w:top w:val="nil"/>
              <w:left w:val="nil"/>
              <w:bottom w:val="single" w:sz="4" w:space="0" w:color="auto"/>
              <w:right w:val="single" w:sz="4" w:space="0" w:color="auto"/>
            </w:tcBorders>
            <w:shd w:val="clear" w:color="auto" w:fill="auto"/>
            <w:noWrap/>
            <w:vAlign w:val="bottom"/>
            <w:hideMark/>
          </w:tcPr>
          <w:p w14:paraId="55FC2D25"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$0</w:t>
            </w:r>
          </w:p>
        </w:tc>
        <w:tc>
          <w:tcPr>
            <w:tcW w:w="1080" w:type="dxa"/>
            <w:tcBorders>
              <w:top w:val="nil"/>
              <w:left w:val="nil"/>
              <w:bottom w:val="single" w:sz="4" w:space="0" w:color="auto"/>
              <w:right w:val="single" w:sz="4" w:space="0" w:color="auto"/>
            </w:tcBorders>
            <w:shd w:val="clear" w:color="auto" w:fill="auto"/>
            <w:noWrap/>
            <w:vAlign w:val="bottom"/>
            <w:hideMark/>
          </w:tcPr>
          <w:p w14:paraId="465CD270"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5</w:t>
            </w:r>
          </w:p>
        </w:tc>
        <w:tc>
          <w:tcPr>
            <w:tcW w:w="1100" w:type="dxa"/>
            <w:tcBorders>
              <w:top w:val="nil"/>
              <w:left w:val="nil"/>
              <w:bottom w:val="single" w:sz="4" w:space="0" w:color="auto"/>
              <w:right w:val="single" w:sz="4" w:space="0" w:color="auto"/>
            </w:tcBorders>
            <w:shd w:val="clear" w:color="auto" w:fill="auto"/>
            <w:noWrap/>
            <w:vAlign w:val="bottom"/>
            <w:hideMark/>
          </w:tcPr>
          <w:p w14:paraId="7201DF09"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11</w:t>
            </w:r>
          </w:p>
        </w:tc>
        <w:tc>
          <w:tcPr>
            <w:tcW w:w="1040" w:type="dxa"/>
            <w:tcBorders>
              <w:top w:val="nil"/>
              <w:left w:val="nil"/>
              <w:bottom w:val="single" w:sz="4" w:space="0" w:color="auto"/>
              <w:right w:val="single" w:sz="4" w:space="0" w:color="auto"/>
            </w:tcBorders>
            <w:shd w:val="clear" w:color="auto" w:fill="auto"/>
            <w:noWrap/>
            <w:vAlign w:val="bottom"/>
            <w:hideMark/>
          </w:tcPr>
          <w:p w14:paraId="4CD65FFE"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$2,200</w:t>
            </w:r>
          </w:p>
        </w:tc>
      </w:tr>
      <w:tr w:rsidR="00664FF3" w:rsidRPr="00664FF3" w14:paraId="6965F8E8" w14:textId="77777777" w:rsidTr="00562417">
        <w:trPr>
          <w:trHeight w:val="870"/>
          <w:jc w:val="center"/>
        </w:trPr>
        <w:tc>
          <w:tcPr>
            <w:tcW w:w="3602" w:type="dxa"/>
            <w:tcBorders>
              <w:top w:val="nil"/>
              <w:left w:val="single" w:sz="4" w:space="0" w:color="auto"/>
              <w:bottom w:val="single" w:sz="4" w:space="0" w:color="auto"/>
              <w:right w:val="single" w:sz="4" w:space="0" w:color="auto"/>
            </w:tcBorders>
            <w:shd w:val="clear" w:color="auto" w:fill="auto"/>
            <w:vAlign w:val="bottom"/>
            <w:hideMark/>
          </w:tcPr>
          <w:p w14:paraId="06A2AD7C" w14:textId="77777777" w:rsidR="000D292C" w:rsidRPr="00664FF3" w:rsidRDefault="000D292C" w:rsidP="00DF2786">
            <w:pPr>
              <w:spacing w:before="80"/>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General Supplies/Equipment</w:t>
            </w:r>
          </w:p>
        </w:tc>
        <w:tc>
          <w:tcPr>
            <w:tcW w:w="940" w:type="dxa"/>
            <w:tcBorders>
              <w:top w:val="nil"/>
              <w:left w:val="nil"/>
              <w:bottom w:val="single" w:sz="4" w:space="0" w:color="auto"/>
              <w:right w:val="single" w:sz="4" w:space="0" w:color="auto"/>
            </w:tcBorders>
            <w:shd w:val="clear" w:color="auto" w:fill="auto"/>
            <w:noWrap/>
            <w:vAlign w:val="bottom"/>
            <w:hideMark/>
          </w:tcPr>
          <w:p w14:paraId="29E61F47"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$500</w:t>
            </w:r>
          </w:p>
        </w:tc>
        <w:tc>
          <w:tcPr>
            <w:tcW w:w="1020" w:type="dxa"/>
            <w:tcBorders>
              <w:top w:val="nil"/>
              <w:left w:val="nil"/>
              <w:bottom w:val="single" w:sz="4" w:space="0" w:color="auto"/>
              <w:right w:val="single" w:sz="4" w:space="0" w:color="auto"/>
            </w:tcBorders>
            <w:shd w:val="clear" w:color="auto" w:fill="auto"/>
            <w:noWrap/>
            <w:vAlign w:val="bottom"/>
            <w:hideMark/>
          </w:tcPr>
          <w:p w14:paraId="7C4AA73A"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$200</w:t>
            </w:r>
          </w:p>
        </w:tc>
        <w:tc>
          <w:tcPr>
            <w:tcW w:w="1080" w:type="dxa"/>
            <w:tcBorders>
              <w:top w:val="nil"/>
              <w:left w:val="nil"/>
              <w:bottom w:val="single" w:sz="4" w:space="0" w:color="auto"/>
              <w:right w:val="single" w:sz="4" w:space="0" w:color="auto"/>
            </w:tcBorders>
            <w:shd w:val="clear" w:color="auto" w:fill="auto"/>
            <w:noWrap/>
            <w:vAlign w:val="bottom"/>
            <w:hideMark/>
          </w:tcPr>
          <w:p w14:paraId="56FE645D"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5</w:t>
            </w:r>
          </w:p>
        </w:tc>
        <w:tc>
          <w:tcPr>
            <w:tcW w:w="1100" w:type="dxa"/>
            <w:tcBorders>
              <w:top w:val="nil"/>
              <w:left w:val="nil"/>
              <w:bottom w:val="single" w:sz="4" w:space="0" w:color="auto"/>
              <w:right w:val="single" w:sz="4" w:space="0" w:color="auto"/>
            </w:tcBorders>
            <w:shd w:val="clear" w:color="auto" w:fill="auto"/>
            <w:noWrap/>
            <w:vAlign w:val="bottom"/>
            <w:hideMark/>
          </w:tcPr>
          <w:p w14:paraId="785D2D35"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11</w:t>
            </w:r>
          </w:p>
        </w:tc>
        <w:tc>
          <w:tcPr>
            <w:tcW w:w="1040" w:type="dxa"/>
            <w:tcBorders>
              <w:top w:val="nil"/>
              <w:left w:val="nil"/>
              <w:bottom w:val="single" w:sz="4" w:space="0" w:color="auto"/>
              <w:right w:val="single" w:sz="4" w:space="0" w:color="auto"/>
            </w:tcBorders>
            <w:shd w:val="clear" w:color="auto" w:fill="auto"/>
            <w:noWrap/>
            <w:vAlign w:val="bottom"/>
            <w:hideMark/>
          </w:tcPr>
          <w:p w14:paraId="299C39E6" w14:textId="77777777" w:rsidR="000D292C" w:rsidRPr="00664FF3" w:rsidRDefault="000D292C" w:rsidP="00DF2786">
            <w:pPr>
              <w:spacing w:before="80"/>
              <w:jc w:val="right"/>
              <w:rPr>
                <w:rFonts w:ascii="Calibri" w:eastAsia="Times New Roman" w:hAnsi="Calibri" w:cs="Calibri"/>
                <w:kern w:val="0"/>
                <w:sz w:val="20"/>
                <w:szCs w:val="20"/>
                <w14:ligatures w14:val="none"/>
              </w:rPr>
            </w:pPr>
            <w:r w:rsidRPr="00664FF3">
              <w:rPr>
                <w:rFonts w:ascii="Calibri" w:eastAsia="Times New Roman" w:hAnsi="Calibri" w:cs="Calibri"/>
                <w:kern w:val="0"/>
                <w:sz w:val="20"/>
                <w:szCs w:val="20"/>
                <w14:ligatures w14:val="none"/>
              </w:rPr>
              <w:t>$16,500</w:t>
            </w:r>
          </w:p>
        </w:tc>
      </w:tr>
      <w:tr w:rsidR="00664FF3" w:rsidRPr="00664FF3" w14:paraId="13C2489C" w14:textId="77777777" w:rsidTr="00562417">
        <w:trPr>
          <w:trHeight w:val="290"/>
          <w:jc w:val="center"/>
        </w:trPr>
        <w:tc>
          <w:tcPr>
            <w:tcW w:w="3602" w:type="dxa"/>
            <w:tcBorders>
              <w:top w:val="nil"/>
              <w:left w:val="nil"/>
              <w:bottom w:val="nil"/>
              <w:right w:val="nil"/>
            </w:tcBorders>
            <w:shd w:val="clear" w:color="auto" w:fill="auto"/>
            <w:noWrap/>
            <w:vAlign w:val="bottom"/>
            <w:hideMark/>
          </w:tcPr>
          <w:p w14:paraId="080AB9A5" w14:textId="77777777" w:rsidR="000D292C" w:rsidRPr="00664FF3" w:rsidRDefault="000D292C" w:rsidP="00DF2786">
            <w:pPr>
              <w:spacing w:before="80"/>
              <w:jc w:val="right"/>
              <w:rPr>
                <w:rFonts w:ascii="Calibri" w:eastAsia="Times New Roman" w:hAnsi="Calibri" w:cs="Calibri"/>
                <w:kern w:val="0"/>
                <w:sz w:val="20"/>
                <w:szCs w:val="20"/>
                <w14:ligatures w14:val="none"/>
              </w:rPr>
            </w:pPr>
          </w:p>
        </w:tc>
        <w:tc>
          <w:tcPr>
            <w:tcW w:w="940" w:type="dxa"/>
            <w:tcBorders>
              <w:top w:val="nil"/>
              <w:left w:val="nil"/>
              <w:bottom w:val="nil"/>
              <w:right w:val="nil"/>
            </w:tcBorders>
            <w:shd w:val="clear" w:color="auto" w:fill="auto"/>
            <w:noWrap/>
            <w:vAlign w:val="bottom"/>
            <w:hideMark/>
          </w:tcPr>
          <w:p w14:paraId="1E80AEDC" w14:textId="77777777" w:rsidR="000D292C" w:rsidRPr="00664FF3" w:rsidRDefault="000D292C" w:rsidP="00DF2786">
            <w:pPr>
              <w:spacing w:before="80"/>
              <w:rPr>
                <w:rFonts w:ascii="Times New Roman" w:eastAsia="Times New Roman" w:hAnsi="Times New Roman" w:cs="Times New Roman"/>
                <w:kern w:val="0"/>
                <w:sz w:val="20"/>
                <w:szCs w:val="20"/>
                <w14:ligatures w14:val="none"/>
              </w:rPr>
            </w:pPr>
          </w:p>
        </w:tc>
        <w:tc>
          <w:tcPr>
            <w:tcW w:w="1020" w:type="dxa"/>
            <w:tcBorders>
              <w:top w:val="nil"/>
              <w:left w:val="nil"/>
              <w:bottom w:val="nil"/>
              <w:right w:val="nil"/>
            </w:tcBorders>
            <w:shd w:val="clear" w:color="auto" w:fill="auto"/>
            <w:noWrap/>
            <w:vAlign w:val="bottom"/>
            <w:hideMark/>
          </w:tcPr>
          <w:p w14:paraId="49C0DF13" w14:textId="77777777" w:rsidR="000D292C" w:rsidRPr="00664FF3" w:rsidRDefault="000D292C" w:rsidP="00DF2786">
            <w:pPr>
              <w:spacing w:before="80"/>
              <w:rPr>
                <w:rFonts w:ascii="Times New Roman" w:eastAsia="Times New Roman" w:hAnsi="Times New Roman" w:cs="Times New Roman"/>
                <w:kern w:val="0"/>
                <w:sz w:val="20"/>
                <w:szCs w:val="20"/>
                <w14:ligatures w14:val="none"/>
              </w:rPr>
            </w:pPr>
          </w:p>
        </w:tc>
        <w:tc>
          <w:tcPr>
            <w:tcW w:w="1080" w:type="dxa"/>
            <w:tcBorders>
              <w:top w:val="nil"/>
              <w:left w:val="nil"/>
              <w:bottom w:val="nil"/>
              <w:right w:val="nil"/>
            </w:tcBorders>
            <w:shd w:val="clear" w:color="auto" w:fill="auto"/>
            <w:noWrap/>
            <w:vAlign w:val="bottom"/>
            <w:hideMark/>
          </w:tcPr>
          <w:p w14:paraId="073ABBBD" w14:textId="77777777" w:rsidR="000D292C" w:rsidRPr="00664FF3" w:rsidRDefault="000D292C" w:rsidP="00DF2786">
            <w:pPr>
              <w:spacing w:before="80"/>
              <w:rPr>
                <w:rFonts w:ascii="Times New Roman" w:eastAsia="Times New Roman" w:hAnsi="Times New Roman" w:cs="Times New Roman"/>
                <w:kern w:val="0"/>
                <w:sz w:val="20"/>
                <w:szCs w:val="20"/>
                <w14:ligatures w14:val="none"/>
              </w:rPr>
            </w:pP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14:paraId="73410159" w14:textId="77777777" w:rsidR="000D292C" w:rsidRPr="00664FF3" w:rsidRDefault="000D292C" w:rsidP="00DF2786">
            <w:pPr>
              <w:spacing w:before="80"/>
              <w:rPr>
                <w:rFonts w:ascii="Calibri" w:eastAsia="Times New Roman" w:hAnsi="Calibri" w:cs="Calibri"/>
                <w:b/>
                <w:kern w:val="0"/>
                <w:sz w:val="20"/>
                <w:szCs w:val="20"/>
                <w14:ligatures w14:val="none"/>
              </w:rPr>
            </w:pPr>
            <w:r w:rsidRPr="00664FF3">
              <w:rPr>
                <w:rFonts w:ascii="Calibri" w:eastAsia="Times New Roman" w:hAnsi="Calibri" w:cs="Calibri"/>
                <w:b/>
                <w:kern w:val="0"/>
                <w:sz w:val="20"/>
                <w:szCs w:val="20"/>
                <w14:ligatures w14:val="none"/>
              </w:rPr>
              <w:t>Total Cost</w:t>
            </w:r>
          </w:p>
        </w:tc>
        <w:tc>
          <w:tcPr>
            <w:tcW w:w="1040" w:type="dxa"/>
            <w:tcBorders>
              <w:top w:val="nil"/>
              <w:left w:val="nil"/>
              <w:bottom w:val="single" w:sz="4" w:space="0" w:color="auto"/>
              <w:right w:val="single" w:sz="4" w:space="0" w:color="auto"/>
            </w:tcBorders>
            <w:shd w:val="clear" w:color="auto" w:fill="auto"/>
            <w:noWrap/>
            <w:vAlign w:val="bottom"/>
            <w:hideMark/>
          </w:tcPr>
          <w:p w14:paraId="1FDD9C4F" w14:textId="77777777" w:rsidR="000D292C" w:rsidRPr="00664FF3" w:rsidRDefault="000D292C" w:rsidP="00DF2786">
            <w:pPr>
              <w:spacing w:before="80"/>
              <w:jc w:val="right"/>
              <w:rPr>
                <w:rFonts w:ascii="Calibri" w:eastAsia="Times New Roman" w:hAnsi="Calibri" w:cs="Calibri"/>
                <w:b/>
                <w:kern w:val="0"/>
                <w:sz w:val="20"/>
                <w:szCs w:val="20"/>
                <w14:ligatures w14:val="none"/>
              </w:rPr>
            </w:pPr>
            <w:r w:rsidRPr="00664FF3">
              <w:rPr>
                <w:rFonts w:ascii="Calibri" w:eastAsia="Times New Roman" w:hAnsi="Calibri" w:cs="Calibri"/>
                <w:b/>
                <w:kern w:val="0"/>
                <w:sz w:val="20"/>
                <w:szCs w:val="20"/>
                <w14:ligatures w14:val="none"/>
              </w:rPr>
              <w:t>$134,200</w:t>
            </w:r>
          </w:p>
        </w:tc>
      </w:tr>
    </w:tbl>
    <w:p w14:paraId="28BA3C2F" w14:textId="4EFC4FDD" w:rsidR="00303BE8" w:rsidRPr="003C4E2C" w:rsidRDefault="00CB5898" w:rsidP="00DF2786">
      <w:pPr>
        <w:pStyle w:val="Heading2"/>
        <w:spacing w:before="80" w:after="0"/>
        <w:jc w:val="both"/>
        <w:rPr>
          <w:rFonts w:ascii="Calibri" w:hAnsi="Calibri" w:cs="Calibri"/>
          <w:b/>
          <w:bCs/>
          <w:color w:val="auto"/>
          <w:sz w:val="22"/>
          <w:szCs w:val="22"/>
        </w:rPr>
      </w:pPr>
      <w:r w:rsidRPr="003C4E2C">
        <w:rPr>
          <w:rFonts w:ascii="Calibri" w:hAnsi="Calibri" w:cs="Calibri"/>
          <w:b/>
          <w:bCs/>
          <w:color w:val="auto"/>
          <w:sz w:val="22"/>
          <w:szCs w:val="22"/>
        </w:rPr>
        <w:t xml:space="preserve">Contractual: </w:t>
      </w:r>
      <w:r w:rsidRPr="003C4E2C">
        <w:rPr>
          <w:rFonts w:ascii="Calibri" w:hAnsi="Calibri" w:cs="Calibri"/>
          <w:color w:val="auto"/>
          <w:sz w:val="22"/>
          <w:szCs w:val="22"/>
        </w:rPr>
        <w:t>$</w:t>
      </w:r>
      <w:r w:rsidR="00D71FFA" w:rsidRPr="003C4E2C">
        <w:rPr>
          <w:rFonts w:ascii="Calibri" w:hAnsi="Calibri" w:cs="Calibri"/>
          <w:color w:val="auto"/>
          <w:sz w:val="22"/>
          <w:szCs w:val="22"/>
        </w:rPr>
        <w:t>122,</w:t>
      </w:r>
      <w:r w:rsidR="008267B5" w:rsidRPr="003C4E2C">
        <w:rPr>
          <w:rFonts w:ascii="Calibri" w:hAnsi="Calibri" w:cs="Calibri"/>
          <w:color w:val="auto"/>
          <w:sz w:val="22"/>
          <w:szCs w:val="22"/>
        </w:rPr>
        <w:t>097,436</w:t>
      </w:r>
    </w:p>
    <w:p w14:paraId="160DF1AA" w14:textId="101B5A8F" w:rsidR="00CB5898" w:rsidRPr="00664FF3" w:rsidRDefault="00CB5898" w:rsidP="00DF2786">
      <w:pPr>
        <w:spacing w:before="80"/>
        <w:rPr>
          <w:rFonts w:ascii="Calibri" w:hAnsi="Calibri" w:cs="Calibri"/>
        </w:rPr>
      </w:pPr>
      <w:r w:rsidRPr="00664FF3">
        <w:rPr>
          <w:rFonts w:ascii="Calibri" w:hAnsi="Calibri" w:cs="Calibri"/>
        </w:rPr>
        <w:t>Contractual costs are requested for the design, planning,</w:t>
      </w:r>
      <w:r w:rsidR="00BB05AF" w:rsidRPr="00664FF3">
        <w:rPr>
          <w:rFonts w:ascii="Calibri" w:hAnsi="Calibri" w:cs="Calibri"/>
        </w:rPr>
        <w:t xml:space="preserve"> programming,</w:t>
      </w:r>
      <w:r w:rsidRPr="00664FF3">
        <w:rPr>
          <w:rFonts w:ascii="Calibri" w:hAnsi="Calibri" w:cs="Calibri"/>
        </w:rPr>
        <w:t xml:space="preserve"> and construction activities p</w:t>
      </w:r>
      <w:r w:rsidR="000A6CBF" w:rsidRPr="00664FF3">
        <w:rPr>
          <w:rFonts w:ascii="Calibri" w:hAnsi="Calibri" w:cs="Calibri"/>
        </w:rPr>
        <w:t>lanned</w:t>
      </w:r>
      <w:r w:rsidRPr="00664FF3">
        <w:rPr>
          <w:rFonts w:ascii="Calibri" w:hAnsi="Calibri" w:cs="Calibri"/>
        </w:rPr>
        <w:t xml:space="preserve"> under </w:t>
      </w:r>
      <w:r w:rsidR="00D971C1" w:rsidRPr="00664FF3">
        <w:rPr>
          <w:rFonts w:ascii="Calibri" w:hAnsi="Calibri" w:cs="Calibri"/>
        </w:rPr>
        <w:t xml:space="preserve">the </w:t>
      </w:r>
      <w:r w:rsidRPr="00664FF3">
        <w:rPr>
          <w:rFonts w:ascii="Calibri" w:hAnsi="Calibri" w:cs="Calibri"/>
        </w:rPr>
        <w:t>Commercial Cargo Bike Incentive Program, Microhubs Expansion, and Truck Electrification and Parking.</w:t>
      </w:r>
      <w:r w:rsidR="00BB05AF" w:rsidRPr="00664FF3">
        <w:rPr>
          <w:rFonts w:ascii="Calibri" w:hAnsi="Calibri" w:cs="Calibri"/>
        </w:rPr>
        <w:t xml:space="preserve"> </w:t>
      </w:r>
      <w:r w:rsidR="0070202F" w:rsidRPr="00664FF3">
        <w:rPr>
          <w:rFonts w:ascii="Calibri" w:hAnsi="Calibri" w:cs="Calibri"/>
        </w:rPr>
        <w:t xml:space="preserve">Please refer to each </w:t>
      </w:r>
      <w:r w:rsidR="00096680" w:rsidRPr="00664FF3">
        <w:rPr>
          <w:rFonts w:ascii="Calibri" w:hAnsi="Calibri" w:cs="Calibri"/>
        </w:rPr>
        <w:t xml:space="preserve">program </w:t>
      </w:r>
      <w:r w:rsidR="0070202F" w:rsidRPr="00664FF3">
        <w:rPr>
          <w:rFonts w:ascii="Calibri" w:hAnsi="Calibri" w:cs="Calibri"/>
        </w:rPr>
        <w:t>section for detailed breakdowns of the requested contractual costs and a description of how these costs were developed.</w:t>
      </w:r>
      <w:r w:rsidR="00A87CC6" w:rsidRPr="00664FF3">
        <w:rPr>
          <w:rFonts w:ascii="Calibri" w:hAnsi="Calibri" w:cs="Calibri"/>
        </w:rPr>
        <w:t xml:space="preserve"> </w:t>
      </w:r>
    </w:p>
    <w:p w14:paraId="3C4735FA" w14:textId="374EEA8F" w:rsidR="00CB5898" w:rsidRPr="003C4E2C" w:rsidRDefault="00CB5898" w:rsidP="00DF2786">
      <w:pPr>
        <w:pStyle w:val="Heading2"/>
        <w:spacing w:before="80" w:after="0"/>
        <w:jc w:val="both"/>
        <w:rPr>
          <w:rFonts w:ascii="Calibri" w:hAnsi="Calibri" w:cs="Calibri"/>
          <w:b/>
          <w:bCs/>
          <w:color w:val="auto"/>
          <w:sz w:val="22"/>
          <w:szCs w:val="22"/>
        </w:rPr>
      </w:pPr>
      <w:r w:rsidRPr="003C4E2C">
        <w:rPr>
          <w:rFonts w:ascii="Calibri" w:hAnsi="Calibri" w:cs="Calibri"/>
          <w:b/>
          <w:bCs/>
          <w:color w:val="auto"/>
          <w:sz w:val="22"/>
          <w:szCs w:val="22"/>
        </w:rPr>
        <w:t>Other</w:t>
      </w:r>
      <w:r w:rsidR="0070202F" w:rsidRPr="003C4E2C">
        <w:rPr>
          <w:rFonts w:ascii="Calibri" w:hAnsi="Calibri" w:cs="Calibri"/>
          <w:b/>
          <w:bCs/>
          <w:color w:val="auto"/>
          <w:sz w:val="22"/>
          <w:szCs w:val="22"/>
        </w:rPr>
        <w:t xml:space="preserve"> Direct Costs</w:t>
      </w:r>
      <w:r w:rsidR="00BB05AF" w:rsidRPr="003C4E2C">
        <w:rPr>
          <w:rFonts w:ascii="Calibri" w:hAnsi="Calibri" w:cs="Calibri"/>
          <w:b/>
          <w:bCs/>
          <w:color w:val="auto"/>
          <w:sz w:val="22"/>
          <w:szCs w:val="22"/>
        </w:rPr>
        <w:t>:</w:t>
      </w:r>
      <w:r w:rsidR="0070202F" w:rsidRPr="003C4E2C">
        <w:rPr>
          <w:rFonts w:ascii="Calibri" w:hAnsi="Calibri" w:cs="Calibri"/>
          <w:b/>
          <w:bCs/>
          <w:color w:val="auto"/>
          <w:sz w:val="22"/>
          <w:szCs w:val="22"/>
        </w:rPr>
        <w:t xml:space="preserve"> </w:t>
      </w:r>
      <w:r w:rsidR="0070202F" w:rsidRPr="003C4E2C">
        <w:rPr>
          <w:rFonts w:ascii="Calibri" w:hAnsi="Calibri" w:cs="Calibri"/>
          <w:color w:val="auto"/>
          <w:sz w:val="22"/>
          <w:szCs w:val="22"/>
        </w:rPr>
        <w:t>$</w:t>
      </w:r>
      <w:r w:rsidR="00D71FFA" w:rsidRPr="003C4E2C">
        <w:rPr>
          <w:rFonts w:ascii="Calibri" w:hAnsi="Calibri" w:cs="Calibri"/>
          <w:color w:val="auto"/>
          <w:sz w:val="22"/>
          <w:szCs w:val="22"/>
        </w:rPr>
        <w:t>369,</w:t>
      </w:r>
      <w:r w:rsidR="0056625F" w:rsidRPr="003C4E2C">
        <w:rPr>
          <w:rFonts w:ascii="Calibri" w:hAnsi="Calibri" w:cs="Calibri"/>
          <w:color w:val="auto"/>
          <w:sz w:val="22"/>
          <w:szCs w:val="22"/>
        </w:rPr>
        <w:t>878,133</w:t>
      </w:r>
    </w:p>
    <w:p w14:paraId="376F40AB" w14:textId="0D0E68E6" w:rsidR="00754B3D" w:rsidRPr="003C4E2C" w:rsidRDefault="00CB5898" w:rsidP="00DF2786">
      <w:pPr>
        <w:autoSpaceDE w:val="0"/>
        <w:autoSpaceDN w:val="0"/>
        <w:adjustRightInd w:val="0"/>
        <w:snapToGrid w:val="0"/>
        <w:spacing w:before="80"/>
      </w:pPr>
      <w:r w:rsidRPr="003C4E2C">
        <w:rPr>
          <w:rFonts w:ascii="Calibri" w:eastAsia="Times New Roman" w:hAnsi="Calibri" w:cs="Calibri"/>
          <w:kern w:val="0"/>
          <w:lang w:val="x-none"/>
        </w:rPr>
        <w:t>Other direct costs</w:t>
      </w:r>
      <w:r w:rsidR="00D55F13" w:rsidRPr="003C4E2C">
        <w:rPr>
          <w:rFonts w:ascii="Calibri" w:eastAsia="Times New Roman" w:hAnsi="Calibri" w:cs="Calibri"/>
          <w:kern w:val="0"/>
          <w:lang w:val="x-none"/>
        </w:rPr>
        <w:t xml:space="preserve"> </w:t>
      </w:r>
      <w:r w:rsidR="000C09DE" w:rsidRPr="003C4E2C">
        <w:rPr>
          <w:rFonts w:ascii="Calibri" w:eastAsia="Times New Roman" w:hAnsi="Calibri" w:cs="Calibri"/>
          <w:kern w:val="0"/>
          <w:lang w:val="x-none"/>
        </w:rPr>
        <w:t>are requested for</w:t>
      </w:r>
      <w:r w:rsidR="00DA0756" w:rsidRPr="003C4E2C">
        <w:rPr>
          <w:rFonts w:ascii="Calibri" w:eastAsia="Times New Roman" w:hAnsi="Calibri" w:cs="Calibri"/>
          <w:kern w:val="0"/>
          <w:lang w:val="x-none"/>
        </w:rPr>
        <w:t xml:space="preserve"> </w:t>
      </w:r>
      <w:r w:rsidR="00887B0A" w:rsidRPr="003C4E2C">
        <w:rPr>
          <w:rFonts w:ascii="Calibri" w:eastAsia="Times New Roman" w:hAnsi="Calibri" w:cs="Calibri"/>
          <w:kern w:val="0"/>
          <w:lang w:val="x-none"/>
        </w:rPr>
        <w:t xml:space="preserve">Commercial </w:t>
      </w:r>
      <w:r w:rsidR="006622CE" w:rsidRPr="003C4E2C">
        <w:rPr>
          <w:rFonts w:ascii="Calibri" w:eastAsia="Times New Roman" w:hAnsi="Calibri" w:cs="Calibri"/>
          <w:kern w:val="0"/>
          <w:lang w:val="x-none"/>
        </w:rPr>
        <w:t>Cargo Bike</w:t>
      </w:r>
      <w:r w:rsidR="00887B0A" w:rsidRPr="003C4E2C">
        <w:rPr>
          <w:rFonts w:ascii="Calibri" w:eastAsia="Times New Roman" w:hAnsi="Calibri" w:cs="Calibri"/>
          <w:kern w:val="0"/>
          <w:lang w:val="x-none"/>
        </w:rPr>
        <w:t xml:space="preserve"> Incentive Program</w:t>
      </w:r>
      <w:r w:rsidR="00471C02" w:rsidRPr="003C4E2C">
        <w:rPr>
          <w:rFonts w:ascii="Calibri" w:eastAsia="Times New Roman" w:hAnsi="Calibri" w:cs="Calibri"/>
          <w:kern w:val="0"/>
          <w:lang w:val="x-none"/>
        </w:rPr>
        <w:t xml:space="preserve"> for marketing costs</w:t>
      </w:r>
      <w:r w:rsidR="00707F00" w:rsidRPr="003C4E2C">
        <w:rPr>
          <w:rFonts w:ascii="Calibri" w:eastAsia="Times New Roman" w:hAnsi="Calibri" w:cs="Calibri"/>
          <w:kern w:val="0"/>
        </w:rPr>
        <w:t xml:space="preserve"> and</w:t>
      </w:r>
      <w:r w:rsidR="00892805" w:rsidRPr="003C4E2C">
        <w:rPr>
          <w:rFonts w:ascii="Calibri" w:eastAsia="Times New Roman" w:hAnsi="Calibri" w:cs="Calibri"/>
          <w:kern w:val="0"/>
        </w:rPr>
        <w:t xml:space="preserve"> </w:t>
      </w:r>
      <w:r w:rsidR="00887B0A" w:rsidRPr="003C4E2C">
        <w:rPr>
          <w:rFonts w:ascii="Calibri" w:eastAsia="Times New Roman" w:hAnsi="Calibri" w:cs="Calibri"/>
          <w:kern w:val="0"/>
          <w:lang w:val="x-none"/>
        </w:rPr>
        <w:t>Blue Highways for subawards to NYCEDC and PANYNJ</w:t>
      </w:r>
      <w:r w:rsidR="0057247A" w:rsidRPr="003C4E2C">
        <w:rPr>
          <w:rFonts w:ascii="Calibri" w:eastAsia="Times New Roman" w:hAnsi="Calibri" w:cs="Calibri"/>
          <w:kern w:val="0"/>
          <w:lang w:val="x-none"/>
        </w:rPr>
        <w:t xml:space="preserve"> to fund Blue Highways </w:t>
      </w:r>
      <w:r w:rsidR="00C30F04" w:rsidRPr="003C4E2C">
        <w:rPr>
          <w:rFonts w:ascii="Calibri" w:eastAsia="Times New Roman" w:hAnsi="Calibri" w:cs="Calibri"/>
          <w:kern w:val="0"/>
        </w:rPr>
        <w:t>measures</w:t>
      </w:r>
      <w:r w:rsidR="00EC5CF1" w:rsidRPr="003C4E2C">
        <w:rPr>
          <w:rFonts w:ascii="Calibri" w:eastAsia="Times New Roman" w:hAnsi="Calibri" w:cs="Calibri"/>
          <w:kern w:val="0"/>
          <w:lang w:val="x-none"/>
        </w:rPr>
        <w:t>. Please refer to each</w:t>
      </w:r>
      <w:r w:rsidR="0076252A" w:rsidRPr="003C4E2C">
        <w:rPr>
          <w:rFonts w:ascii="Calibri" w:eastAsia="Times New Roman" w:hAnsi="Calibri" w:cs="Calibri"/>
          <w:kern w:val="0"/>
          <w:lang w:val="x-none"/>
        </w:rPr>
        <w:t xml:space="preserve"> section for descriptions of these costs.</w:t>
      </w:r>
      <w:r w:rsidR="005E2260" w:rsidRPr="003C4E2C" w:rsidDel="0062077B">
        <w:rPr>
          <w:rFonts w:ascii="Calibri" w:eastAsia="Times New Roman" w:hAnsi="Calibri" w:cs="Calibri"/>
          <w:kern w:val="0"/>
          <w:lang w:val="x-none"/>
        </w:rPr>
        <w:t xml:space="preserve"> </w:t>
      </w:r>
      <w:r w:rsidR="005E2260" w:rsidRPr="003C4E2C">
        <w:rPr>
          <w:rFonts w:ascii="Calibri" w:eastAsia="Times New Roman" w:hAnsi="Calibri" w:cs="Calibri"/>
          <w:kern w:val="0"/>
          <w:lang w:val="x-none"/>
        </w:rPr>
        <w:t xml:space="preserve">$250,000 is requested to provide funding for </w:t>
      </w:r>
      <w:r w:rsidR="00DA0430" w:rsidRPr="003C4E2C">
        <w:rPr>
          <w:rFonts w:ascii="Calibri" w:eastAsia="Times New Roman" w:hAnsi="Calibri" w:cs="Calibri"/>
          <w:kern w:val="0"/>
          <w:lang w:val="x-none"/>
        </w:rPr>
        <w:t xml:space="preserve">ten </w:t>
      </w:r>
      <w:r w:rsidR="00494439" w:rsidRPr="003C4E2C">
        <w:rPr>
          <w:rFonts w:ascii="Calibri" w:eastAsia="Times New Roman" w:hAnsi="Calibri" w:cs="Calibri"/>
          <w:kern w:val="0"/>
          <w:lang w:val="x-none"/>
        </w:rPr>
        <w:t>community partners. These partners</w:t>
      </w:r>
      <w:r w:rsidR="00AE3EF5" w:rsidRPr="003C4E2C">
        <w:rPr>
          <w:rFonts w:ascii="Calibri" w:eastAsia="Times New Roman" w:hAnsi="Calibri" w:cs="Calibri"/>
          <w:kern w:val="0"/>
          <w:lang w:val="x-none"/>
        </w:rPr>
        <w:t xml:space="preserve"> will </w:t>
      </w:r>
      <w:r w:rsidR="00D81F2D" w:rsidRPr="003C4E2C">
        <w:rPr>
          <w:rFonts w:ascii="Calibri" w:eastAsia="Times New Roman" w:hAnsi="Calibri" w:cs="Calibri"/>
          <w:kern w:val="0"/>
          <w:lang w:val="x-none"/>
        </w:rPr>
        <w:t>help to drive</w:t>
      </w:r>
      <w:r w:rsidR="00AE3EF5" w:rsidRPr="003C4E2C">
        <w:rPr>
          <w:rFonts w:ascii="Calibri" w:eastAsia="Times New Roman" w:hAnsi="Calibri" w:cs="Calibri"/>
          <w:kern w:val="0"/>
          <w:lang w:val="x-none"/>
        </w:rPr>
        <w:t xml:space="preserve"> community engagement with the project.</w:t>
      </w:r>
      <w:r w:rsidR="00644F4B" w:rsidRPr="003C4E2C">
        <w:rPr>
          <w:rFonts w:ascii="Calibri" w:eastAsia="Times New Roman" w:hAnsi="Calibri" w:cs="Calibri"/>
          <w:kern w:val="0"/>
          <w:lang w:val="x-none"/>
        </w:rPr>
        <w:t xml:space="preserve"> The cost is based on a similar project </w:t>
      </w:r>
      <w:r w:rsidR="003B6ABD" w:rsidRPr="003C4E2C">
        <w:rPr>
          <w:rFonts w:ascii="Calibri" w:eastAsia="Times New Roman" w:hAnsi="Calibri" w:cs="Calibri"/>
          <w:kern w:val="0"/>
          <w:lang w:val="x-none"/>
        </w:rPr>
        <w:t xml:space="preserve">recently completed by </w:t>
      </w:r>
      <w:r w:rsidR="00EB01DF" w:rsidRPr="003C4E2C">
        <w:rPr>
          <w:rFonts w:ascii="Calibri" w:eastAsia="Times New Roman" w:hAnsi="Calibri" w:cs="Calibri"/>
          <w:kern w:val="0"/>
          <w:lang w:val="x-none"/>
        </w:rPr>
        <w:t>NYC DOT</w:t>
      </w:r>
      <w:r w:rsidR="003B6ABD" w:rsidRPr="003C4E2C">
        <w:rPr>
          <w:rFonts w:ascii="Calibri" w:eastAsia="Times New Roman" w:hAnsi="Calibri" w:cs="Calibri"/>
          <w:kern w:val="0"/>
          <w:lang w:val="x-none"/>
        </w:rPr>
        <w:t>.</w:t>
      </w:r>
      <w:r w:rsidR="00EC38D8" w:rsidRPr="003C4E2C">
        <w:rPr>
          <w:rFonts w:ascii="Calibri" w:eastAsia="Times New Roman" w:hAnsi="Calibri" w:cs="Calibri"/>
          <w:kern w:val="0"/>
          <w:lang w:val="x-none"/>
        </w:rPr>
        <w:t xml:space="preserve"> Additionally, $400,000 is requested for </w:t>
      </w:r>
      <w:r w:rsidR="004E711D" w:rsidRPr="003C4E2C">
        <w:rPr>
          <w:rFonts w:ascii="Calibri" w:eastAsia="Times New Roman" w:hAnsi="Calibri" w:cs="Calibri"/>
          <w:kern w:val="0"/>
          <w:lang w:val="x-none"/>
        </w:rPr>
        <w:t xml:space="preserve">supplemental </w:t>
      </w:r>
      <w:r w:rsidR="00EC38D8" w:rsidRPr="003C4E2C">
        <w:rPr>
          <w:rFonts w:ascii="Calibri" w:eastAsia="Times New Roman" w:hAnsi="Calibri" w:cs="Calibri"/>
          <w:kern w:val="0"/>
          <w:lang w:val="x-none"/>
        </w:rPr>
        <w:t>community engagement</w:t>
      </w:r>
      <w:r w:rsidR="004E711D" w:rsidRPr="003C4E2C">
        <w:rPr>
          <w:rFonts w:ascii="Calibri" w:eastAsia="Times New Roman" w:hAnsi="Calibri" w:cs="Calibri"/>
          <w:kern w:val="0"/>
          <w:lang w:val="x-none"/>
        </w:rPr>
        <w:t xml:space="preserve"> initiatives</w:t>
      </w:r>
      <w:r w:rsidR="00EC38D8" w:rsidRPr="003C4E2C">
        <w:rPr>
          <w:rFonts w:ascii="Calibri" w:eastAsia="Times New Roman" w:hAnsi="Calibri" w:cs="Calibri"/>
          <w:kern w:val="0"/>
          <w:lang w:val="x-none"/>
        </w:rPr>
        <w:t>, split evenly across the four measures.</w:t>
      </w:r>
    </w:p>
    <w:p w14:paraId="1B9F9D45" w14:textId="4BC13D4E" w:rsidR="00CA3187" w:rsidRPr="003C4E2C" w:rsidRDefault="00CB5898" w:rsidP="00DF2786">
      <w:pPr>
        <w:pStyle w:val="Heading2"/>
        <w:spacing w:before="80" w:after="0"/>
        <w:jc w:val="both"/>
        <w:rPr>
          <w:rFonts w:ascii="Calibri" w:hAnsi="Calibri" w:cs="Calibri"/>
          <w:color w:val="auto"/>
          <w:sz w:val="22"/>
          <w:szCs w:val="22"/>
        </w:rPr>
      </w:pPr>
      <w:r w:rsidRPr="003C4E2C">
        <w:rPr>
          <w:rFonts w:ascii="Calibri" w:hAnsi="Calibri" w:cs="Calibri"/>
          <w:b/>
          <w:bCs/>
          <w:color w:val="auto"/>
          <w:sz w:val="22"/>
          <w:szCs w:val="22"/>
        </w:rPr>
        <w:t>Indirect Costs</w:t>
      </w:r>
      <w:r w:rsidR="00BB05AF" w:rsidRPr="003C4E2C">
        <w:rPr>
          <w:rFonts w:ascii="Calibri" w:hAnsi="Calibri" w:cs="Calibri"/>
          <w:b/>
          <w:bCs/>
          <w:color w:val="auto"/>
          <w:sz w:val="22"/>
          <w:szCs w:val="22"/>
        </w:rPr>
        <w:t xml:space="preserve">: </w:t>
      </w:r>
      <w:r w:rsidR="00BB05AF" w:rsidRPr="003C4E2C">
        <w:rPr>
          <w:rFonts w:ascii="Calibri" w:hAnsi="Calibri" w:cs="Calibri"/>
          <w:color w:val="auto"/>
          <w:sz w:val="22"/>
          <w:szCs w:val="22"/>
        </w:rPr>
        <w:t>None</w:t>
      </w:r>
    </w:p>
    <w:p w14:paraId="6C2D6FA1" w14:textId="77777777" w:rsidR="009A39B0" w:rsidRPr="00664FF3" w:rsidRDefault="009A39B0" w:rsidP="00DF2786">
      <w:pPr>
        <w:spacing w:before="80"/>
      </w:pPr>
    </w:p>
    <w:p w14:paraId="0CA0E576" w14:textId="59D4615A" w:rsidR="00034165" w:rsidRPr="00664FF3" w:rsidRDefault="003A1752" w:rsidP="00DF2786">
      <w:pPr>
        <w:pStyle w:val="Heading1"/>
        <w:spacing w:before="80" w:after="0"/>
        <w:jc w:val="both"/>
        <w:rPr>
          <w:rFonts w:ascii="Calibri" w:hAnsi="Calibri" w:cs="Calibri"/>
          <w:b/>
          <w:color w:val="auto"/>
          <w:sz w:val="20"/>
          <w:szCs w:val="20"/>
        </w:rPr>
      </w:pPr>
      <w:r w:rsidRPr="00664FF3">
        <w:rPr>
          <w:rFonts w:ascii="Calibri" w:hAnsi="Calibri" w:cs="Calibri"/>
          <w:b/>
          <w:color w:val="auto"/>
          <w:sz w:val="20"/>
          <w:szCs w:val="20"/>
        </w:rPr>
        <w:t>Commercial Cargo Bike Incentive Program</w:t>
      </w:r>
    </w:p>
    <w:p w14:paraId="72E817F7" w14:textId="4936EF66" w:rsidR="009E2A04" w:rsidRPr="00664FF3" w:rsidRDefault="00EB01DF" w:rsidP="00DF2786">
      <w:pPr>
        <w:autoSpaceDE w:val="0"/>
        <w:autoSpaceDN w:val="0"/>
        <w:adjustRightInd w:val="0"/>
        <w:snapToGrid w:val="0"/>
        <w:spacing w:before="80"/>
        <w:rPr>
          <w:rFonts w:ascii="Calibri" w:eastAsia="Times New Roman" w:hAnsi="Calibri" w:cs="Calibri"/>
          <w:kern w:val="0"/>
          <w:szCs w:val="24"/>
          <w:lang w:val="x-none"/>
        </w:rPr>
      </w:pPr>
      <w:r w:rsidRPr="00664FF3">
        <w:rPr>
          <w:rFonts w:ascii="Calibri" w:eastAsia="Times New Roman" w:hAnsi="Calibri" w:cs="Calibri"/>
          <w:kern w:val="0"/>
          <w:szCs w:val="24"/>
        </w:rPr>
        <w:t>NYC DOT</w:t>
      </w:r>
      <w:r w:rsidR="001317E9" w:rsidRPr="00664FF3">
        <w:rPr>
          <w:rFonts w:ascii="Calibri" w:eastAsia="Times New Roman" w:hAnsi="Calibri" w:cs="Calibri"/>
          <w:kern w:val="0"/>
          <w:szCs w:val="24"/>
        </w:rPr>
        <w:t xml:space="preserve"> is requesting </w:t>
      </w:r>
      <w:r w:rsidR="009E2A04" w:rsidRPr="00664FF3">
        <w:rPr>
          <w:rFonts w:ascii="Calibri" w:eastAsia="Times New Roman" w:hAnsi="Calibri" w:cs="Calibri"/>
          <w:kern w:val="0"/>
          <w:szCs w:val="24"/>
          <w:lang w:val="x-none"/>
        </w:rPr>
        <w:t>$</w:t>
      </w:r>
      <w:r w:rsidR="00B070E7" w:rsidRPr="00664FF3">
        <w:rPr>
          <w:rFonts w:ascii="Calibri" w:eastAsia="Times New Roman" w:hAnsi="Calibri" w:cs="Calibri"/>
          <w:kern w:val="0"/>
          <w:szCs w:val="24"/>
          <w:lang w:val="x-none"/>
        </w:rPr>
        <w:t>2</w:t>
      </w:r>
      <w:r w:rsidR="0004219F" w:rsidRPr="00664FF3">
        <w:rPr>
          <w:rFonts w:ascii="Calibri" w:eastAsia="Times New Roman" w:hAnsi="Calibri" w:cs="Calibri"/>
          <w:kern w:val="0"/>
          <w:szCs w:val="24"/>
          <w:lang w:val="x-none"/>
        </w:rPr>
        <w:t>4,</w:t>
      </w:r>
      <w:r w:rsidR="00E009B5" w:rsidRPr="00664FF3">
        <w:rPr>
          <w:rFonts w:ascii="Calibri" w:eastAsia="Times New Roman" w:hAnsi="Calibri" w:cs="Calibri"/>
          <w:kern w:val="0"/>
          <w:szCs w:val="24"/>
        </w:rPr>
        <w:t>3</w:t>
      </w:r>
      <w:r w:rsidR="0004219F" w:rsidRPr="00664FF3">
        <w:rPr>
          <w:rFonts w:ascii="Calibri" w:eastAsia="Times New Roman" w:hAnsi="Calibri" w:cs="Calibri"/>
          <w:kern w:val="0"/>
          <w:szCs w:val="24"/>
          <w:lang w:val="x-none"/>
        </w:rPr>
        <w:t>8</w:t>
      </w:r>
      <w:r w:rsidR="00C30803" w:rsidRPr="00664FF3">
        <w:rPr>
          <w:rFonts w:ascii="Calibri" w:eastAsia="Times New Roman" w:hAnsi="Calibri" w:cs="Calibri"/>
          <w:kern w:val="0"/>
          <w:szCs w:val="24"/>
          <w:lang w:val="x-none"/>
        </w:rPr>
        <w:t>2</w:t>
      </w:r>
      <w:r w:rsidR="00D61758" w:rsidRPr="00664FF3">
        <w:rPr>
          <w:rFonts w:ascii="Calibri" w:eastAsia="Times New Roman" w:hAnsi="Calibri" w:cs="Calibri"/>
          <w:kern w:val="0"/>
          <w:szCs w:val="24"/>
          <w:lang w:val="x-none"/>
        </w:rPr>
        <w:t>,</w:t>
      </w:r>
      <w:r w:rsidR="001B4DFC" w:rsidRPr="00664FF3">
        <w:rPr>
          <w:rFonts w:ascii="Calibri" w:eastAsia="Times New Roman" w:hAnsi="Calibri" w:cs="Calibri"/>
          <w:kern w:val="0"/>
          <w:szCs w:val="24"/>
          <w:lang w:val="x-none"/>
        </w:rPr>
        <w:t>39</w:t>
      </w:r>
      <w:r w:rsidR="00D61758" w:rsidRPr="00664FF3">
        <w:rPr>
          <w:rFonts w:ascii="Calibri" w:eastAsia="Times New Roman" w:hAnsi="Calibri" w:cs="Calibri"/>
          <w:kern w:val="0"/>
          <w:szCs w:val="24"/>
          <w:lang w:val="x-none"/>
        </w:rPr>
        <w:t>3</w:t>
      </w:r>
      <w:r w:rsidR="009E2A04" w:rsidRPr="00664FF3">
        <w:rPr>
          <w:rFonts w:ascii="Calibri" w:eastAsia="Times New Roman" w:hAnsi="Calibri" w:cs="Calibri"/>
          <w:kern w:val="0"/>
          <w:szCs w:val="24"/>
          <w:lang w:val="x-none"/>
        </w:rPr>
        <w:t xml:space="preserve"> for the programming, administration</w:t>
      </w:r>
      <w:r w:rsidR="007542BE" w:rsidRPr="00664FF3">
        <w:rPr>
          <w:rFonts w:ascii="Calibri" w:eastAsia="Times New Roman" w:hAnsi="Calibri" w:cs="Calibri"/>
          <w:kern w:val="0"/>
          <w:szCs w:val="24"/>
          <w:lang w:val="x-none"/>
        </w:rPr>
        <w:t>, and</w:t>
      </w:r>
      <w:r w:rsidR="009E2A04" w:rsidRPr="00664FF3">
        <w:rPr>
          <w:rFonts w:ascii="Calibri" w:eastAsia="Times New Roman" w:hAnsi="Calibri" w:cs="Calibri"/>
          <w:kern w:val="0"/>
          <w:szCs w:val="24"/>
          <w:lang w:val="x-none"/>
        </w:rPr>
        <w:t xml:space="preserve"> implementation of the</w:t>
      </w:r>
      <w:r w:rsidR="007542BE" w:rsidRPr="00664FF3">
        <w:rPr>
          <w:rFonts w:ascii="Calibri" w:eastAsia="Times New Roman" w:hAnsi="Calibri" w:cs="Calibri"/>
          <w:kern w:val="0"/>
          <w:szCs w:val="24"/>
          <w:lang w:val="x-none"/>
        </w:rPr>
        <w:t xml:space="preserve"> Commercial Cargo Bike Incentive Program.</w:t>
      </w:r>
    </w:p>
    <w:p w14:paraId="6A801093" w14:textId="79C37F1E" w:rsidR="00910A52" w:rsidRPr="003C4E2C" w:rsidRDefault="00910A52" w:rsidP="00DF2786">
      <w:pPr>
        <w:pStyle w:val="Heading2"/>
        <w:spacing w:before="80" w:after="0"/>
        <w:jc w:val="both"/>
        <w:rPr>
          <w:rFonts w:ascii="Calibri" w:hAnsi="Calibri" w:cs="Calibri"/>
          <w:color w:val="auto"/>
          <w:sz w:val="22"/>
          <w:szCs w:val="22"/>
        </w:rPr>
      </w:pPr>
      <w:r w:rsidRPr="003C4E2C">
        <w:rPr>
          <w:rFonts w:ascii="Calibri" w:hAnsi="Calibri" w:cs="Calibri"/>
          <w:b/>
          <w:bCs/>
          <w:color w:val="auto"/>
          <w:sz w:val="22"/>
          <w:szCs w:val="22"/>
        </w:rPr>
        <w:t>Personnel</w:t>
      </w:r>
      <w:r w:rsidR="006473C3" w:rsidRPr="003C4E2C">
        <w:rPr>
          <w:rFonts w:ascii="Calibri" w:hAnsi="Calibri" w:cs="Calibri"/>
          <w:b/>
          <w:bCs/>
          <w:color w:val="auto"/>
          <w:sz w:val="22"/>
          <w:szCs w:val="22"/>
        </w:rPr>
        <w:t>:</w:t>
      </w:r>
      <w:r w:rsidR="006473C3" w:rsidRPr="003C4E2C">
        <w:rPr>
          <w:rFonts w:ascii="Calibri" w:hAnsi="Calibri" w:cs="Calibri"/>
          <w:color w:val="auto"/>
          <w:sz w:val="22"/>
          <w:szCs w:val="22"/>
        </w:rPr>
        <w:t xml:space="preserve"> </w:t>
      </w:r>
      <w:r w:rsidR="005F5B1E" w:rsidRPr="003C4E2C">
        <w:rPr>
          <w:rFonts w:ascii="Calibri" w:hAnsi="Calibri" w:cs="Calibri"/>
          <w:color w:val="auto"/>
          <w:sz w:val="22"/>
          <w:szCs w:val="22"/>
        </w:rPr>
        <w:t>$</w:t>
      </w:r>
      <w:r w:rsidR="00D61758" w:rsidRPr="003C4E2C">
        <w:rPr>
          <w:rFonts w:ascii="Calibri" w:hAnsi="Calibri" w:cs="Calibri"/>
          <w:color w:val="auto"/>
          <w:sz w:val="22"/>
          <w:szCs w:val="22"/>
        </w:rPr>
        <w:t>1,289,663</w:t>
      </w:r>
    </w:p>
    <w:p w14:paraId="5ACED729" w14:textId="73C3E59B" w:rsidR="00A07975" w:rsidRPr="00664FF3" w:rsidRDefault="0007423F" w:rsidP="00DF2786">
      <w:pPr>
        <w:spacing w:before="80"/>
        <w:rPr>
          <w:rFonts w:ascii="Calibri" w:hAnsi="Calibri" w:cs="Calibri"/>
        </w:rPr>
      </w:pPr>
      <w:r w:rsidRPr="00664FF3">
        <w:rPr>
          <w:rFonts w:ascii="Calibri" w:hAnsi="Calibri" w:cs="Calibri"/>
        </w:rPr>
        <w:t>Funding is requested to create t</w:t>
      </w:r>
      <w:r w:rsidR="00B527A6" w:rsidRPr="00664FF3">
        <w:rPr>
          <w:rFonts w:ascii="Calibri" w:hAnsi="Calibri" w:cs="Calibri"/>
        </w:rPr>
        <w:t>hree</w:t>
      </w:r>
      <w:r w:rsidRPr="00664FF3">
        <w:rPr>
          <w:rFonts w:ascii="Calibri" w:hAnsi="Calibri" w:cs="Calibri"/>
        </w:rPr>
        <w:t xml:space="preserve"> 100% FTE positions within </w:t>
      </w:r>
      <w:r w:rsidR="00EB01DF" w:rsidRPr="00664FF3">
        <w:rPr>
          <w:rFonts w:ascii="Calibri" w:hAnsi="Calibri" w:cs="Calibri"/>
        </w:rPr>
        <w:t>NYC DOT</w:t>
      </w:r>
      <w:r w:rsidRPr="00664FF3">
        <w:rPr>
          <w:rFonts w:ascii="Calibri" w:hAnsi="Calibri" w:cs="Calibri"/>
        </w:rPr>
        <w:t xml:space="preserve"> focused on managing and implementing the Microhubs Expansion part of the project; one Project Manager and </w:t>
      </w:r>
      <w:r w:rsidR="00B527A6" w:rsidRPr="00664FF3">
        <w:rPr>
          <w:rFonts w:ascii="Calibri" w:hAnsi="Calibri" w:cs="Calibri"/>
        </w:rPr>
        <w:t>two</w:t>
      </w:r>
      <w:r w:rsidRPr="00664FF3">
        <w:rPr>
          <w:rFonts w:ascii="Calibri" w:hAnsi="Calibri" w:cs="Calibri"/>
        </w:rPr>
        <w:t xml:space="preserve"> Project Coordinator</w:t>
      </w:r>
      <w:r w:rsidR="00B527A6" w:rsidRPr="00664FF3">
        <w:rPr>
          <w:rFonts w:ascii="Calibri" w:hAnsi="Calibri" w:cs="Calibri"/>
        </w:rPr>
        <w:t>s</w:t>
      </w:r>
      <w:r w:rsidR="007F7E62" w:rsidRPr="00664FF3">
        <w:rPr>
          <w:rFonts w:ascii="Calibri" w:hAnsi="Calibri" w:cs="Calibri"/>
        </w:rPr>
        <w:t xml:space="preserve">. </w:t>
      </w:r>
      <w:r w:rsidR="00AB3DC2" w:rsidRPr="00664FF3">
        <w:rPr>
          <w:rFonts w:ascii="Calibri" w:hAnsi="Calibri" w:cs="Calibri"/>
        </w:rPr>
        <w:t>T</w:t>
      </w:r>
      <w:r w:rsidR="009F1DEE" w:rsidRPr="00664FF3">
        <w:rPr>
          <w:rFonts w:ascii="Calibri" w:hAnsi="Calibri" w:cs="Calibri"/>
        </w:rPr>
        <w:t>h</w:t>
      </w:r>
      <w:r w:rsidR="00FC5AC4" w:rsidRPr="00664FF3">
        <w:rPr>
          <w:rFonts w:ascii="Calibri" w:hAnsi="Calibri" w:cs="Calibri"/>
        </w:rPr>
        <w:t>ese</w:t>
      </w:r>
      <w:r w:rsidR="00340087" w:rsidRPr="00664FF3">
        <w:rPr>
          <w:rFonts w:ascii="Calibri" w:hAnsi="Calibri" w:cs="Calibri"/>
        </w:rPr>
        <w:t xml:space="preserve"> position</w:t>
      </w:r>
      <w:r w:rsidR="00FC5AC4" w:rsidRPr="00664FF3">
        <w:rPr>
          <w:rFonts w:ascii="Calibri" w:hAnsi="Calibri" w:cs="Calibri"/>
        </w:rPr>
        <w:t>s</w:t>
      </w:r>
      <w:r w:rsidR="009F1DEE" w:rsidRPr="00664FF3">
        <w:rPr>
          <w:rFonts w:ascii="Calibri" w:hAnsi="Calibri" w:cs="Calibri"/>
        </w:rPr>
        <w:t xml:space="preserve"> </w:t>
      </w:r>
      <w:r w:rsidR="00FC5AC4" w:rsidRPr="00664FF3">
        <w:rPr>
          <w:rFonts w:ascii="Calibri" w:hAnsi="Calibri" w:cs="Calibri"/>
        </w:rPr>
        <w:t>are</w:t>
      </w:r>
      <w:r w:rsidR="00340087" w:rsidRPr="00664FF3">
        <w:rPr>
          <w:rFonts w:ascii="Calibri" w:hAnsi="Calibri" w:cs="Calibri"/>
        </w:rPr>
        <w:t xml:space="preserve"> </w:t>
      </w:r>
      <w:r w:rsidR="00AB3DC2" w:rsidRPr="00664FF3">
        <w:rPr>
          <w:rFonts w:ascii="Calibri" w:hAnsi="Calibri" w:cs="Calibri"/>
        </w:rPr>
        <w:t xml:space="preserve">currently </w:t>
      </w:r>
      <w:r w:rsidR="00340087" w:rsidRPr="00664FF3">
        <w:rPr>
          <w:rFonts w:ascii="Calibri" w:hAnsi="Calibri" w:cs="Calibri"/>
        </w:rPr>
        <w:t xml:space="preserve">vacant and </w:t>
      </w:r>
      <w:r w:rsidR="001E768F" w:rsidRPr="00664FF3">
        <w:rPr>
          <w:rFonts w:ascii="Calibri" w:hAnsi="Calibri" w:cs="Calibri"/>
        </w:rPr>
        <w:t>will</w:t>
      </w:r>
      <w:r w:rsidR="00340087" w:rsidRPr="00664FF3">
        <w:rPr>
          <w:rFonts w:ascii="Calibri" w:hAnsi="Calibri" w:cs="Calibri"/>
        </w:rPr>
        <w:t xml:space="preserve"> be filled upon execution of a grant agreement with </w:t>
      </w:r>
      <w:r w:rsidR="00A07975" w:rsidRPr="00664FF3">
        <w:rPr>
          <w:rFonts w:ascii="Calibri" w:hAnsi="Calibri" w:cs="Calibri"/>
        </w:rPr>
        <w:t>EPA.</w:t>
      </w:r>
      <w:r w:rsidR="0040562B" w:rsidRPr="00664FF3">
        <w:rPr>
          <w:rFonts w:ascii="Calibri" w:hAnsi="Calibri" w:cs="Calibri"/>
        </w:rPr>
        <w:t xml:space="preserve"> </w:t>
      </w:r>
      <w:r w:rsidR="00BB0CB5" w:rsidRPr="00664FF3">
        <w:rPr>
          <w:rFonts w:ascii="Calibri" w:hAnsi="Calibri" w:cs="Calibri"/>
        </w:rPr>
        <w:t>Please refer to the Cost Details section for a breakdown of the personnel salaries.</w:t>
      </w:r>
    </w:p>
    <w:p w14:paraId="2C2A3B60" w14:textId="5D712AC5" w:rsidR="00A07975" w:rsidRPr="00664FF3" w:rsidRDefault="009F1DEE" w:rsidP="00DF2786">
      <w:pPr>
        <w:spacing w:before="80"/>
        <w:rPr>
          <w:rFonts w:ascii="Calibri" w:hAnsi="Calibri" w:cs="Calibri"/>
        </w:rPr>
      </w:pPr>
      <w:r w:rsidRPr="00664FF3">
        <w:rPr>
          <w:rFonts w:ascii="Calibri" w:hAnsi="Calibri" w:cs="Calibri"/>
        </w:rPr>
        <w:t>Th</w:t>
      </w:r>
      <w:r w:rsidR="00D61758" w:rsidRPr="00664FF3">
        <w:rPr>
          <w:rFonts w:ascii="Calibri" w:hAnsi="Calibri" w:cs="Calibri"/>
        </w:rPr>
        <w:t>ese</w:t>
      </w:r>
      <w:r w:rsidRPr="00664FF3">
        <w:rPr>
          <w:rFonts w:ascii="Calibri" w:hAnsi="Calibri" w:cs="Calibri"/>
        </w:rPr>
        <w:t xml:space="preserve"> position</w:t>
      </w:r>
      <w:r w:rsidR="00D61758" w:rsidRPr="00664FF3">
        <w:rPr>
          <w:rFonts w:ascii="Calibri" w:hAnsi="Calibri" w:cs="Calibri"/>
        </w:rPr>
        <w:t>s</w:t>
      </w:r>
      <w:r w:rsidR="00A07975" w:rsidRPr="00664FF3">
        <w:rPr>
          <w:rFonts w:ascii="Calibri" w:hAnsi="Calibri" w:cs="Calibri"/>
        </w:rPr>
        <w:t xml:space="preserve"> will be primarily responsible for </w:t>
      </w:r>
      <w:r w:rsidRPr="00664FF3">
        <w:rPr>
          <w:rFonts w:ascii="Calibri" w:hAnsi="Calibri" w:cs="Calibri"/>
        </w:rPr>
        <w:t>managing the administration of the incentive program</w:t>
      </w:r>
      <w:r w:rsidR="00AC558E" w:rsidRPr="00664FF3">
        <w:rPr>
          <w:rFonts w:ascii="Calibri" w:hAnsi="Calibri" w:cs="Calibri"/>
        </w:rPr>
        <w:t xml:space="preserve"> and managing the consultant </w:t>
      </w:r>
      <w:r w:rsidR="00963303" w:rsidRPr="00664FF3">
        <w:rPr>
          <w:rFonts w:ascii="Calibri" w:hAnsi="Calibri" w:cs="Calibri"/>
        </w:rPr>
        <w:t xml:space="preserve">that will disburse </w:t>
      </w:r>
      <w:r w:rsidR="00A634CF" w:rsidRPr="00664FF3">
        <w:rPr>
          <w:rFonts w:ascii="Calibri" w:hAnsi="Calibri" w:cs="Calibri"/>
        </w:rPr>
        <w:t>subsidies</w:t>
      </w:r>
      <w:r w:rsidR="00A05C79" w:rsidRPr="00664FF3">
        <w:rPr>
          <w:rFonts w:ascii="Calibri" w:hAnsi="Calibri" w:cs="Calibri"/>
        </w:rPr>
        <w:t>. Administrative tasks required for this element of the program include</w:t>
      </w:r>
      <w:r w:rsidR="00A07975" w:rsidRPr="00664FF3">
        <w:rPr>
          <w:rFonts w:ascii="Calibri" w:hAnsi="Calibri" w:cs="Calibri"/>
        </w:rPr>
        <w:t xml:space="preserve"> review of applications </w:t>
      </w:r>
      <w:r w:rsidR="00CE78FB" w:rsidRPr="00664FF3">
        <w:rPr>
          <w:rFonts w:ascii="Calibri" w:hAnsi="Calibri" w:cs="Calibri"/>
        </w:rPr>
        <w:t>from different businesses to receive subsidies for cargo bike purchases,</w:t>
      </w:r>
      <w:r w:rsidR="007F31E8" w:rsidRPr="00664FF3">
        <w:rPr>
          <w:rFonts w:ascii="Calibri" w:hAnsi="Calibri" w:cs="Calibri"/>
        </w:rPr>
        <w:t xml:space="preserve"> disbursement of funds to eligible businesses,</w:t>
      </w:r>
      <w:r w:rsidR="00CE78FB" w:rsidRPr="00664FF3">
        <w:rPr>
          <w:rFonts w:ascii="Calibri" w:hAnsi="Calibri" w:cs="Calibri"/>
        </w:rPr>
        <w:t xml:space="preserve"> and ongoing support </w:t>
      </w:r>
      <w:r w:rsidR="00C25D4F" w:rsidRPr="00664FF3">
        <w:rPr>
          <w:rFonts w:ascii="Calibri" w:hAnsi="Calibri" w:cs="Calibri"/>
        </w:rPr>
        <w:t>for</w:t>
      </w:r>
      <w:r w:rsidR="00CE78FB" w:rsidRPr="00664FF3">
        <w:rPr>
          <w:rFonts w:ascii="Calibri" w:hAnsi="Calibri" w:cs="Calibri"/>
        </w:rPr>
        <w:t xml:space="preserve"> these cargo bike operator</w:t>
      </w:r>
      <w:r w:rsidR="00C25D4F" w:rsidRPr="00664FF3">
        <w:rPr>
          <w:rFonts w:ascii="Calibri" w:hAnsi="Calibri" w:cs="Calibri"/>
        </w:rPr>
        <w:t>s</w:t>
      </w:r>
      <w:r w:rsidR="00CE78FB" w:rsidRPr="00664FF3">
        <w:rPr>
          <w:rFonts w:ascii="Calibri" w:hAnsi="Calibri" w:cs="Calibri"/>
        </w:rPr>
        <w:t xml:space="preserve">, including developing a support network </w:t>
      </w:r>
      <w:r w:rsidR="00C25D4F" w:rsidRPr="00664FF3">
        <w:rPr>
          <w:rFonts w:ascii="Calibri" w:hAnsi="Calibri" w:cs="Calibri"/>
        </w:rPr>
        <w:t>which will connect</w:t>
      </w:r>
      <w:r w:rsidR="007F31E8" w:rsidRPr="00664FF3">
        <w:rPr>
          <w:rFonts w:ascii="Calibri" w:hAnsi="Calibri" w:cs="Calibri"/>
        </w:rPr>
        <w:t xml:space="preserve"> cargo bike owners and operators </w:t>
      </w:r>
      <w:r w:rsidR="00C25D4F" w:rsidRPr="00664FF3">
        <w:rPr>
          <w:rFonts w:ascii="Calibri" w:hAnsi="Calibri" w:cs="Calibri"/>
        </w:rPr>
        <w:t>with</w:t>
      </w:r>
      <w:r w:rsidR="007F31E8" w:rsidRPr="00664FF3">
        <w:rPr>
          <w:rFonts w:ascii="Calibri" w:hAnsi="Calibri" w:cs="Calibri"/>
        </w:rPr>
        <w:t xml:space="preserve"> maintenance providers.</w:t>
      </w:r>
      <w:r w:rsidR="002B2E39" w:rsidRPr="00664FF3">
        <w:rPr>
          <w:rFonts w:ascii="Calibri" w:hAnsi="Calibri" w:cs="Calibri"/>
        </w:rPr>
        <w:t xml:space="preserve"> </w:t>
      </w:r>
    </w:p>
    <w:p w14:paraId="75262C4F" w14:textId="3C12CD53" w:rsidR="00910A52" w:rsidRPr="003C4E2C" w:rsidRDefault="00910A52" w:rsidP="00DF2786">
      <w:pPr>
        <w:pStyle w:val="Heading2"/>
        <w:spacing w:before="80" w:after="0"/>
        <w:jc w:val="both"/>
        <w:rPr>
          <w:rFonts w:ascii="Calibri" w:hAnsi="Calibri" w:cs="Calibri"/>
          <w:color w:val="auto"/>
          <w:sz w:val="22"/>
          <w:szCs w:val="22"/>
        </w:rPr>
      </w:pPr>
      <w:r w:rsidRPr="003C4E2C">
        <w:rPr>
          <w:rFonts w:ascii="Calibri" w:hAnsi="Calibri" w:cs="Calibri"/>
          <w:b/>
          <w:bCs/>
          <w:color w:val="auto"/>
          <w:sz w:val="22"/>
          <w:szCs w:val="22"/>
        </w:rPr>
        <w:t>Fringe Benefits</w:t>
      </w:r>
      <w:r w:rsidR="00DB086C" w:rsidRPr="003C4E2C">
        <w:rPr>
          <w:rFonts w:ascii="Calibri" w:hAnsi="Calibri" w:cs="Calibri"/>
          <w:b/>
          <w:bCs/>
          <w:color w:val="auto"/>
          <w:sz w:val="22"/>
          <w:szCs w:val="22"/>
        </w:rPr>
        <w:t>:</w:t>
      </w:r>
      <w:r w:rsidR="00DB086C" w:rsidRPr="003C4E2C">
        <w:rPr>
          <w:rFonts w:ascii="Calibri" w:hAnsi="Calibri" w:cs="Calibri"/>
          <w:color w:val="auto"/>
          <w:sz w:val="22"/>
          <w:szCs w:val="22"/>
        </w:rPr>
        <w:t xml:space="preserve"> </w:t>
      </w:r>
      <w:r w:rsidR="00F81700" w:rsidRPr="003C4E2C">
        <w:rPr>
          <w:rFonts w:ascii="Calibri" w:hAnsi="Calibri" w:cs="Calibri"/>
          <w:color w:val="auto"/>
          <w:sz w:val="22"/>
          <w:szCs w:val="22"/>
        </w:rPr>
        <w:t>$</w:t>
      </w:r>
      <w:r w:rsidR="00B47E27" w:rsidRPr="003C4E2C">
        <w:rPr>
          <w:rFonts w:ascii="Calibri" w:hAnsi="Calibri" w:cs="Calibri"/>
          <w:color w:val="auto"/>
          <w:sz w:val="22"/>
          <w:szCs w:val="22"/>
        </w:rPr>
        <w:t>756,130</w:t>
      </w:r>
    </w:p>
    <w:p w14:paraId="3C0639D0" w14:textId="77777777" w:rsidR="00017623" w:rsidRPr="003C4E2C" w:rsidRDefault="00017623" w:rsidP="00DF2786">
      <w:pPr>
        <w:autoSpaceDE w:val="0"/>
        <w:autoSpaceDN w:val="0"/>
        <w:adjustRightInd w:val="0"/>
        <w:snapToGrid w:val="0"/>
        <w:spacing w:before="80"/>
        <w:jc w:val="both"/>
        <w:rPr>
          <w:rFonts w:ascii="Calibri" w:eastAsia="Times New Roman" w:hAnsi="Calibri" w:cs="Calibri"/>
          <w:kern w:val="0"/>
          <w:lang w:val="x-none"/>
        </w:rPr>
      </w:pPr>
      <w:r w:rsidRPr="003C4E2C">
        <w:rPr>
          <w:rFonts w:ascii="Calibri" w:eastAsia="Times New Roman" w:hAnsi="Calibri" w:cs="Calibri"/>
          <w:kern w:val="0"/>
          <w:lang w:val="x-none"/>
        </w:rPr>
        <w:t>Fringe benefits funding is requested for the personnel listed above. Please refer to the Cost Details section for a breakdown of how fringe benefits are calculated.</w:t>
      </w:r>
    </w:p>
    <w:p w14:paraId="1C265049" w14:textId="235C33F0" w:rsidR="00910A52" w:rsidRPr="003C4E2C" w:rsidRDefault="00910A52" w:rsidP="00DF2786">
      <w:pPr>
        <w:pStyle w:val="Heading2"/>
        <w:spacing w:before="80" w:after="0"/>
        <w:jc w:val="both"/>
        <w:rPr>
          <w:rFonts w:ascii="Calibri" w:hAnsi="Calibri" w:cs="Calibri"/>
          <w:color w:val="auto"/>
          <w:sz w:val="22"/>
          <w:szCs w:val="22"/>
        </w:rPr>
      </w:pPr>
      <w:r w:rsidRPr="003C4E2C">
        <w:rPr>
          <w:rFonts w:ascii="Calibri" w:hAnsi="Calibri" w:cs="Calibri"/>
          <w:b/>
          <w:bCs/>
          <w:color w:val="auto"/>
          <w:sz w:val="22"/>
          <w:szCs w:val="22"/>
        </w:rPr>
        <w:t>Travel</w:t>
      </w:r>
      <w:r w:rsidR="000C6DC7" w:rsidRPr="003C4E2C">
        <w:rPr>
          <w:rFonts w:ascii="Calibri" w:hAnsi="Calibri" w:cs="Calibri"/>
          <w:b/>
          <w:bCs/>
          <w:color w:val="auto"/>
          <w:sz w:val="22"/>
          <w:szCs w:val="22"/>
        </w:rPr>
        <w:t>:</w:t>
      </w:r>
      <w:r w:rsidR="000C6DC7" w:rsidRPr="003C4E2C">
        <w:rPr>
          <w:rFonts w:ascii="Calibri" w:hAnsi="Calibri" w:cs="Calibri"/>
          <w:color w:val="auto"/>
          <w:sz w:val="22"/>
          <w:szCs w:val="22"/>
        </w:rPr>
        <w:t xml:space="preserve"> None</w:t>
      </w:r>
    </w:p>
    <w:p w14:paraId="1AF22C34" w14:textId="54546CAA" w:rsidR="000C6DC7" w:rsidRPr="003C4E2C" w:rsidRDefault="000C6DC7" w:rsidP="00DF2786">
      <w:pPr>
        <w:spacing w:before="80"/>
        <w:jc w:val="both"/>
        <w:rPr>
          <w:rFonts w:ascii="Calibri" w:hAnsi="Calibri" w:cs="Calibri"/>
        </w:rPr>
      </w:pPr>
      <w:r w:rsidRPr="003C4E2C">
        <w:rPr>
          <w:rFonts w:ascii="Calibri" w:hAnsi="Calibri" w:cs="Calibri"/>
        </w:rPr>
        <w:t xml:space="preserve">Travel costs are not requested for </w:t>
      </w:r>
      <w:r w:rsidR="000414AC" w:rsidRPr="003C4E2C">
        <w:rPr>
          <w:rFonts w:ascii="Calibri" w:hAnsi="Calibri" w:cs="Calibri"/>
        </w:rPr>
        <w:t xml:space="preserve">the </w:t>
      </w:r>
      <w:r w:rsidR="00AD3FBB" w:rsidRPr="003C4E2C">
        <w:rPr>
          <w:rFonts w:ascii="Calibri" w:hAnsi="Calibri" w:cs="Calibri"/>
        </w:rPr>
        <w:t>Commercial Cargo Bike Incentive Program</w:t>
      </w:r>
      <w:r w:rsidR="00C22D12" w:rsidRPr="003C4E2C">
        <w:rPr>
          <w:rFonts w:ascii="Calibri" w:hAnsi="Calibri" w:cs="Calibri"/>
        </w:rPr>
        <w:t>.</w:t>
      </w:r>
    </w:p>
    <w:p w14:paraId="533ED806" w14:textId="2F613F6D" w:rsidR="009502C0" w:rsidRPr="003C4E2C" w:rsidRDefault="00910A52" w:rsidP="00DF2786">
      <w:pPr>
        <w:pStyle w:val="Heading2"/>
        <w:spacing w:before="80" w:after="0"/>
        <w:jc w:val="both"/>
        <w:rPr>
          <w:rFonts w:ascii="Calibri" w:hAnsi="Calibri" w:cs="Calibri"/>
          <w:color w:val="auto"/>
          <w:sz w:val="22"/>
          <w:szCs w:val="22"/>
        </w:rPr>
      </w:pPr>
      <w:r w:rsidRPr="003C4E2C">
        <w:rPr>
          <w:rFonts w:ascii="Calibri" w:hAnsi="Calibri" w:cs="Calibri"/>
          <w:b/>
          <w:bCs/>
          <w:color w:val="auto"/>
          <w:sz w:val="22"/>
          <w:szCs w:val="22"/>
        </w:rPr>
        <w:t>Equipment</w:t>
      </w:r>
      <w:r w:rsidR="00905D98" w:rsidRPr="003C4E2C">
        <w:rPr>
          <w:rFonts w:ascii="Calibri" w:hAnsi="Calibri" w:cs="Calibri"/>
          <w:color w:val="auto"/>
          <w:sz w:val="22"/>
          <w:szCs w:val="22"/>
        </w:rPr>
        <w:t>:</w:t>
      </w:r>
      <w:r w:rsidR="006C7893" w:rsidRPr="003C4E2C">
        <w:rPr>
          <w:rFonts w:ascii="Calibri" w:hAnsi="Calibri" w:cs="Calibri"/>
          <w:color w:val="auto"/>
          <w:sz w:val="22"/>
          <w:szCs w:val="22"/>
        </w:rPr>
        <w:t xml:space="preserve"> </w:t>
      </w:r>
      <w:r w:rsidR="006D268F" w:rsidRPr="003C4E2C">
        <w:rPr>
          <w:rFonts w:ascii="Calibri" w:hAnsi="Calibri" w:cs="Calibri"/>
          <w:color w:val="auto"/>
          <w:sz w:val="22"/>
          <w:szCs w:val="22"/>
        </w:rPr>
        <w:t>None</w:t>
      </w:r>
    </w:p>
    <w:p w14:paraId="7FA96E26" w14:textId="1584DCA3" w:rsidR="006D268F" w:rsidRPr="003C4E2C" w:rsidRDefault="006D268F" w:rsidP="00DF2786">
      <w:pPr>
        <w:spacing w:before="80"/>
      </w:pPr>
      <w:r w:rsidRPr="003C4E2C">
        <w:rPr>
          <w:rFonts w:ascii="Calibri" w:hAnsi="Calibri" w:cs="Calibri"/>
        </w:rPr>
        <w:t>Equipment</w:t>
      </w:r>
      <w:r w:rsidR="00F441E1" w:rsidRPr="003C4E2C">
        <w:rPr>
          <w:rFonts w:ascii="Calibri" w:hAnsi="Calibri" w:cs="Calibri"/>
        </w:rPr>
        <w:t xml:space="preserve"> costs</w:t>
      </w:r>
      <w:r w:rsidRPr="003C4E2C">
        <w:rPr>
          <w:rFonts w:ascii="Calibri" w:hAnsi="Calibri" w:cs="Calibri"/>
        </w:rPr>
        <w:t xml:space="preserve"> are not requested for the Commercial Cargo Bike Incentive Program.</w:t>
      </w:r>
    </w:p>
    <w:p w14:paraId="1699E7E3" w14:textId="49A783F4" w:rsidR="00910A52" w:rsidRPr="003C4E2C" w:rsidRDefault="00910A52" w:rsidP="00DF2786">
      <w:pPr>
        <w:pStyle w:val="Heading2"/>
        <w:spacing w:before="80" w:after="0"/>
        <w:jc w:val="both"/>
        <w:rPr>
          <w:rFonts w:ascii="Calibri" w:hAnsi="Calibri" w:cs="Calibri"/>
          <w:b/>
          <w:bCs/>
          <w:color w:val="auto"/>
          <w:sz w:val="22"/>
          <w:szCs w:val="22"/>
        </w:rPr>
      </w:pPr>
      <w:r w:rsidRPr="003C4E2C">
        <w:rPr>
          <w:rFonts w:ascii="Calibri" w:hAnsi="Calibri" w:cs="Calibri"/>
          <w:b/>
          <w:bCs/>
          <w:color w:val="auto"/>
          <w:sz w:val="22"/>
          <w:szCs w:val="22"/>
        </w:rPr>
        <w:t>Supplies</w:t>
      </w:r>
      <w:r w:rsidR="003E4C0B" w:rsidRPr="003C4E2C">
        <w:rPr>
          <w:rFonts w:ascii="Calibri" w:hAnsi="Calibri" w:cs="Calibri"/>
          <w:b/>
          <w:bCs/>
          <w:color w:val="auto"/>
          <w:sz w:val="22"/>
          <w:szCs w:val="22"/>
        </w:rPr>
        <w:t xml:space="preserve">: </w:t>
      </w:r>
      <w:r w:rsidR="00C9290F" w:rsidRPr="003C4E2C">
        <w:rPr>
          <w:rFonts w:ascii="Calibri" w:hAnsi="Calibri" w:cs="Calibri"/>
          <w:color w:val="auto"/>
          <w:sz w:val="22"/>
          <w:szCs w:val="22"/>
        </w:rPr>
        <w:t>$36,600</w:t>
      </w:r>
    </w:p>
    <w:p w14:paraId="3AFAC068" w14:textId="7A9B87DF" w:rsidR="006D268F" w:rsidRPr="003C4E2C" w:rsidRDefault="00F441E1" w:rsidP="00DF2786">
      <w:pPr>
        <w:spacing w:before="80"/>
        <w:jc w:val="both"/>
        <w:rPr>
          <w:rFonts w:ascii="Calibri" w:hAnsi="Calibri" w:cs="Calibri"/>
        </w:rPr>
      </w:pPr>
      <w:r w:rsidRPr="003C4E2C">
        <w:rPr>
          <w:rFonts w:ascii="Calibri" w:hAnsi="Calibri" w:cs="Calibri"/>
        </w:rPr>
        <w:t>Costs for supplies</w:t>
      </w:r>
      <w:r w:rsidR="006D268F" w:rsidRPr="003C4E2C">
        <w:rPr>
          <w:rFonts w:ascii="Calibri" w:hAnsi="Calibri" w:cs="Calibri"/>
        </w:rPr>
        <w:t xml:space="preserve"> are requested to fund the supplies required for the personnel listed above. Please refer to the Cost Details section for a breakdown of supply costs for NYC employees.  </w:t>
      </w:r>
    </w:p>
    <w:p w14:paraId="69C72D11" w14:textId="179E292C" w:rsidR="00910A52" w:rsidRPr="003C4E2C" w:rsidRDefault="00910A52" w:rsidP="00DF2786">
      <w:pPr>
        <w:pStyle w:val="Heading2"/>
        <w:spacing w:before="80" w:after="0"/>
        <w:jc w:val="both"/>
        <w:rPr>
          <w:rFonts w:ascii="Calibri" w:hAnsi="Calibri" w:cs="Calibri"/>
          <w:color w:val="auto"/>
          <w:sz w:val="22"/>
          <w:szCs w:val="22"/>
        </w:rPr>
      </w:pPr>
      <w:r w:rsidRPr="003C4E2C">
        <w:rPr>
          <w:rFonts w:ascii="Calibri" w:hAnsi="Calibri" w:cs="Calibri"/>
          <w:b/>
          <w:bCs/>
          <w:color w:val="auto"/>
          <w:sz w:val="22"/>
          <w:szCs w:val="22"/>
        </w:rPr>
        <w:t>Contractual</w:t>
      </w:r>
      <w:r w:rsidR="00D01D75" w:rsidRPr="003C4E2C">
        <w:rPr>
          <w:rFonts w:ascii="Calibri" w:hAnsi="Calibri" w:cs="Calibri"/>
          <w:b/>
          <w:bCs/>
          <w:color w:val="auto"/>
          <w:sz w:val="22"/>
          <w:szCs w:val="22"/>
        </w:rPr>
        <w:t>:</w:t>
      </w:r>
      <w:r w:rsidR="00D01D75" w:rsidRPr="003C4E2C">
        <w:rPr>
          <w:rFonts w:ascii="Calibri" w:hAnsi="Calibri" w:cs="Calibri"/>
          <w:color w:val="auto"/>
          <w:sz w:val="22"/>
          <w:szCs w:val="22"/>
        </w:rPr>
        <w:t xml:space="preserve"> $</w:t>
      </w:r>
      <w:r w:rsidR="00130D9B" w:rsidRPr="003C4E2C">
        <w:rPr>
          <w:rFonts w:ascii="Calibri" w:hAnsi="Calibri" w:cs="Calibri"/>
          <w:color w:val="auto"/>
          <w:sz w:val="22"/>
          <w:szCs w:val="22"/>
        </w:rPr>
        <w:t>22,000,000</w:t>
      </w:r>
    </w:p>
    <w:p w14:paraId="1C1E55E4" w14:textId="7BA4ACBA" w:rsidR="00BB5104" w:rsidRPr="00664FF3" w:rsidRDefault="00D01D75" w:rsidP="00DF2786">
      <w:pPr>
        <w:spacing w:before="80"/>
        <w:rPr>
          <w:rFonts w:ascii="Calibri" w:hAnsi="Calibri" w:cs="Calibri"/>
        </w:rPr>
      </w:pPr>
      <w:r w:rsidRPr="00664FF3">
        <w:rPr>
          <w:rFonts w:ascii="Calibri" w:hAnsi="Calibri" w:cs="Calibri"/>
        </w:rPr>
        <w:t xml:space="preserve">Contractual costs </w:t>
      </w:r>
      <w:r w:rsidR="00EF6411" w:rsidRPr="00664FF3">
        <w:rPr>
          <w:rFonts w:ascii="Calibri" w:hAnsi="Calibri" w:cs="Calibri"/>
        </w:rPr>
        <w:t xml:space="preserve">are requested for the funds to be distributed as </w:t>
      </w:r>
      <w:r w:rsidR="0035099F" w:rsidRPr="00664FF3">
        <w:rPr>
          <w:rFonts w:ascii="Calibri" w:hAnsi="Calibri" w:cs="Calibri"/>
        </w:rPr>
        <w:t>rebates</w:t>
      </w:r>
      <w:r w:rsidR="00EF6411" w:rsidRPr="00664FF3">
        <w:rPr>
          <w:rFonts w:ascii="Calibri" w:hAnsi="Calibri" w:cs="Calibri"/>
        </w:rPr>
        <w:t xml:space="preserve"> to delivery companies participating in the Commercial Cargo Bike Incentive Program</w:t>
      </w:r>
      <w:r w:rsidR="00C22D12" w:rsidRPr="00664FF3">
        <w:rPr>
          <w:rFonts w:ascii="Calibri" w:hAnsi="Calibri" w:cs="Calibri"/>
        </w:rPr>
        <w:t xml:space="preserve"> as well as consultant program management</w:t>
      </w:r>
      <w:r w:rsidR="00EF6411" w:rsidRPr="00664FF3">
        <w:rPr>
          <w:rFonts w:ascii="Calibri" w:hAnsi="Calibri" w:cs="Calibri"/>
        </w:rPr>
        <w:t xml:space="preserve">. </w:t>
      </w:r>
      <w:r w:rsidR="004A2F67" w:rsidRPr="00664FF3">
        <w:rPr>
          <w:rFonts w:ascii="Calibri" w:hAnsi="Calibri" w:cs="Calibri"/>
        </w:rPr>
        <w:t>$</w:t>
      </w:r>
      <w:r w:rsidR="00917D70" w:rsidRPr="00664FF3">
        <w:rPr>
          <w:rFonts w:ascii="Calibri" w:hAnsi="Calibri" w:cs="Calibri"/>
        </w:rPr>
        <w:t>20,000,000</w:t>
      </w:r>
      <w:r w:rsidR="00C22D12" w:rsidRPr="00664FF3">
        <w:rPr>
          <w:rFonts w:ascii="Calibri" w:hAnsi="Calibri" w:cs="Calibri"/>
        </w:rPr>
        <w:t xml:space="preserve"> is requested</w:t>
      </w:r>
      <w:r w:rsidR="00BF5E9E" w:rsidRPr="00664FF3">
        <w:rPr>
          <w:rFonts w:ascii="Calibri" w:hAnsi="Calibri" w:cs="Calibri"/>
        </w:rPr>
        <w:t xml:space="preserve"> to provide </w:t>
      </w:r>
      <w:r w:rsidR="0035099F" w:rsidRPr="00664FF3">
        <w:rPr>
          <w:rFonts w:ascii="Calibri" w:hAnsi="Calibri" w:cs="Calibri"/>
        </w:rPr>
        <w:t>rebates</w:t>
      </w:r>
      <w:r w:rsidR="00BF5E9E" w:rsidRPr="00664FF3" w:rsidDel="0035099F">
        <w:rPr>
          <w:rFonts w:ascii="Calibri" w:hAnsi="Calibri" w:cs="Calibri"/>
        </w:rPr>
        <w:t xml:space="preserve"> </w:t>
      </w:r>
      <w:r w:rsidR="00BF5E9E" w:rsidRPr="00664FF3">
        <w:rPr>
          <w:rFonts w:ascii="Calibri" w:hAnsi="Calibri" w:cs="Calibri"/>
        </w:rPr>
        <w:t>to commercial cargo bike operators</w:t>
      </w:r>
      <w:r w:rsidR="004A2F67" w:rsidRPr="00664FF3">
        <w:rPr>
          <w:rFonts w:ascii="Calibri" w:hAnsi="Calibri" w:cs="Calibri"/>
        </w:rPr>
        <w:t>. This</w:t>
      </w:r>
      <w:r w:rsidR="00BF5E9E" w:rsidRPr="00664FF3">
        <w:rPr>
          <w:rFonts w:ascii="Calibri" w:hAnsi="Calibri" w:cs="Calibri"/>
        </w:rPr>
        <w:t xml:space="preserve"> would provide approximately 2,000 cargo </w:t>
      </w:r>
      <w:r w:rsidR="00EC1CA1" w:rsidRPr="00664FF3">
        <w:rPr>
          <w:rFonts w:ascii="Calibri" w:hAnsi="Calibri" w:cs="Calibri"/>
        </w:rPr>
        <w:t xml:space="preserve">bike </w:t>
      </w:r>
      <w:r w:rsidR="0035099F" w:rsidRPr="00664FF3">
        <w:rPr>
          <w:rFonts w:ascii="Calibri" w:hAnsi="Calibri" w:cs="Calibri"/>
        </w:rPr>
        <w:t>rebates</w:t>
      </w:r>
      <w:r w:rsidR="00EC1CA1" w:rsidRPr="00664FF3">
        <w:rPr>
          <w:rFonts w:ascii="Calibri" w:hAnsi="Calibri" w:cs="Calibri"/>
        </w:rPr>
        <w:t xml:space="preserve"> for 50% of the purchase price, assuming a </w:t>
      </w:r>
      <w:r w:rsidR="00EE3FC6" w:rsidRPr="00664FF3">
        <w:rPr>
          <w:rFonts w:ascii="Calibri" w:hAnsi="Calibri" w:cs="Calibri"/>
        </w:rPr>
        <w:t xml:space="preserve">high-end commercial </w:t>
      </w:r>
      <w:r w:rsidR="0070003D" w:rsidRPr="00664FF3">
        <w:rPr>
          <w:rFonts w:ascii="Calibri" w:hAnsi="Calibri" w:cs="Calibri"/>
        </w:rPr>
        <w:t xml:space="preserve">cargo </w:t>
      </w:r>
      <w:r w:rsidR="00E81BCB" w:rsidRPr="00664FF3">
        <w:rPr>
          <w:rFonts w:ascii="Calibri" w:hAnsi="Calibri" w:cs="Calibri"/>
        </w:rPr>
        <w:t>delivery</w:t>
      </w:r>
      <w:r w:rsidR="0070003D" w:rsidRPr="00664FF3">
        <w:rPr>
          <w:rFonts w:ascii="Calibri" w:hAnsi="Calibri" w:cs="Calibri"/>
        </w:rPr>
        <w:t xml:space="preserve"> bike</w:t>
      </w:r>
      <w:r w:rsidR="00EC1CA1" w:rsidRPr="00664FF3">
        <w:rPr>
          <w:rFonts w:ascii="Calibri" w:hAnsi="Calibri" w:cs="Calibri"/>
        </w:rPr>
        <w:t xml:space="preserve"> costs $20,000</w:t>
      </w:r>
      <w:r w:rsidR="00F73D62" w:rsidRPr="00664FF3">
        <w:rPr>
          <w:rFonts w:ascii="Calibri" w:hAnsi="Calibri" w:cs="Calibri"/>
        </w:rPr>
        <w:t xml:space="preserve">. </w:t>
      </w:r>
      <w:r w:rsidR="00090170" w:rsidRPr="00664FF3">
        <w:rPr>
          <w:rFonts w:ascii="Calibri" w:hAnsi="Calibri" w:cs="Calibri"/>
        </w:rPr>
        <w:t>$2,000,000 is requested to engage a consultant to manage the program and disburse the funds</w:t>
      </w:r>
      <w:r w:rsidR="00731C32" w:rsidRPr="00664FF3">
        <w:rPr>
          <w:rFonts w:ascii="Calibri" w:hAnsi="Calibri" w:cs="Calibri"/>
        </w:rPr>
        <w:t xml:space="preserve">. NYC regulations limit </w:t>
      </w:r>
      <w:r w:rsidR="00EB01DF" w:rsidRPr="00664FF3">
        <w:rPr>
          <w:rFonts w:ascii="Calibri" w:hAnsi="Calibri" w:cs="Calibri"/>
        </w:rPr>
        <w:t>NYC DOT</w:t>
      </w:r>
      <w:r w:rsidR="004247FD" w:rsidRPr="00664FF3">
        <w:rPr>
          <w:rFonts w:ascii="Calibri" w:hAnsi="Calibri" w:cs="Calibri"/>
        </w:rPr>
        <w:t xml:space="preserve">’s ability to </w:t>
      </w:r>
      <w:r w:rsidR="00731C32" w:rsidRPr="00664FF3">
        <w:rPr>
          <w:rFonts w:ascii="Calibri" w:hAnsi="Calibri" w:cs="Calibri"/>
        </w:rPr>
        <w:t>act as a disburser of funds</w:t>
      </w:r>
      <w:r w:rsidR="000D3579" w:rsidRPr="00664FF3">
        <w:rPr>
          <w:rFonts w:ascii="Calibri" w:hAnsi="Calibri" w:cs="Calibri"/>
        </w:rPr>
        <w:t xml:space="preserve">, so hiring a consultant to perform this </w:t>
      </w:r>
      <w:r w:rsidR="00DF1297" w:rsidRPr="00664FF3">
        <w:rPr>
          <w:rFonts w:ascii="Calibri" w:hAnsi="Calibri" w:cs="Calibri"/>
        </w:rPr>
        <w:t>aspect of the work is necessary.</w:t>
      </w:r>
    </w:p>
    <w:p w14:paraId="5D0C8A54" w14:textId="7C1D9B37" w:rsidR="00910A52" w:rsidRPr="003C4E2C" w:rsidRDefault="00910A52" w:rsidP="00DF2786">
      <w:pPr>
        <w:pStyle w:val="Heading2"/>
        <w:spacing w:before="80" w:after="0"/>
        <w:jc w:val="both"/>
        <w:rPr>
          <w:rFonts w:ascii="Calibri" w:hAnsi="Calibri" w:cs="Calibri"/>
          <w:color w:val="auto"/>
          <w:sz w:val="22"/>
          <w:szCs w:val="22"/>
        </w:rPr>
      </w:pPr>
      <w:r w:rsidRPr="003C4E2C">
        <w:rPr>
          <w:rFonts w:ascii="Calibri" w:hAnsi="Calibri" w:cs="Calibri"/>
          <w:b/>
          <w:bCs/>
          <w:color w:val="auto"/>
          <w:sz w:val="22"/>
          <w:szCs w:val="22"/>
        </w:rPr>
        <w:t>Other Direct Costs</w:t>
      </w:r>
      <w:r w:rsidR="00D753ED" w:rsidRPr="003C4E2C">
        <w:rPr>
          <w:rFonts w:ascii="Calibri" w:hAnsi="Calibri" w:cs="Calibri"/>
          <w:color w:val="auto"/>
          <w:sz w:val="22"/>
          <w:szCs w:val="22"/>
        </w:rPr>
        <w:t>: $</w:t>
      </w:r>
      <w:r w:rsidR="00667078" w:rsidRPr="003C4E2C">
        <w:rPr>
          <w:rFonts w:ascii="Calibri" w:hAnsi="Calibri" w:cs="Calibri"/>
          <w:color w:val="auto"/>
          <w:sz w:val="22"/>
          <w:szCs w:val="22"/>
        </w:rPr>
        <w:t>3</w:t>
      </w:r>
      <w:r w:rsidR="001205DC" w:rsidRPr="003C4E2C">
        <w:rPr>
          <w:rFonts w:ascii="Calibri" w:hAnsi="Calibri" w:cs="Calibri"/>
          <w:color w:val="auto"/>
          <w:sz w:val="22"/>
          <w:szCs w:val="22"/>
        </w:rPr>
        <w:t>0</w:t>
      </w:r>
      <w:r w:rsidR="00E22130" w:rsidRPr="003C4E2C">
        <w:rPr>
          <w:rFonts w:ascii="Calibri" w:hAnsi="Calibri" w:cs="Calibri"/>
          <w:color w:val="auto"/>
          <w:sz w:val="22"/>
          <w:szCs w:val="22"/>
        </w:rPr>
        <w:t>0,000</w:t>
      </w:r>
    </w:p>
    <w:p w14:paraId="227C47C9" w14:textId="231DBE2E" w:rsidR="005B6DEE" w:rsidRPr="00664FF3" w:rsidRDefault="00E03E3C" w:rsidP="00DF2786">
      <w:pPr>
        <w:spacing w:before="80"/>
        <w:rPr>
          <w:rFonts w:ascii="Calibri" w:hAnsi="Calibri" w:cs="Calibri"/>
        </w:rPr>
      </w:pPr>
      <w:r w:rsidRPr="00664FF3">
        <w:rPr>
          <w:rFonts w:ascii="Calibri" w:hAnsi="Calibri" w:cs="Calibri"/>
        </w:rPr>
        <w:t xml:space="preserve">Other direct costs are requested </w:t>
      </w:r>
      <w:r w:rsidR="005942E8" w:rsidRPr="00664FF3">
        <w:rPr>
          <w:rFonts w:ascii="Calibri" w:hAnsi="Calibri" w:cs="Calibri"/>
        </w:rPr>
        <w:t xml:space="preserve">for </w:t>
      </w:r>
      <w:r w:rsidR="00667078" w:rsidRPr="00664FF3">
        <w:rPr>
          <w:rFonts w:ascii="Calibri" w:hAnsi="Calibri" w:cs="Calibri"/>
        </w:rPr>
        <w:t xml:space="preserve">community engagement, </w:t>
      </w:r>
      <w:r w:rsidR="005942E8" w:rsidRPr="00664FF3">
        <w:rPr>
          <w:rFonts w:ascii="Calibri" w:hAnsi="Calibri" w:cs="Calibri"/>
        </w:rPr>
        <w:t>marketing</w:t>
      </w:r>
      <w:r w:rsidR="00715813" w:rsidRPr="00664FF3">
        <w:rPr>
          <w:rFonts w:ascii="Calibri" w:hAnsi="Calibri" w:cs="Calibri"/>
        </w:rPr>
        <w:t>,</w:t>
      </w:r>
      <w:r w:rsidR="005942E8" w:rsidRPr="00664FF3">
        <w:rPr>
          <w:rFonts w:ascii="Calibri" w:hAnsi="Calibri" w:cs="Calibri"/>
        </w:rPr>
        <w:t xml:space="preserve"> and collateral costs</w:t>
      </w:r>
      <w:r w:rsidR="00D26010" w:rsidRPr="00664FF3">
        <w:rPr>
          <w:rFonts w:ascii="Calibri" w:hAnsi="Calibri" w:cs="Calibri"/>
        </w:rPr>
        <w:t xml:space="preserve">. </w:t>
      </w:r>
      <w:r w:rsidR="00667078" w:rsidRPr="00664FF3">
        <w:rPr>
          <w:rFonts w:ascii="Calibri" w:hAnsi="Calibri" w:cs="Calibri"/>
        </w:rPr>
        <w:t>Community engagement, m</w:t>
      </w:r>
      <w:r w:rsidR="00812862" w:rsidRPr="00664FF3">
        <w:rPr>
          <w:rFonts w:ascii="Calibri" w:hAnsi="Calibri" w:cs="Calibri"/>
        </w:rPr>
        <w:t xml:space="preserve">arketing </w:t>
      </w:r>
      <w:r w:rsidR="006369F7" w:rsidRPr="00664FF3">
        <w:rPr>
          <w:rFonts w:ascii="Calibri" w:hAnsi="Calibri" w:cs="Calibri"/>
        </w:rPr>
        <w:t xml:space="preserve">and collateral </w:t>
      </w:r>
      <w:r w:rsidR="00812862" w:rsidRPr="00664FF3">
        <w:rPr>
          <w:rFonts w:ascii="Calibri" w:hAnsi="Calibri" w:cs="Calibri"/>
        </w:rPr>
        <w:t xml:space="preserve">costs include expenses related to </w:t>
      </w:r>
      <w:r w:rsidR="00667078" w:rsidRPr="00664FF3">
        <w:rPr>
          <w:rFonts w:ascii="Calibri" w:hAnsi="Calibri" w:cs="Calibri"/>
        </w:rPr>
        <w:t xml:space="preserve">building local partnerships, </w:t>
      </w:r>
      <w:r w:rsidR="00812862" w:rsidRPr="00664FF3">
        <w:rPr>
          <w:rFonts w:ascii="Calibri" w:hAnsi="Calibri" w:cs="Calibri"/>
        </w:rPr>
        <w:t xml:space="preserve">promoting the </w:t>
      </w:r>
      <w:r w:rsidR="008060E2" w:rsidRPr="00664FF3">
        <w:rPr>
          <w:rFonts w:ascii="Calibri" w:hAnsi="Calibri" w:cs="Calibri"/>
        </w:rPr>
        <w:t>program</w:t>
      </w:r>
      <w:r w:rsidR="00667078" w:rsidRPr="00664FF3">
        <w:rPr>
          <w:rFonts w:ascii="Calibri" w:hAnsi="Calibri" w:cs="Calibri"/>
        </w:rPr>
        <w:t>,</w:t>
      </w:r>
      <w:r w:rsidR="00812862" w:rsidRPr="00664FF3">
        <w:rPr>
          <w:rFonts w:ascii="Calibri" w:hAnsi="Calibri" w:cs="Calibri"/>
        </w:rPr>
        <w:t xml:space="preserve"> and raising awareness among potential participants. Marketing costs may involve creating and distributing materials that showcase the benefits of cargo bikes for urban delivery</w:t>
      </w:r>
      <w:r w:rsidR="00CE1EB2" w:rsidRPr="00664FF3">
        <w:rPr>
          <w:rFonts w:ascii="Calibri" w:hAnsi="Calibri" w:cs="Calibri"/>
        </w:rPr>
        <w:t xml:space="preserve">, engaging in specific outreach targeted at companies that can benefit from the program, and costs for advertising </w:t>
      </w:r>
      <w:r w:rsidR="00A5102F" w:rsidRPr="00664FF3">
        <w:rPr>
          <w:rFonts w:ascii="Calibri" w:hAnsi="Calibri" w:cs="Calibri"/>
        </w:rPr>
        <w:t>campaigns</w:t>
      </w:r>
      <w:r w:rsidR="00812862" w:rsidRPr="00664FF3">
        <w:rPr>
          <w:rFonts w:ascii="Calibri" w:hAnsi="Calibri" w:cs="Calibri"/>
        </w:rPr>
        <w:t xml:space="preserve">, such as online ads, radio spots, billboards, or social media posts. </w:t>
      </w:r>
      <w:r w:rsidR="00A5102F" w:rsidRPr="00664FF3">
        <w:rPr>
          <w:rFonts w:ascii="Calibri" w:hAnsi="Calibri" w:cs="Calibri"/>
        </w:rPr>
        <w:t>A</w:t>
      </w:r>
      <w:r w:rsidR="007E1668" w:rsidRPr="00664FF3">
        <w:rPr>
          <w:rFonts w:ascii="Calibri" w:hAnsi="Calibri" w:cs="Calibri"/>
        </w:rPr>
        <w:t xml:space="preserve"> </w:t>
      </w:r>
      <w:r w:rsidR="00891A65" w:rsidRPr="00664FF3">
        <w:rPr>
          <w:rFonts w:ascii="Calibri" w:hAnsi="Calibri" w:cs="Calibri"/>
        </w:rPr>
        <w:t>total</w:t>
      </w:r>
      <w:r w:rsidR="00A5102F" w:rsidRPr="00664FF3">
        <w:rPr>
          <w:rFonts w:ascii="Calibri" w:hAnsi="Calibri" w:cs="Calibri"/>
        </w:rPr>
        <w:t xml:space="preserve"> of $</w:t>
      </w:r>
      <w:r w:rsidR="00891A65" w:rsidRPr="00664FF3">
        <w:rPr>
          <w:rFonts w:ascii="Calibri" w:hAnsi="Calibri" w:cs="Calibri"/>
        </w:rPr>
        <w:t>200</w:t>
      </w:r>
      <w:r w:rsidR="00A5102F" w:rsidRPr="00664FF3">
        <w:rPr>
          <w:rFonts w:ascii="Calibri" w:hAnsi="Calibri" w:cs="Calibri"/>
        </w:rPr>
        <w:t xml:space="preserve">,000 is </w:t>
      </w:r>
      <w:r w:rsidR="00BD1E40" w:rsidRPr="00664FF3">
        <w:rPr>
          <w:rFonts w:ascii="Calibri" w:hAnsi="Calibri" w:cs="Calibri"/>
        </w:rPr>
        <w:t xml:space="preserve">requested for </w:t>
      </w:r>
      <w:r w:rsidR="006925D6" w:rsidRPr="00664FF3">
        <w:rPr>
          <w:rFonts w:ascii="Calibri" w:hAnsi="Calibri" w:cs="Calibri"/>
        </w:rPr>
        <w:t>marketing</w:t>
      </w:r>
      <w:r w:rsidR="00BD1E40" w:rsidRPr="00664FF3">
        <w:rPr>
          <w:rFonts w:ascii="Calibri" w:hAnsi="Calibri" w:cs="Calibri"/>
        </w:rPr>
        <w:t>. This amount is based on marketing activities of similar size and scope</w:t>
      </w:r>
      <w:r w:rsidR="006925D6" w:rsidRPr="00664FF3">
        <w:rPr>
          <w:rFonts w:ascii="Calibri" w:hAnsi="Calibri" w:cs="Calibri"/>
        </w:rPr>
        <w:t>.</w:t>
      </w:r>
      <w:r w:rsidR="4657C424" w:rsidRPr="00664FF3">
        <w:rPr>
          <w:rFonts w:ascii="Calibri" w:hAnsi="Calibri" w:cs="Calibri"/>
        </w:rPr>
        <w:t xml:space="preserve"> $</w:t>
      </w:r>
      <w:r w:rsidR="001F3237" w:rsidRPr="00664FF3">
        <w:rPr>
          <w:rFonts w:ascii="Calibri" w:hAnsi="Calibri" w:cs="Calibri"/>
        </w:rPr>
        <w:t>100</w:t>
      </w:r>
      <w:r w:rsidR="4657C424" w:rsidRPr="00664FF3">
        <w:rPr>
          <w:rFonts w:ascii="Calibri" w:hAnsi="Calibri" w:cs="Calibri"/>
        </w:rPr>
        <w:t>,000 is requested for community engagement.</w:t>
      </w:r>
      <w:r w:rsidR="009F4E03" w:rsidRPr="00664FF3">
        <w:rPr>
          <w:rFonts w:ascii="Calibri" w:hAnsi="Calibri" w:cs="Calibri"/>
        </w:rPr>
        <w:t xml:space="preserve"> Community engagement costs include expenses related to building local partnerships, soliciting feedback from the surrounding communities, and ensuring successful project implementation.</w:t>
      </w:r>
    </w:p>
    <w:p w14:paraId="03A67CB9" w14:textId="404EAD42" w:rsidR="00910A52" w:rsidRPr="003C4E2C" w:rsidRDefault="00910A52" w:rsidP="00DF2786">
      <w:pPr>
        <w:pStyle w:val="Heading2"/>
        <w:spacing w:before="80" w:after="0"/>
        <w:jc w:val="both"/>
        <w:rPr>
          <w:rFonts w:ascii="Calibri" w:hAnsi="Calibri" w:cs="Calibri"/>
          <w:color w:val="auto"/>
          <w:sz w:val="22"/>
          <w:szCs w:val="22"/>
        </w:rPr>
      </w:pPr>
      <w:r w:rsidRPr="003C4E2C">
        <w:rPr>
          <w:rFonts w:ascii="Calibri" w:hAnsi="Calibri" w:cs="Calibri"/>
          <w:b/>
          <w:bCs/>
          <w:color w:val="auto"/>
          <w:sz w:val="22"/>
          <w:szCs w:val="22"/>
        </w:rPr>
        <w:t>Indirect Costs</w:t>
      </w:r>
      <w:r w:rsidR="00B058D5" w:rsidRPr="003C4E2C">
        <w:rPr>
          <w:rFonts w:ascii="Calibri" w:hAnsi="Calibri" w:cs="Calibri"/>
          <w:b/>
          <w:bCs/>
          <w:color w:val="auto"/>
          <w:sz w:val="22"/>
          <w:szCs w:val="22"/>
        </w:rPr>
        <w:t>:</w:t>
      </w:r>
      <w:r w:rsidR="00B058D5" w:rsidRPr="003C4E2C">
        <w:rPr>
          <w:rFonts w:ascii="Calibri" w:hAnsi="Calibri" w:cs="Calibri"/>
          <w:color w:val="auto"/>
          <w:sz w:val="22"/>
          <w:szCs w:val="22"/>
        </w:rPr>
        <w:t xml:space="preserve"> None</w:t>
      </w:r>
    </w:p>
    <w:p w14:paraId="3D54E6CB" w14:textId="1980C331" w:rsidR="00B058D5" w:rsidRPr="00664FF3" w:rsidRDefault="00B058D5" w:rsidP="00DF2786">
      <w:pPr>
        <w:spacing w:before="80"/>
        <w:jc w:val="both"/>
        <w:rPr>
          <w:rFonts w:ascii="Calibri" w:hAnsi="Calibri" w:cs="Calibri"/>
        </w:rPr>
      </w:pPr>
      <w:r w:rsidRPr="00664FF3">
        <w:rPr>
          <w:rFonts w:ascii="Calibri" w:hAnsi="Calibri" w:cs="Calibri"/>
        </w:rPr>
        <w:t>Indirect Costs are not requested for the Commercial Cargo Bike Incentive Program</w:t>
      </w:r>
    </w:p>
    <w:p w14:paraId="13C65510" w14:textId="77777777" w:rsidR="009A39B0" w:rsidRPr="00664FF3" w:rsidRDefault="009A39B0" w:rsidP="00DF2786">
      <w:pPr>
        <w:spacing w:before="80"/>
        <w:jc w:val="both"/>
        <w:rPr>
          <w:rFonts w:ascii="Calibri" w:hAnsi="Calibri" w:cs="Calibri"/>
        </w:rPr>
      </w:pPr>
    </w:p>
    <w:p w14:paraId="3833C0FB" w14:textId="694395B2" w:rsidR="006F361A" w:rsidRPr="00664FF3" w:rsidRDefault="006F361A" w:rsidP="00DF2786">
      <w:pPr>
        <w:pStyle w:val="Heading1"/>
        <w:spacing w:before="80" w:after="0"/>
        <w:jc w:val="both"/>
        <w:rPr>
          <w:rFonts w:ascii="Calibri" w:hAnsi="Calibri" w:cs="Calibri"/>
          <w:b/>
          <w:color w:val="auto"/>
          <w:sz w:val="20"/>
          <w:szCs w:val="20"/>
        </w:rPr>
      </w:pPr>
      <w:r w:rsidRPr="00664FF3">
        <w:rPr>
          <w:rFonts w:ascii="Calibri" w:hAnsi="Calibri" w:cs="Calibri"/>
          <w:b/>
          <w:color w:val="auto"/>
          <w:sz w:val="20"/>
          <w:szCs w:val="20"/>
        </w:rPr>
        <w:t>Microhubs Expansion</w:t>
      </w:r>
    </w:p>
    <w:p w14:paraId="7EA57FC3" w14:textId="5B1D563F" w:rsidR="00C33132" w:rsidRPr="00664FF3" w:rsidRDefault="006C554F" w:rsidP="00DF2786">
      <w:pPr>
        <w:autoSpaceDE w:val="0"/>
        <w:autoSpaceDN w:val="0"/>
        <w:adjustRightInd w:val="0"/>
        <w:snapToGrid w:val="0"/>
        <w:spacing w:before="80"/>
        <w:rPr>
          <w:rFonts w:ascii="Calibri" w:eastAsia="Times New Roman" w:hAnsi="Calibri" w:cs="Calibri"/>
          <w:kern w:val="0"/>
          <w:szCs w:val="24"/>
          <w:lang w:val="x-none"/>
        </w:rPr>
      </w:pPr>
      <w:r w:rsidRPr="00664FF3">
        <w:rPr>
          <w:rFonts w:ascii="Calibri" w:eastAsia="Times New Roman" w:hAnsi="Calibri" w:cs="Calibri"/>
          <w:kern w:val="0"/>
          <w:szCs w:val="24"/>
          <w:lang w:val="x-none"/>
        </w:rPr>
        <w:t>$</w:t>
      </w:r>
      <w:r w:rsidR="00504C59" w:rsidRPr="00664FF3">
        <w:rPr>
          <w:rFonts w:ascii="Calibri" w:eastAsia="Times New Roman" w:hAnsi="Calibri" w:cs="Calibri"/>
          <w:kern w:val="0"/>
          <w:szCs w:val="24"/>
        </w:rPr>
        <w:t>19,099,480</w:t>
      </w:r>
      <w:r w:rsidRPr="00664FF3">
        <w:rPr>
          <w:rFonts w:ascii="Calibri" w:eastAsia="Times New Roman" w:hAnsi="Calibri" w:cs="Calibri"/>
          <w:kern w:val="0"/>
          <w:szCs w:val="24"/>
          <w:lang w:val="x-none"/>
        </w:rPr>
        <w:t xml:space="preserve"> is requested for the design, construction, and implementation of </w:t>
      </w:r>
      <w:r w:rsidR="009E2A04" w:rsidRPr="00664FF3">
        <w:rPr>
          <w:rFonts w:ascii="Calibri" w:eastAsia="Times New Roman" w:hAnsi="Calibri" w:cs="Calibri"/>
          <w:kern w:val="0"/>
          <w:szCs w:val="24"/>
          <w:lang w:val="x-none"/>
        </w:rPr>
        <w:t>Microhubs Expansion</w:t>
      </w:r>
      <w:r w:rsidR="00504C59" w:rsidRPr="00664FF3">
        <w:rPr>
          <w:rFonts w:ascii="Calibri" w:eastAsia="Times New Roman" w:hAnsi="Calibri" w:cs="Calibri"/>
          <w:kern w:val="0"/>
          <w:szCs w:val="24"/>
        </w:rPr>
        <w:t>.</w:t>
      </w:r>
      <w:r w:rsidR="009E2A04" w:rsidRPr="00664FF3">
        <w:rPr>
          <w:rFonts w:ascii="Calibri" w:eastAsia="Times New Roman" w:hAnsi="Calibri" w:cs="Calibri"/>
          <w:kern w:val="0"/>
          <w:szCs w:val="24"/>
        </w:rPr>
        <w:t xml:space="preserve"> </w:t>
      </w:r>
      <w:r w:rsidR="00DC024A" w:rsidRPr="00664FF3">
        <w:rPr>
          <w:rFonts w:ascii="Calibri" w:eastAsia="Times New Roman" w:hAnsi="Calibri" w:cs="Calibri"/>
          <w:kern w:val="0"/>
          <w:szCs w:val="24"/>
        </w:rPr>
        <w:t xml:space="preserve">A conceptual rendering of a </w:t>
      </w:r>
      <w:proofErr w:type="spellStart"/>
      <w:r w:rsidR="00DC024A" w:rsidRPr="00664FF3">
        <w:rPr>
          <w:rFonts w:ascii="Calibri" w:eastAsia="Times New Roman" w:hAnsi="Calibri" w:cs="Calibri"/>
          <w:kern w:val="0"/>
          <w:szCs w:val="24"/>
        </w:rPr>
        <w:t>microhub</w:t>
      </w:r>
      <w:proofErr w:type="spellEnd"/>
      <w:r w:rsidR="00DC024A" w:rsidRPr="00664FF3">
        <w:rPr>
          <w:rFonts w:ascii="Calibri" w:eastAsia="Times New Roman" w:hAnsi="Calibri" w:cs="Calibri"/>
          <w:kern w:val="0"/>
          <w:szCs w:val="24"/>
        </w:rPr>
        <w:t xml:space="preserve"> from the pilot study is included below.</w:t>
      </w:r>
      <w:r w:rsidR="009E2A04" w:rsidRPr="00664FF3">
        <w:rPr>
          <w:rFonts w:ascii="Calibri" w:eastAsia="Times New Roman" w:hAnsi="Calibri" w:cs="Calibri"/>
          <w:kern w:val="0"/>
          <w:szCs w:val="24"/>
          <w:lang w:val="x-none"/>
        </w:rPr>
        <w:t xml:space="preserve"> </w:t>
      </w:r>
    </w:p>
    <w:p w14:paraId="3BB15CE8" w14:textId="75FE96CC" w:rsidR="000C7C39" w:rsidRPr="003C4E2C" w:rsidRDefault="00C33132" w:rsidP="00DF2786">
      <w:pPr>
        <w:spacing w:before="80"/>
        <w:rPr>
          <w:rFonts w:ascii="Calibri" w:hAnsi="Calibri" w:cs="Calibri"/>
        </w:rPr>
      </w:pPr>
      <w:r w:rsidRPr="003C4E2C">
        <w:rPr>
          <w:rFonts w:ascii="Times New Roman" w:eastAsia="Times New Roman" w:hAnsi="Times New Roman" w:cs="Times New Roman"/>
          <w:kern w:val="0"/>
          <w14:ligatures w14:val="none"/>
        </w:rPr>
        <w:drawing>
          <wp:anchor distT="0" distB="0" distL="114300" distR="114300" simplePos="0" relativeHeight="251657216" behindDoc="0" locked="0" layoutInCell="1" allowOverlap="1" wp14:anchorId="081ADC37" wp14:editId="7B801A04">
            <wp:simplePos x="0" y="0"/>
            <wp:positionH relativeFrom="column">
              <wp:posOffset>0</wp:posOffset>
            </wp:positionH>
            <wp:positionV relativeFrom="paragraph">
              <wp:posOffset>4445</wp:posOffset>
            </wp:positionV>
            <wp:extent cx="2252980" cy="1621790"/>
            <wp:effectExtent l="0" t="0" r="0" b="0"/>
            <wp:wrapSquare wrapText="bothSides"/>
            <wp:docPr id="1579535670" name="Picture 1" descr="A diagram of a bridge over a ro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535670" name="Picture 1" descr="A diagram of a bridge over a roa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52980" cy="1621790"/>
                    </a:xfrm>
                    <a:prstGeom prst="rect">
                      <a:avLst/>
                    </a:prstGeom>
                    <a:noFill/>
                    <a:ln>
                      <a:noFill/>
                    </a:ln>
                  </pic:spPr>
                </pic:pic>
              </a:graphicData>
            </a:graphic>
          </wp:anchor>
        </w:drawing>
      </w:r>
      <w:r w:rsidR="000C7C39" w:rsidRPr="003C4E2C">
        <w:rPr>
          <w:rFonts w:ascii="Calibri" w:hAnsi="Calibri" w:cs="Calibri"/>
          <w:b/>
        </w:rPr>
        <w:t>Personnel</w:t>
      </w:r>
      <w:r w:rsidR="001205DC" w:rsidRPr="003C4E2C">
        <w:rPr>
          <w:rFonts w:ascii="Calibri" w:hAnsi="Calibri" w:cs="Calibri"/>
          <w:b/>
        </w:rPr>
        <w:t>:</w:t>
      </w:r>
      <w:r w:rsidR="001205DC" w:rsidRPr="003C4E2C">
        <w:rPr>
          <w:rFonts w:ascii="Calibri" w:hAnsi="Calibri" w:cs="Calibri"/>
        </w:rPr>
        <w:t xml:space="preserve"> </w:t>
      </w:r>
      <w:r w:rsidR="00BE4EAD" w:rsidRPr="003C4E2C">
        <w:rPr>
          <w:rFonts w:ascii="Calibri" w:hAnsi="Calibri" w:cs="Calibri"/>
        </w:rPr>
        <w:t>$</w:t>
      </w:r>
      <w:r w:rsidR="0073399E" w:rsidRPr="003C4E2C">
        <w:rPr>
          <w:rFonts w:ascii="Calibri" w:hAnsi="Calibri" w:cs="Calibri"/>
        </w:rPr>
        <w:t>8</w:t>
      </w:r>
      <w:r w:rsidR="002F1DB1" w:rsidRPr="003C4E2C">
        <w:rPr>
          <w:rFonts w:ascii="Calibri" w:hAnsi="Calibri" w:cs="Calibri"/>
        </w:rPr>
        <w:t>89,132</w:t>
      </w:r>
    </w:p>
    <w:p w14:paraId="557F0905" w14:textId="548B71DA" w:rsidR="0022097C" w:rsidRPr="00664FF3" w:rsidRDefault="0022097C" w:rsidP="00DF2786">
      <w:pPr>
        <w:spacing w:before="80"/>
        <w:rPr>
          <w:rFonts w:ascii="Calibri" w:hAnsi="Calibri" w:cs="Calibri"/>
        </w:rPr>
      </w:pPr>
      <w:r w:rsidRPr="00664FF3">
        <w:rPr>
          <w:rFonts w:ascii="Calibri" w:hAnsi="Calibri" w:cs="Calibri"/>
        </w:rPr>
        <w:t>Funding is requested to create</w:t>
      </w:r>
      <w:r w:rsidR="00D413F7" w:rsidRPr="00664FF3">
        <w:rPr>
          <w:rFonts w:ascii="Calibri" w:hAnsi="Calibri" w:cs="Calibri"/>
        </w:rPr>
        <w:t xml:space="preserve"> two</w:t>
      </w:r>
      <w:r w:rsidRPr="00664FF3">
        <w:rPr>
          <w:rFonts w:ascii="Calibri" w:hAnsi="Calibri" w:cs="Calibri"/>
        </w:rPr>
        <w:t xml:space="preserve"> 100% FTE staff positions within </w:t>
      </w:r>
      <w:r w:rsidR="00EB01DF" w:rsidRPr="00664FF3">
        <w:rPr>
          <w:rFonts w:ascii="Calibri" w:hAnsi="Calibri" w:cs="Calibri"/>
        </w:rPr>
        <w:t>NYC DOT</w:t>
      </w:r>
      <w:r w:rsidRPr="00664FF3">
        <w:rPr>
          <w:rFonts w:ascii="Calibri" w:hAnsi="Calibri" w:cs="Calibri"/>
        </w:rPr>
        <w:t xml:space="preserve"> focused on managing and implementing the Microhubs Expansion part of the project</w:t>
      </w:r>
      <w:r w:rsidR="00D413F7" w:rsidRPr="00664FF3">
        <w:rPr>
          <w:rFonts w:ascii="Calibri" w:hAnsi="Calibri" w:cs="Calibri"/>
        </w:rPr>
        <w:t xml:space="preserve">; one Project Manager and one </w:t>
      </w:r>
      <w:r w:rsidR="005C69FF" w:rsidRPr="00664FF3">
        <w:rPr>
          <w:rFonts w:ascii="Calibri" w:hAnsi="Calibri" w:cs="Calibri"/>
        </w:rPr>
        <w:t>Project Coordinator</w:t>
      </w:r>
      <w:r w:rsidRPr="00664FF3">
        <w:rPr>
          <w:rFonts w:ascii="Calibri" w:hAnsi="Calibri" w:cs="Calibri"/>
        </w:rPr>
        <w:t xml:space="preserve">. </w:t>
      </w:r>
      <w:r w:rsidR="000A3118" w:rsidRPr="00664FF3">
        <w:rPr>
          <w:rFonts w:ascii="Calibri" w:hAnsi="Calibri" w:cs="Calibri"/>
        </w:rPr>
        <w:t>T</w:t>
      </w:r>
      <w:r w:rsidR="0007423F" w:rsidRPr="00664FF3">
        <w:rPr>
          <w:rFonts w:ascii="Calibri" w:hAnsi="Calibri" w:cs="Calibri"/>
        </w:rPr>
        <w:t>hese</w:t>
      </w:r>
      <w:r w:rsidR="00F94BE1" w:rsidRPr="00664FF3">
        <w:rPr>
          <w:rFonts w:ascii="Calibri" w:hAnsi="Calibri" w:cs="Calibri"/>
        </w:rPr>
        <w:t xml:space="preserve"> </w:t>
      </w:r>
      <w:r w:rsidRPr="00664FF3">
        <w:rPr>
          <w:rFonts w:ascii="Calibri" w:hAnsi="Calibri" w:cs="Calibri"/>
        </w:rPr>
        <w:t xml:space="preserve">positions are </w:t>
      </w:r>
      <w:r w:rsidR="000A3118" w:rsidRPr="00664FF3">
        <w:rPr>
          <w:rFonts w:ascii="Calibri" w:hAnsi="Calibri" w:cs="Calibri"/>
        </w:rPr>
        <w:t xml:space="preserve">currently </w:t>
      </w:r>
      <w:r w:rsidRPr="00664FF3">
        <w:rPr>
          <w:rFonts w:ascii="Calibri" w:hAnsi="Calibri" w:cs="Calibri"/>
        </w:rPr>
        <w:t>vacant and are anticipated to be filled upon execution of a grant agreement with EPA</w:t>
      </w:r>
      <w:r w:rsidR="000A3118" w:rsidRPr="00664FF3">
        <w:rPr>
          <w:rFonts w:ascii="Calibri" w:hAnsi="Calibri" w:cs="Calibri"/>
        </w:rPr>
        <w:t xml:space="preserve">. </w:t>
      </w:r>
      <w:r w:rsidR="00BB0CB5" w:rsidRPr="00664FF3">
        <w:rPr>
          <w:rFonts w:ascii="Calibri" w:hAnsi="Calibri" w:cs="Calibri"/>
        </w:rPr>
        <w:t>Please refer to the Cost Details section for a breakdown of the personnel salaries.</w:t>
      </w:r>
    </w:p>
    <w:p w14:paraId="22E0F589" w14:textId="081DA1E1" w:rsidR="002B2E39" w:rsidRPr="003C4E2C" w:rsidRDefault="0022097C" w:rsidP="00DF2786">
      <w:pPr>
        <w:spacing w:before="80"/>
        <w:rPr>
          <w:rFonts w:ascii="Calibri" w:hAnsi="Calibri" w:cs="Calibri"/>
        </w:rPr>
      </w:pPr>
      <w:r w:rsidRPr="00664FF3">
        <w:rPr>
          <w:rFonts w:ascii="Calibri" w:hAnsi="Calibri" w:cs="Calibri"/>
        </w:rPr>
        <w:t xml:space="preserve">These positions will be primarily responsible for </w:t>
      </w:r>
      <w:r w:rsidR="007E706F" w:rsidRPr="00664FF3">
        <w:rPr>
          <w:rFonts w:ascii="Calibri" w:hAnsi="Calibri" w:cs="Calibri"/>
        </w:rPr>
        <w:t>managing consultants, design professionals</w:t>
      </w:r>
      <w:r w:rsidR="00055FB7" w:rsidRPr="00664FF3">
        <w:rPr>
          <w:rFonts w:ascii="Calibri" w:hAnsi="Calibri" w:cs="Calibri"/>
        </w:rPr>
        <w:t>, and contractors during construction,</w:t>
      </w:r>
      <w:r w:rsidRPr="00664FF3">
        <w:rPr>
          <w:rFonts w:ascii="Calibri" w:hAnsi="Calibri" w:cs="Calibri"/>
        </w:rPr>
        <w:t xml:space="preserve"> </w:t>
      </w:r>
      <w:r w:rsidR="00055FB7" w:rsidRPr="00664FF3">
        <w:rPr>
          <w:rFonts w:ascii="Calibri" w:hAnsi="Calibri" w:cs="Calibri"/>
        </w:rPr>
        <w:t xml:space="preserve">tracking progress, ensuring reporting requirements for the grant are met, </w:t>
      </w:r>
      <w:r w:rsidR="005828B2" w:rsidRPr="00664FF3">
        <w:rPr>
          <w:rFonts w:ascii="Calibri" w:hAnsi="Calibri" w:cs="Calibri"/>
        </w:rPr>
        <w:t xml:space="preserve">coordinating with other </w:t>
      </w:r>
      <w:r w:rsidR="00EB01DF" w:rsidRPr="00664FF3">
        <w:rPr>
          <w:rFonts w:ascii="Calibri" w:hAnsi="Calibri" w:cs="Calibri"/>
        </w:rPr>
        <w:t>NYC DOT</w:t>
      </w:r>
      <w:r w:rsidR="005828B2" w:rsidRPr="00664FF3">
        <w:rPr>
          <w:rFonts w:ascii="Calibri" w:hAnsi="Calibri" w:cs="Calibri"/>
        </w:rPr>
        <w:t xml:space="preserve">, NYCEDC, and PANYNJ staff, </w:t>
      </w:r>
      <w:r w:rsidR="002B2E39" w:rsidRPr="00664FF3">
        <w:rPr>
          <w:rFonts w:ascii="Calibri" w:hAnsi="Calibri" w:cs="Calibri"/>
        </w:rPr>
        <w:t xml:space="preserve">and </w:t>
      </w:r>
      <w:r w:rsidR="002B2E39" w:rsidRPr="003C4E2C">
        <w:rPr>
          <w:rFonts w:ascii="Calibri" w:hAnsi="Calibri" w:cs="Calibri"/>
        </w:rPr>
        <w:t xml:space="preserve">coordinating ongoing operations and maintenance efforts microhubs </w:t>
      </w:r>
      <w:r w:rsidR="00CF4C89" w:rsidRPr="003C4E2C">
        <w:rPr>
          <w:rFonts w:ascii="Calibri" w:hAnsi="Calibri" w:cs="Calibri"/>
        </w:rPr>
        <w:t>operation</w:t>
      </w:r>
      <w:r w:rsidR="002B2E39" w:rsidRPr="003C4E2C">
        <w:rPr>
          <w:rFonts w:ascii="Calibri" w:hAnsi="Calibri" w:cs="Calibri"/>
        </w:rPr>
        <w:t xml:space="preserve"> will require. </w:t>
      </w:r>
    </w:p>
    <w:p w14:paraId="1E45F96A" w14:textId="7953D25A" w:rsidR="000C7C39" w:rsidRPr="003C4E2C" w:rsidRDefault="000C7C39" w:rsidP="00DF2786">
      <w:pPr>
        <w:pStyle w:val="Heading2"/>
        <w:spacing w:before="80" w:after="0"/>
        <w:jc w:val="both"/>
        <w:rPr>
          <w:rFonts w:ascii="Calibri" w:hAnsi="Calibri" w:cs="Calibri"/>
          <w:color w:val="auto"/>
          <w:sz w:val="22"/>
          <w:szCs w:val="22"/>
        </w:rPr>
      </w:pPr>
      <w:r w:rsidRPr="003C4E2C">
        <w:rPr>
          <w:rFonts w:ascii="Calibri" w:hAnsi="Calibri" w:cs="Calibri"/>
          <w:b/>
          <w:bCs/>
          <w:color w:val="auto"/>
          <w:sz w:val="22"/>
          <w:szCs w:val="22"/>
        </w:rPr>
        <w:t>Fringe Benefits</w:t>
      </w:r>
      <w:r w:rsidR="0073399E" w:rsidRPr="003C4E2C">
        <w:rPr>
          <w:rFonts w:ascii="Calibri" w:hAnsi="Calibri" w:cs="Calibri"/>
          <w:b/>
          <w:bCs/>
          <w:color w:val="auto"/>
          <w:sz w:val="22"/>
          <w:szCs w:val="22"/>
        </w:rPr>
        <w:t>:</w:t>
      </w:r>
      <w:r w:rsidR="0073399E" w:rsidRPr="003C4E2C">
        <w:rPr>
          <w:rFonts w:ascii="Calibri" w:hAnsi="Calibri" w:cs="Calibri"/>
          <w:color w:val="auto"/>
          <w:sz w:val="22"/>
          <w:szCs w:val="22"/>
        </w:rPr>
        <w:t xml:space="preserve"> $</w:t>
      </w:r>
      <w:r w:rsidR="00EC5C87" w:rsidRPr="003C4E2C">
        <w:rPr>
          <w:rFonts w:ascii="Calibri" w:hAnsi="Calibri" w:cs="Calibri"/>
          <w:color w:val="auto"/>
          <w:sz w:val="22"/>
          <w:szCs w:val="22"/>
        </w:rPr>
        <w:t>521,298</w:t>
      </w:r>
    </w:p>
    <w:p w14:paraId="1B1A6723" w14:textId="5EE920CA" w:rsidR="009B33B4" w:rsidRPr="003C4E2C" w:rsidRDefault="009B33B4" w:rsidP="00DF2786">
      <w:pPr>
        <w:autoSpaceDE w:val="0"/>
        <w:autoSpaceDN w:val="0"/>
        <w:adjustRightInd w:val="0"/>
        <w:snapToGrid w:val="0"/>
        <w:spacing w:before="80"/>
        <w:jc w:val="both"/>
        <w:rPr>
          <w:rFonts w:ascii="Calibri" w:eastAsia="Times New Roman" w:hAnsi="Calibri" w:cs="Calibri"/>
          <w:kern w:val="0"/>
          <w:lang w:val="x-none"/>
        </w:rPr>
      </w:pPr>
      <w:r w:rsidRPr="003C4E2C">
        <w:rPr>
          <w:rFonts w:ascii="Calibri" w:eastAsia="Times New Roman" w:hAnsi="Calibri" w:cs="Calibri"/>
          <w:kern w:val="0"/>
          <w:lang w:val="x-none"/>
        </w:rPr>
        <w:t xml:space="preserve">Fringe benefits </w:t>
      </w:r>
      <w:r w:rsidR="00017623" w:rsidRPr="003C4E2C">
        <w:rPr>
          <w:rFonts w:ascii="Calibri" w:eastAsia="Times New Roman" w:hAnsi="Calibri" w:cs="Calibri"/>
          <w:kern w:val="0"/>
          <w:lang w:val="x-none"/>
        </w:rPr>
        <w:t>funding is</w:t>
      </w:r>
      <w:r w:rsidRPr="003C4E2C">
        <w:rPr>
          <w:rFonts w:ascii="Calibri" w:eastAsia="Times New Roman" w:hAnsi="Calibri" w:cs="Calibri"/>
          <w:kern w:val="0"/>
          <w:lang w:val="x-none"/>
        </w:rPr>
        <w:t xml:space="preserve"> requested for the personnel listed above. Please refer to the Cost Details section for a breakdown of how fringe benefits are calculated.</w:t>
      </w:r>
    </w:p>
    <w:p w14:paraId="7D7E15C5" w14:textId="2A908240" w:rsidR="000C7C39" w:rsidRPr="003C4E2C" w:rsidRDefault="000C7C39" w:rsidP="00DF2786">
      <w:pPr>
        <w:pStyle w:val="Heading2"/>
        <w:spacing w:before="80" w:after="0"/>
        <w:jc w:val="both"/>
        <w:rPr>
          <w:rFonts w:ascii="Calibri" w:hAnsi="Calibri" w:cs="Calibri"/>
          <w:color w:val="auto"/>
          <w:sz w:val="22"/>
          <w:szCs w:val="22"/>
        </w:rPr>
      </w:pPr>
      <w:r w:rsidRPr="003C4E2C">
        <w:rPr>
          <w:rFonts w:ascii="Calibri" w:hAnsi="Calibri" w:cs="Calibri"/>
          <w:b/>
          <w:bCs/>
          <w:color w:val="auto"/>
          <w:sz w:val="22"/>
          <w:szCs w:val="22"/>
        </w:rPr>
        <w:t>Travel</w:t>
      </w:r>
      <w:r w:rsidR="000414AC" w:rsidRPr="003C4E2C">
        <w:rPr>
          <w:rFonts w:ascii="Calibri" w:hAnsi="Calibri" w:cs="Calibri"/>
          <w:b/>
          <w:bCs/>
          <w:color w:val="auto"/>
          <w:sz w:val="22"/>
          <w:szCs w:val="22"/>
        </w:rPr>
        <w:t>:</w:t>
      </w:r>
      <w:r w:rsidR="000414AC" w:rsidRPr="003C4E2C">
        <w:rPr>
          <w:rFonts w:ascii="Calibri" w:hAnsi="Calibri" w:cs="Calibri"/>
          <w:color w:val="auto"/>
          <w:sz w:val="22"/>
          <w:szCs w:val="22"/>
        </w:rPr>
        <w:t xml:space="preserve"> None</w:t>
      </w:r>
    </w:p>
    <w:p w14:paraId="5F5F2F2F" w14:textId="027B6769" w:rsidR="000414AC" w:rsidRPr="003C4E2C" w:rsidRDefault="000414AC" w:rsidP="00DF2786">
      <w:pPr>
        <w:spacing w:before="80"/>
        <w:jc w:val="both"/>
        <w:rPr>
          <w:rFonts w:ascii="Calibri" w:hAnsi="Calibri" w:cs="Calibri"/>
        </w:rPr>
      </w:pPr>
      <w:r w:rsidRPr="003C4E2C">
        <w:rPr>
          <w:rFonts w:ascii="Calibri" w:hAnsi="Calibri" w:cs="Calibri"/>
        </w:rPr>
        <w:t>Travel costs are not requested for Microhubs Expansion.</w:t>
      </w:r>
    </w:p>
    <w:p w14:paraId="69162498" w14:textId="182263E0" w:rsidR="000C7C39" w:rsidRPr="003C4E2C" w:rsidRDefault="000C7C39" w:rsidP="00DF2786">
      <w:pPr>
        <w:pStyle w:val="Heading2"/>
        <w:spacing w:before="80" w:after="0"/>
        <w:jc w:val="both"/>
        <w:rPr>
          <w:rFonts w:ascii="Calibri" w:hAnsi="Calibri" w:cs="Calibri"/>
          <w:color w:val="auto"/>
          <w:sz w:val="22"/>
          <w:szCs w:val="22"/>
        </w:rPr>
      </w:pPr>
      <w:r w:rsidRPr="003C4E2C">
        <w:rPr>
          <w:rFonts w:ascii="Calibri" w:hAnsi="Calibri" w:cs="Calibri"/>
          <w:b/>
          <w:bCs/>
          <w:color w:val="auto"/>
          <w:sz w:val="22"/>
          <w:szCs w:val="22"/>
        </w:rPr>
        <w:t>Equipment</w:t>
      </w:r>
      <w:r w:rsidR="00B058D5" w:rsidRPr="003C4E2C">
        <w:rPr>
          <w:rFonts w:ascii="Calibri" w:hAnsi="Calibri" w:cs="Calibri"/>
          <w:b/>
          <w:bCs/>
          <w:color w:val="auto"/>
          <w:sz w:val="22"/>
          <w:szCs w:val="22"/>
        </w:rPr>
        <w:t>:</w:t>
      </w:r>
      <w:r w:rsidR="00711186" w:rsidRPr="003C4E2C">
        <w:rPr>
          <w:rFonts w:ascii="Calibri" w:hAnsi="Calibri" w:cs="Calibri"/>
          <w:color w:val="auto"/>
          <w:sz w:val="22"/>
          <w:szCs w:val="22"/>
        </w:rPr>
        <w:t xml:space="preserve"> None</w:t>
      </w:r>
    </w:p>
    <w:p w14:paraId="746FED1F" w14:textId="1C46712B" w:rsidR="00711186" w:rsidRPr="003C4E2C" w:rsidRDefault="00F441E1" w:rsidP="00DF2786">
      <w:pPr>
        <w:spacing w:before="80"/>
        <w:jc w:val="both"/>
        <w:rPr>
          <w:rFonts w:ascii="Calibri" w:hAnsi="Calibri" w:cs="Calibri"/>
        </w:rPr>
      </w:pPr>
      <w:r w:rsidRPr="003C4E2C">
        <w:rPr>
          <w:rFonts w:ascii="Calibri" w:hAnsi="Calibri" w:cs="Calibri"/>
        </w:rPr>
        <w:t>E</w:t>
      </w:r>
      <w:r w:rsidR="00711186" w:rsidRPr="003C4E2C">
        <w:rPr>
          <w:rFonts w:ascii="Calibri" w:hAnsi="Calibri" w:cs="Calibri"/>
        </w:rPr>
        <w:t>quipment</w:t>
      </w:r>
      <w:r w:rsidRPr="003C4E2C">
        <w:rPr>
          <w:rFonts w:ascii="Calibri" w:hAnsi="Calibri" w:cs="Calibri"/>
        </w:rPr>
        <w:t xml:space="preserve"> costs</w:t>
      </w:r>
      <w:r w:rsidR="00711186" w:rsidRPr="003C4E2C">
        <w:rPr>
          <w:rFonts w:ascii="Calibri" w:hAnsi="Calibri" w:cs="Calibri"/>
        </w:rPr>
        <w:t xml:space="preserve"> are not requested for Microhubs Expansion.</w:t>
      </w:r>
    </w:p>
    <w:p w14:paraId="1186C924" w14:textId="125C0C64" w:rsidR="000C7C39" w:rsidRPr="003C4E2C" w:rsidRDefault="000C7C39" w:rsidP="00DF2786">
      <w:pPr>
        <w:pStyle w:val="Heading2"/>
        <w:spacing w:before="80" w:after="0"/>
        <w:jc w:val="both"/>
        <w:rPr>
          <w:rFonts w:ascii="Calibri" w:hAnsi="Calibri" w:cs="Calibri"/>
          <w:color w:val="auto"/>
          <w:sz w:val="22"/>
          <w:szCs w:val="22"/>
        </w:rPr>
      </w:pPr>
      <w:r w:rsidRPr="003C4E2C">
        <w:rPr>
          <w:rFonts w:ascii="Calibri" w:hAnsi="Calibri" w:cs="Calibri"/>
          <w:b/>
          <w:bCs/>
          <w:color w:val="auto"/>
          <w:sz w:val="22"/>
          <w:szCs w:val="22"/>
        </w:rPr>
        <w:t>Supplies</w:t>
      </w:r>
      <w:r w:rsidR="003E4C0B" w:rsidRPr="003C4E2C">
        <w:rPr>
          <w:rFonts w:ascii="Calibri" w:hAnsi="Calibri" w:cs="Calibri"/>
          <w:b/>
          <w:bCs/>
          <w:color w:val="auto"/>
          <w:sz w:val="22"/>
          <w:szCs w:val="22"/>
        </w:rPr>
        <w:t>:</w:t>
      </w:r>
      <w:r w:rsidR="003E4C0B" w:rsidRPr="003C4E2C">
        <w:rPr>
          <w:rFonts w:ascii="Calibri" w:hAnsi="Calibri" w:cs="Calibri"/>
          <w:color w:val="auto"/>
          <w:sz w:val="22"/>
          <w:szCs w:val="22"/>
        </w:rPr>
        <w:t xml:space="preserve"> </w:t>
      </w:r>
      <w:r w:rsidR="00EF5FD3" w:rsidRPr="003C4E2C">
        <w:rPr>
          <w:rFonts w:ascii="Calibri" w:hAnsi="Calibri" w:cs="Calibri"/>
          <w:color w:val="auto"/>
          <w:sz w:val="22"/>
          <w:szCs w:val="22"/>
        </w:rPr>
        <w:t>$</w:t>
      </w:r>
      <w:r w:rsidR="00F03ADB" w:rsidRPr="003C4E2C">
        <w:rPr>
          <w:rFonts w:ascii="Calibri" w:hAnsi="Calibri" w:cs="Calibri"/>
          <w:color w:val="auto"/>
          <w:sz w:val="22"/>
          <w:szCs w:val="22"/>
        </w:rPr>
        <w:t>24,400</w:t>
      </w:r>
    </w:p>
    <w:p w14:paraId="4EE65089" w14:textId="7D33E417" w:rsidR="00711186" w:rsidRPr="003C4E2C" w:rsidRDefault="00F441E1" w:rsidP="00DF2786">
      <w:pPr>
        <w:spacing w:before="80"/>
        <w:jc w:val="both"/>
        <w:rPr>
          <w:rFonts w:ascii="Calibri" w:hAnsi="Calibri" w:cs="Calibri"/>
        </w:rPr>
      </w:pPr>
      <w:r w:rsidRPr="003C4E2C">
        <w:rPr>
          <w:rFonts w:ascii="Calibri" w:hAnsi="Calibri" w:cs="Calibri"/>
        </w:rPr>
        <w:t>Costs for supplies</w:t>
      </w:r>
      <w:r w:rsidR="00711186" w:rsidRPr="003C4E2C">
        <w:rPr>
          <w:rFonts w:ascii="Calibri" w:hAnsi="Calibri" w:cs="Calibri"/>
        </w:rPr>
        <w:t xml:space="preserve"> are requested to fund the supplies required for the personnel listed above. Please refer to the Cost Details section for a breakdown of supply costs for NYC employees.  </w:t>
      </w:r>
    </w:p>
    <w:p w14:paraId="7ADF2F75" w14:textId="6CD91A06" w:rsidR="000C7C39" w:rsidRPr="003C4E2C" w:rsidRDefault="000C7C39" w:rsidP="00DF2786">
      <w:pPr>
        <w:pStyle w:val="Heading2"/>
        <w:spacing w:before="80" w:after="0"/>
        <w:jc w:val="both"/>
        <w:rPr>
          <w:rFonts w:ascii="Calibri" w:hAnsi="Calibri" w:cs="Calibri"/>
          <w:color w:val="auto"/>
          <w:sz w:val="22"/>
          <w:szCs w:val="22"/>
        </w:rPr>
      </w:pPr>
      <w:r w:rsidRPr="003C4E2C">
        <w:rPr>
          <w:rFonts w:ascii="Calibri" w:hAnsi="Calibri" w:cs="Calibri"/>
          <w:b/>
          <w:bCs/>
          <w:color w:val="auto"/>
          <w:sz w:val="22"/>
          <w:szCs w:val="22"/>
        </w:rPr>
        <w:t>Contractual</w:t>
      </w:r>
      <w:r w:rsidR="00856F7F" w:rsidRPr="003C4E2C">
        <w:rPr>
          <w:rFonts w:ascii="Calibri" w:hAnsi="Calibri" w:cs="Calibri"/>
          <w:b/>
          <w:bCs/>
          <w:color w:val="auto"/>
          <w:sz w:val="22"/>
          <w:szCs w:val="22"/>
        </w:rPr>
        <w:t>:</w:t>
      </w:r>
      <w:r w:rsidR="00856F7F" w:rsidRPr="003C4E2C">
        <w:rPr>
          <w:rFonts w:ascii="Calibri" w:hAnsi="Calibri" w:cs="Calibri"/>
          <w:color w:val="auto"/>
          <w:sz w:val="22"/>
          <w:szCs w:val="22"/>
        </w:rPr>
        <w:t xml:space="preserve"> </w:t>
      </w:r>
      <w:r w:rsidR="004F2BDB" w:rsidRPr="003C4E2C">
        <w:rPr>
          <w:rFonts w:ascii="Calibri" w:hAnsi="Calibri" w:cs="Calibri"/>
          <w:color w:val="auto"/>
          <w:sz w:val="22"/>
          <w:szCs w:val="22"/>
        </w:rPr>
        <w:t>$</w:t>
      </w:r>
      <w:r w:rsidR="008C3C2A" w:rsidRPr="003C4E2C">
        <w:rPr>
          <w:rFonts w:ascii="Calibri" w:hAnsi="Calibri" w:cs="Calibri"/>
          <w:color w:val="auto"/>
          <w:sz w:val="22"/>
          <w:szCs w:val="22"/>
        </w:rPr>
        <w:t>1</w:t>
      </w:r>
      <w:r w:rsidR="00530A40" w:rsidRPr="003C4E2C">
        <w:rPr>
          <w:rFonts w:ascii="Calibri" w:hAnsi="Calibri" w:cs="Calibri"/>
          <w:color w:val="auto"/>
          <w:sz w:val="22"/>
          <w:szCs w:val="22"/>
        </w:rPr>
        <w:t>7,564,650</w:t>
      </w:r>
    </w:p>
    <w:p w14:paraId="778123C2" w14:textId="05B76F42" w:rsidR="00FE5372" w:rsidRPr="000F3ABE" w:rsidRDefault="003D0368" w:rsidP="3EB1D192">
      <w:pPr>
        <w:spacing w:before="80" w:line="259" w:lineRule="auto"/>
        <w:rPr>
          <w:rFonts w:ascii="Calibri" w:hAnsi="Calibri" w:cs="Calibri"/>
        </w:rPr>
      </w:pPr>
      <w:r w:rsidRPr="003C4E2C">
        <w:rPr>
          <w:rFonts w:ascii="Calibri" w:hAnsi="Calibri" w:cs="Calibri"/>
        </w:rPr>
        <w:t>Contractual costs are</w:t>
      </w:r>
      <w:r w:rsidRPr="00664FF3">
        <w:rPr>
          <w:rFonts w:ascii="Calibri" w:hAnsi="Calibri" w:cs="Calibri"/>
        </w:rPr>
        <w:t xml:space="preserve"> requested for the design and construction of </w:t>
      </w:r>
      <w:r w:rsidR="00703AAE" w:rsidRPr="00664FF3">
        <w:rPr>
          <w:rFonts w:ascii="Calibri" w:hAnsi="Calibri" w:cs="Calibri"/>
        </w:rPr>
        <w:t>microhubs</w:t>
      </w:r>
      <w:r w:rsidRPr="00664FF3">
        <w:rPr>
          <w:rFonts w:ascii="Calibri" w:hAnsi="Calibri" w:cs="Calibri"/>
        </w:rPr>
        <w:t xml:space="preserve">. </w:t>
      </w:r>
      <w:r w:rsidR="00EB01DF" w:rsidRPr="00664FF3">
        <w:rPr>
          <w:rFonts w:ascii="Calibri" w:hAnsi="Calibri" w:cs="Calibri"/>
        </w:rPr>
        <w:t>NYC DOT</w:t>
      </w:r>
      <w:r w:rsidR="009770ED" w:rsidRPr="00664FF3">
        <w:rPr>
          <w:rFonts w:ascii="Calibri" w:hAnsi="Calibri" w:cs="Calibri"/>
        </w:rPr>
        <w:t xml:space="preserve"> has selected </w:t>
      </w:r>
      <w:r w:rsidR="00C3678E" w:rsidRPr="00664FF3">
        <w:rPr>
          <w:rFonts w:ascii="Calibri" w:hAnsi="Calibri" w:cs="Calibri"/>
        </w:rPr>
        <w:t xml:space="preserve">five </w:t>
      </w:r>
      <w:r w:rsidR="009770ED" w:rsidRPr="00664FF3">
        <w:rPr>
          <w:rFonts w:ascii="Calibri" w:hAnsi="Calibri" w:cs="Calibri"/>
        </w:rPr>
        <w:t xml:space="preserve">sites to be developed as part of the </w:t>
      </w:r>
      <w:r w:rsidR="00703AAE" w:rsidRPr="00664FF3">
        <w:rPr>
          <w:rFonts w:ascii="Calibri" w:hAnsi="Calibri" w:cs="Calibri"/>
        </w:rPr>
        <w:t>Microhubs Expansion</w:t>
      </w:r>
      <w:r w:rsidR="009770ED" w:rsidRPr="00664FF3">
        <w:rPr>
          <w:rFonts w:ascii="Calibri" w:hAnsi="Calibri" w:cs="Calibri"/>
        </w:rPr>
        <w:t xml:space="preserve">. </w:t>
      </w:r>
      <w:r w:rsidR="00596D1F" w:rsidRPr="00664FF3">
        <w:rPr>
          <w:rFonts w:ascii="Calibri" w:hAnsi="Calibri" w:cs="Calibri"/>
        </w:rPr>
        <w:t xml:space="preserve">The cost for construction of each </w:t>
      </w:r>
      <w:proofErr w:type="spellStart"/>
      <w:r w:rsidR="00596D1F" w:rsidRPr="00664FF3">
        <w:rPr>
          <w:rFonts w:ascii="Calibri" w:hAnsi="Calibri" w:cs="Calibri"/>
        </w:rPr>
        <w:t>Microhub</w:t>
      </w:r>
      <w:proofErr w:type="spellEnd"/>
      <w:r w:rsidR="00596D1F" w:rsidRPr="00664FF3">
        <w:rPr>
          <w:rFonts w:ascii="Calibri" w:hAnsi="Calibri" w:cs="Calibri"/>
        </w:rPr>
        <w:t xml:space="preserve"> is estimated to be approximately</w:t>
      </w:r>
      <w:r w:rsidR="003F19E5" w:rsidRPr="00664FF3">
        <w:rPr>
          <w:rFonts w:ascii="Calibri" w:hAnsi="Calibri" w:cs="Calibri"/>
        </w:rPr>
        <w:t xml:space="preserve"> </w:t>
      </w:r>
      <w:r w:rsidR="00DA1216" w:rsidRPr="00664FF3">
        <w:rPr>
          <w:rFonts w:ascii="Calibri" w:hAnsi="Calibri" w:cs="Calibri"/>
        </w:rPr>
        <w:t>$</w:t>
      </w:r>
      <w:r w:rsidR="00863319" w:rsidRPr="00664FF3">
        <w:rPr>
          <w:rFonts w:ascii="Calibri" w:hAnsi="Calibri" w:cs="Calibri"/>
        </w:rPr>
        <w:t>3,</w:t>
      </w:r>
      <w:r w:rsidR="00C620B6" w:rsidRPr="00664FF3">
        <w:rPr>
          <w:rFonts w:ascii="Calibri" w:hAnsi="Calibri" w:cs="Calibri"/>
        </w:rPr>
        <w:t>163,217</w:t>
      </w:r>
      <w:r w:rsidR="00C61254" w:rsidRPr="00664FF3">
        <w:rPr>
          <w:rFonts w:ascii="Calibri" w:hAnsi="Calibri" w:cs="Calibri"/>
        </w:rPr>
        <w:t xml:space="preserve"> in 2024 dollars</w:t>
      </w:r>
      <w:r w:rsidR="00AC75F4" w:rsidRPr="00664FF3">
        <w:rPr>
          <w:rFonts w:ascii="Calibri" w:hAnsi="Calibri" w:cs="Calibri"/>
        </w:rPr>
        <w:t>. This cost was de</w:t>
      </w:r>
      <w:r w:rsidR="00542236" w:rsidRPr="00664FF3">
        <w:rPr>
          <w:rFonts w:ascii="Calibri" w:hAnsi="Calibri" w:cs="Calibri"/>
        </w:rPr>
        <w:t>veloped</w:t>
      </w:r>
      <w:r w:rsidR="00AC75F4" w:rsidRPr="00664FF3">
        <w:rPr>
          <w:rFonts w:ascii="Calibri" w:hAnsi="Calibri" w:cs="Calibri"/>
        </w:rPr>
        <w:t xml:space="preserve"> </w:t>
      </w:r>
      <w:r w:rsidR="0018715B" w:rsidRPr="00664FF3">
        <w:rPr>
          <w:rFonts w:ascii="Calibri" w:hAnsi="Calibri" w:cs="Calibri"/>
        </w:rPr>
        <w:t xml:space="preserve">based on conceptual mockups </w:t>
      </w:r>
      <w:r w:rsidR="00837BF4" w:rsidRPr="00664FF3">
        <w:rPr>
          <w:rFonts w:ascii="Calibri" w:hAnsi="Calibri" w:cs="Calibri"/>
        </w:rPr>
        <w:t xml:space="preserve">of </w:t>
      </w:r>
      <w:proofErr w:type="spellStart"/>
      <w:r w:rsidR="00837BF4" w:rsidRPr="00664FF3">
        <w:rPr>
          <w:rFonts w:ascii="Calibri" w:hAnsi="Calibri" w:cs="Calibri"/>
        </w:rPr>
        <w:t>Microhub</w:t>
      </w:r>
      <w:proofErr w:type="spellEnd"/>
      <w:r w:rsidR="00837BF4" w:rsidRPr="00664FF3">
        <w:rPr>
          <w:rFonts w:ascii="Calibri" w:hAnsi="Calibri" w:cs="Calibri"/>
        </w:rPr>
        <w:t xml:space="preserve"> locations</w:t>
      </w:r>
      <w:r w:rsidR="0018715B" w:rsidRPr="00664FF3">
        <w:rPr>
          <w:rFonts w:ascii="Calibri" w:hAnsi="Calibri" w:cs="Calibri"/>
        </w:rPr>
        <w:t xml:space="preserve"> </w:t>
      </w:r>
      <w:r w:rsidR="00AC75F4" w:rsidRPr="00664FF3">
        <w:rPr>
          <w:rFonts w:ascii="Calibri" w:hAnsi="Calibri" w:cs="Calibri"/>
        </w:rPr>
        <w:t xml:space="preserve">proposed </w:t>
      </w:r>
      <w:r w:rsidR="0018715B" w:rsidRPr="00664FF3">
        <w:rPr>
          <w:rFonts w:ascii="Calibri" w:hAnsi="Calibri" w:cs="Calibri"/>
        </w:rPr>
        <w:t xml:space="preserve">by </w:t>
      </w:r>
      <w:r w:rsidR="00AC75F4" w:rsidRPr="00664FF3">
        <w:rPr>
          <w:rFonts w:ascii="Calibri" w:hAnsi="Calibri" w:cs="Calibri"/>
        </w:rPr>
        <w:t>NYC</w:t>
      </w:r>
      <w:r w:rsidR="0018715B" w:rsidRPr="00664FF3">
        <w:rPr>
          <w:rFonts w:ascii="Calibri" w:hAnsi="Calibri" w:cs="Calibri"/>
        </w:rPr>
        <w:t>. The estimate includes</w:t>
      </w:r>
      <w:r w:rsidR="003F19E5" w:rsidRPr="00664FF3">
        <w:rPr>
          <w:rFonts w:ascii="Calibri" w:hAnsi="Calibri" w:cs="Calibri"/>
        </w:rPr>
        <w:t xml:space="preserve"> costs for </w:t>
      </w:r>
      <w:r w:rsidR="006924BA" w:rsidRPr="00664FF3">
        <w:rPr>
          <w:rFonts w:ascii="Calibri" w:hAnsi="Calibri" w:cs="Calibri"/>
        </w:rPr>
        <w:t>demolition and tree clearing, electrical lighting, parking lot paving and striping</w:t>
      </w:r>
      <w:r w:rsidR="002A3DA0" w:rsidRPr="00664FF3">
        <w:rPr>
          <w:rFonts w:ascii="Calibri" w:hAnsi="Calibri" w:cs="Calibri"/>
        </w:rPr>
        <w:t>,</w:t>
      </w:r>
      <w:r w:rsidR="009F6E61" w:rsidRPr="00664FF3">
        <w:rPr>
          <w:rFonts w:ascii="Calibri" w:hAnsi="Calibri" w:cs="Calibri"/>
        </w:rPr>
        <w:t xml:space="preserve"> parking for </w:t>
      </w:r>
      <w:r w:rsidR="10363141" w:rsidRPr="00664FF3">
        <w:rPr>
          <w:rFonts w:ascii="Calibri" w:hAnsi="Calibri" w:cs="Calibri"/>
        </w:rPr>
        <w:t>trucks and micromobility</w:t>
      </w:r>
      <w:r w:rsidR="009F6E61" w:rsidRPr="00664FF3">
        <w:rPr>
          <w:rFonts w:ascii="Calibri" w:hAnsi="Calibri" w:cs="Calibri"/>
        </w:rPr>
        <w:t>,</w:t>
      </w:r>
      <w:r w:rsidR="002A3DA0" w:rsidRPr="00664FF3">
        <w:rPr>
          <w:rFonts w:ascii="Calibri" w:hAnsi="Calibri" w:cs="Calibri"/>
        </w:rPr>
        <w:t xml:space="preserve"> sidewalk construction</w:t>
      </w:r>
      <w:r w:rsidR="00C75686" w:rsidRPr="00664FF3">
        <w:rPr>
          <w:rFonts w:ascii="Calibri" w:hAnsi="Calibri" w:cs="Calibri"/>
        </w:rPr>
        <w:t>, a</w:t>
      </w:r>
      <w:r w:rsidR="00FD5E7F" w:rsidRPr="00664FF3">
        <w:rPr>
          <w:rFonts w:ascii="Calibri" w:hAnsi="Calibri" w:cs="Calibri"/>
        </w:rPr>
        <w:t>n</w:t>
      </w:r>
      <w:r w:rsidR="00C75686" w:rsidRPr="00664FF3">
        <w:rPr>
          <w:rFonts w:ascii="Calibri" w:hAnsi="Calibri" w:cs="Calibri"/>
        </w:rPr>
        <w:t xml:space="preserve"> exterior outdoor </w:t>
      </w:r>
      <w:r w:rsidR="004F574C" w:rsidRPr="00664FF3">
        <w:rPr>
          <w:rFonts w:ascii="Calibri" w:hAnsi="Calibri" w:cs="Calibri"/>
        </w:rPr>
        <w:t>locker to hold packages, a prefabricated building for restroom facilities,</w:t>
      </w:r>
      <w:r w:rsidR="008B50C7" w:rsidRPr="00664FF3">
        <w:rPr>
          <w:rFonts w:ascii="Calibri" w:hAnsi="Calibri" w:cs="Calibri"/>
        </w:rPr>
        <w:t xml:space="preserve"> </w:t>
      </w:r>
      <w:r w:rsidR="00AE7635" w:rsidRPr="00664FF3">
        <w:rPr>
          <w:rFonts w:ascii="Calibri" w:hAnsi="Calibri" w:cs="Calibri"/>
        </w:rPr>
        <w:t>two</w:t>
      </w:r>
      <w:r w:rsidR="008B50C7" w:rsidRPr="00664FF3">
        <w:rPr>
          <w:rFonts w:ascii="Calibri" w:hAnsi="Calibri" w:cs="Calibri"/>
        </w:rPr>
        <w:t xml:space="preserve"> Level 3 </w:t>
      </w:r>
      <w:r w:rsidR="00B47557" w:rsidRPr="00664FF3">
        <w:rPr>
          <w:rFonts w:ascii="Calibri" w:hAnsi="Calibri" w:cs="Calibri"/>
        </w:rPr>
        <w:t>EV c</w:t>
      </w:r>
      <w:r w:rsidR="008B50C7" w:rsidRPr="00664FF3">
        <w:rPr>
          <w:rFonts w:ascii="Calibri" w:hAnsi="Calibri" w:cs="Calibri"/>
        </w:rPr>
        <w:t xml:space="preserve">harging </w:t>
      </w:r>
      <w:r w:rsidR="00AE7635" w:rsidRPr="00664FF3">
        <w:rPr>
          <w:rFonts w:ascii="Calibri" w:hAnsi="Calibri" w:cs="Calibri"/>
        </w:rPr>
        <w:t>s</w:t>
      </w:r>
      <w:r w:rsidR="008B50C7" w:rsidRPr="00664FF3">
        <w:rPr>
          <w:rFonts w:ascii="Calibri" w:hAnsi="Calibri" w:cs="Calibri"/>
        </w:rPr>
        <w:t>tation</w:t>
      </w:r>
      <w:r w:rsidR="00AE7635" w:rsidRPr="00664FF3">
        <w:rPr>
          <w:rFonts w:ascii="Calibri" w:hAnsi="Calibri" w:cs="Calibri"/>
        </w:rPr>
        <w:t>s</w:t>
      </w:r>
      <w:r w:rsidR="008B50C7" w:rsidRPr="00664FF3">
        <w:rPr>
          <w:rFonts w:ascii="Calibri" w:hAnsi="Calibri" w:cs="Calibri"/>
        </w:rPr>
        <w:t>,</w:t>
      </w:r>
      <w:r w:rsidR="004F574C" w:rsidRPr="00664FF3">
        <w:rPr>
          <w:rFonts w:ascii="Calibri" w:hAnsi="Calibri" w:cs="Calibri"/>
        </w:rPr>
        <w:t xml:space="preserve"> and a security system. Construction costs also includ</w:t>
      </w:r>
      <w:r w:rsidR="00863319" w:rsidRPr="00664FF3">
        <w:rPr>
          <w:rFonts w:ascii="Calibri" w:hAnsi="Calibri" w:cs="Calibri"/>
        </w:rPr>
        <w:t>e</w:t>
      </w:r>
      <w:r w:rsidR="0049281C" w:rsidRPr="00664FF3">
        <w:rPr>
          <w:rFonts w:ascii="Calibri" w:hAnsi="Calibri" w:cs="Calibri"/>
        </w:rPr>
        <w:t xml:space="preserve"> markups for </w:t>
      </w:r>
      <w:r w:rsidR="001D4BC6" w:rsidRPr="00664FF3">
        <w:rPr>
          <w:rFonts w:ascii="Calibri" w:hAnsi="Calibri" w:cs="Calibri"/>
        </w:rPr>
        <w:t>general conditions</w:t>
      </w:r>
      <w:r w:rsidR="0049281C" w:rsidRPr="00664FF3">
        <w:rPr>
          <w:rFonts w:ascii="Calibri" w:hAnsi="Calibri" w:cs="Calibri"/>
        </w:rPr>
        <w:t xml:space="preserve"> (20%)</w:t>
      </w:r>
      <w:r w:rsidR="001D4BC6" w:rsidRPr="00664FF3">
        <w:rPr>
          <w:rFonts w:ascii="Calibri" w:hAnsi="Calibri" w:cs="Calibri"/>
        </w:rPr>
        <w:t>, bond and insurance</w:t>
      </w:r>
      <w:r w:rsidR="0049281C" w:rsidRPr="00664FF3">
        <w:rPr>
          <w:rFonts w:ascii="Calibri" w:hAnsi="Calibri" w:cs="Calibri"/>
        </w:rPr>
        <w:t xml:space="preserve"> (</w:t>
      </w:r>
      <w:r w:rsidR="003C39FE" w:rsidRPr="00664FF3">
        <w:rPr>
          <w:rFonts w:ascii="Calibri" w:hAnsi="Calibri" w:cs="Calibri"/>
        </w:rPr>
        <w:t>3%)</w:t>
      </w:r>
      <w:r w:rsidR="001D4BC6" w:rsidRPr="00664FF3">
        <w:rPr>
          <w:rFonts w:ascii="Calibri" w:hAnsi="Calibri" w:cs="Calibri"/>
        </w:rPr>
        <w:t>, overhead and profit</w:t>
      </w:r>
      <w:r w:rsidR="003C39FE" w:rsidRPr="00664FF3">
        <w:rPr>
          <w:rFonts w:ascii="Calibri" w:hAnsi="Calibri" w:cs="Calibri"/>
        </w:rPr>
        <w:t xml:space="preserve"> (21%)</w:t>
      </w:r>
      <w:r w:rsidR="001D4BC6" w:rsidRPr="00664FF3">
        <w:rPr>
          <w:rFonts w:ascii="Calibri" w:hAnsi="Calibri" w:cs="Calibri"/>
        </w:rPr>
        <w:t>,</w:t>
      </w:r>
      <w:r w:rsidR="00863319" w:rsidRPr="00664FF3">
        <w:rPr>
          <w:rFonts w:ascii="Calibri" w:hAnsi="Calibri" w:cs="Calibri"/>
        </w:rPr>
        <w:t xml:space="preserve"> </w:t>
      </w:r>
      <w:r w:rsidR="001D4BC6" w:rsidRPr="00664FF3">
        <w:rPr>
          <w:rFonts w:ascii="Calibri" w:hAnsi="Calibri" w:cs="Calibri"/>
        </w:rPr>
        <w:t xml:space="preserve">and </w:t>
      </w:r>
      <w:r w:rsidR="008E6339" w:rsidRPr="00664FF3">
        <w:rPr>
          <w:rFonts w:ascii="Calibri" w:hAnsi="Calibri" w:cs="Calibri"/>
        </w:rPr>
        <w:t>contingency</w:t>
      </w:r>
      <w:r w:rsidR="003C39FE" w:rsidRPr="00664FF3">
        <w:rPr>
          <w:rFonts w:ascii="Calibri" w:hAnsi="Calibri" w:cs="Calibri"/>
        </w:rPr>
        <w:t xml:space="preserve"> (20%)</w:t>
      </w:r>
      <w:r w:rsidR="008E6339" w:rsidRPr="00664FF3">
        <w:rPr>
          <w:rFonts w:ascii="Calibri" w:hAnsi="Calibri" w:cs="Calibri"/>
        </w:rPr>
        <w:t xml:space="preserve">. </w:t>
      </w:r>
      <w:r w:rsidR="003C39FE" w:rsidRPr="00664FF3">
        <w:rPr>
          <w:rFonts w:ascii="Calibri" w:hAnsi="Calibri" w:cs="Calibri"/>
        </w:rPr>
        <w:t xml:space="preserve">A design allowance (8% of construction) is also </w:t>
      </w:r>
      <w:r w:rsidR="00B5071F" w:rsidRPr="00664FF3">
        <w:rPr>
          <w:rFonts w:ascii="Calibri" w:hAnsi="Calibri" w:cs="Calibri"/>
        </w:rPr>
        <w:t>requested under contractual costs.</w:t>
      </w:r>
      <w:r w:rsidR="003A4558" w:rsidRPr="00664FF3">
        <w:rPr>
          <w:rFonts w:ascii="Calibri" w:hAnsi="Calibri" w:cs="Calibri"/>
        </w:rPr>
        <w:t xml:space="preserve"> Design includes environmental reviews and approvals necessary for compliance.</w:t>
      </w:r>
      <w:r w:rsidR="00B5071F" w:rsidRPr="00664FF3">
        <w:rPr>
          <w:rFonts w:ascii="Calibri" w:hAnsi="Calibri" w:cs="Calibri"/>
        </w:rPr>
        <w:t xml:space="preserve"> </w:t>
      </w:r>
      <w:r w:rsidR="0007070C" w:rsidRPr="00664FF3">
        <w:rPr>
          <w:rFonts w:ascii="Calibri" w:hAnsi="Calibri" w:cs="Calibri"/>
        </w:rPr>
        <w:t>Costs are escalated</w:t>
      </w:r>
      <w:r w:rsidR="00B5071F" w:rsidRPr="00664FF3">
        <w:rPr>
          <w:rFonts w:ascii="Calibri" w:hAnsi="Calibri" w:cs="Calibri"/>
        </w:rPr>
        <w:t xml:space="preserve"> based on an inflation rate of 4% which is typically used in </w:t>
      </w:r>
      <w:r w:rsidR="00893D46" w:rsidRPr="00664FF3">
        <w:rPr>
          <w:rFonts w:ascii="Calibri" w:hAnsi="Calibri" w:cs="Calibri"/>
        </w:rPr>
        <w:t xml:space="preserve">estimating </w:t>
      </w:r>
      <w:r w:rsidR="00B5071F" w:rsidRPr="00664FF3">
        <w:rPr>
          <w:rFonts w:ascii="Calibri" w:hAnsi="Calibri" w:cs="Calibri"/>
        </w:rPr>
        <w:t xml:space="preserve">NYC projects. </w:t>
      </w:r>
      <w:r w:rsidR="00FF4110" w:rsidRPr="00664FF3">
        <w:rPr>
          <w:rFonts w:ascii="Calibri" w:hAnsi="Calibri" w:cs="Calibri"/>
        </w:rPr>
        <w:t xml:space="preserve">While estimating costs it was assumed all </w:t>
      </w:r>
      <w:r w:rsidR="00FF4110" w:rsidRPr="000F3ABE">
        <w:rPr>
          <w:rFonts w:ascii="Calibri" w:hAnsi="Calibri" w:cs="Calibri"/>
        </w:rPr>
        <w:t xml:space="preserve">items </w:t>
      </w:r>
      <w:r w:rsidR="00885756" w:rsidRPr="000F3ABE">
        <w:rPr>
          <w:rFonts w:ascii="Calibri" w:hAnsi="Calibri" w:cs="Calibri"/>
        </w:rPr>
        <w:t>will be</w:t>
      </w:r>
      <w:r w:rsidR="00FF4110" w:rsidRPr="000F3ABE">
        <w:rPr>
          <w:rFonts w:ascii="Calibri" w:hAnsi="Calibri" w:cs="Calibri"/>
        </w:rPr>
        <w:t xml:space="preserve"> procured and fabricated in the US to satisfy BABA requirements</w:t>
      </w:r>
      <w:r w:rsidR="0060115F" w:rsidRPr="000F3ABE">
        <w:rPr>
          <w:rFonts w:ascii="Calibri" w:hAnsi="Calibri" w:cs="Calibri"/>
        </w:rPr>
        <w:t>.</w:t>
      </w:r>
      <w:r w:rsidR="0039466F" w:rsidRPr="000F3ABE">
        <w:rPr>
          <w:rFonts w:ascii="Calibri" w:hAnsi="Calibri" w:cs="Calibri"/>
        </w:rPr>
        <w:t xml:space="preserve"> </w:t>
      </w:r>
    </w:p>
    <w:p w14:paraId="5F2CA359" w14:textId="47D1E58F"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Other Direct Costs</w:t>
      </w:r>
      <w:r w:rsidR="00D83E5A" w:rsidRPr="000F3ABE">
        <w:rPr>
          <w:rFonts w:ascii="Calibri" w:hAnsi="Calibri" w:cs="Calibri"/>
          <w:color w:val="auto"/>
          <w:sz w:val="22"/>
          <w:szCs w:val="22"/>
        </w:rPr>
        <w:t xml:space="preserve">: </w:t>
      </w:r>
      <w:r w:rsidR="00DD651E" w:rsidRPr="000F3ABE">
        <w:rPr>
          <w:rFonts w:ascii="Calibri" w:hAnsi="Calibri" w:cs="Calibri"/>
          <w:color w:val="auto"/>
          <w:sz w:val="22"/>
          <w:szCs w:val="22"/>
        </w:rPr>
        <w:t>$100,000</w:t>
      </w:r>
    </w:p>
    <w:p w14:paraId="5D8B8933" w14:textId="38A4C1EC" w:rsidR="00D83E5A" w:rsidRPr="000F3ABE" w:rsidRDefault="004E6797" w:rsidP="00DF2786">
      <w:pPr>
        <w:spacing w:before="80"/>
        <w:rPr>
          <w:rFonts w:ascii="Calibri" w:hAnsi="Calibri" w:cs="Calibri"/>
        </w:rPr>
      </w:pPr>
      <w:r w:rsidRPr="000F3ABE">
        <w:rPr>
          <w:rFonts w:ascii="Calibri" w:hAnsi="Calibri" w:cs="Calibri"/>
        </w:rPr>
        <w:t>$100,00 in o</w:t>
      </w:r>
      <w:r w:rsidR="00DD651E" w:rsidRPr="000F3ABE">
        <w:rPr>
          <w:rFonts w:ascii="Calibri" w:hAnsi="Calibri" w:cs="Calibri"/>
        </w:rPr>
        <w:t>ther direct costs are requested for community engagement costs. Community engagement costs include expenses related to building local partnerships</w:t>
      </w:r>
      <w:r w:rsidR="00B44319" w:rsidRPr="000F3ABE">
        <w:rPr>
          <w:rFonts w:ascii="Calibri" w:hAnsi="Calibri" w:cs="Calibri"/>
        </w:rPr>
        <w:t xml:space="preserve">, </w:t>
      </w:r>
      <w:r w:rsidR="00DD651E" w:rsidRPr="000F3ABE">
        <w:rPr>
          <w:rFonts w:ascii="Calibri" w:hAnsi="Calibri" w:cs="Calibri"/>
        </w:rPr>
        <w:t>soliciting feedback from the surrounding communities</w:t>
      </w:r>
      <w:r w:rsidR="00B44319" w:rsidRPr="000F3ABE">
        <w:rPr>
          <w:rFonts w:ascii="Calibri" w:hAnsi="Calibri" w:cs="Calibri"/>
        </w:rPr>
        <w:t>, and ensuring successful project implementation.</w:t>
      </w:r>
    </w:p>
    <w:p w14:paraId="4EDAD1D9" w14:textId="70E170E6"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Indirect Costs</w:t>
      </w:r>
      <w:r w:rsidR="00B058D5" w:rsidRPr="000F3ABE">
        <w:rPr>
          <w:rFonts w:ascii="Calibri" w:hAnsi="Calibri" w:cs="Calibri"/>
          <w:b/>
          <w:bCs/>
          <w:color w:val="auto"/>
          <w:sz w:val="22"/>
          <w:szCs w:val="22"/>
        </w:rPr>
        <w:t>:</w:t>
      </w:r>
      <w:r w:rsidR="00B058D5" w:rsidRPr="000F3ABE">
        <w:rPr>
          <w:rFonts w:ascii="Calibri" w:hAnsi="Calibri" w:cs="Calibri"/>
          <w:color w:val="auto"/>
          <w:sz w:val="22"/>
          <w:szCs w:val="22"/>
        </w:rPr>
        <w:t xml:space="preserve"> None</w:t>
      </w:r>
    </w:p>
    <w:p w14:paraId="5DF6EC0F" w14:textId="29E32A6F" w:rsidR="00B058D5" w:rsidRPr="00664FF3" w:rsidRDefault="00B058D5" w:rsidP="00DF2786">
      <w:pPr>
        <w:spacing w:before="80"/>
        <w:jc w:val="both"/>
        <w:rPr>
          <w:rFonts w:ascii="Calibri" w:hAnsi="Calibri" w:cs="Calibri"/>
        </w:rPr>
      </w:pPr>
      <w:r w:rsidRPr="000F3ABE">
        <w:rPr>
          <w:rFonts w:ascii="Calibri" w:hAnsi="Calibri" w:cs="Calibri"/>
        </w:rPr>
        <w:t>Indirect Costs</w:t>
      </w:r>
      <w:r w:rsidRPr="00664FF3">
        <w:rPr>
          <w:rFonts w:ascii="Calibri" w:hAnsi="Calibri" w:cs="Calibri"/>
        </w:rPr>
        <w:t xml:space="preserve"> are not </w:t>
      </w:r>
      <w:proofErr w:type="gramStart"/>
      <w:r w:rsidRPr="00664FF3">
        <w:rPr>
          <w:rFonts w:ascii="Calibri" w:hAnsi="Calibri" w:cs="Calibri"/>
        </w:rPr>
        <w:t>requested</w:t>
      </w:r>
      <w:proofErr w:type="gramEnd"/>
      <w:r w:rsidRPr="00664FF3">
        <w:rPr>
          <w:rFonts w:ascii="Calibri" w:hAnsi="Calibri" w:cs="Calibri"/>
        </w:rPr>
        <w:t xml:space="preserve"> for Microhubs Expansion.</w:t>
      </w:r>
    </w:p>
    <w:p w14:paraId="65F7EFAD" w14:textId="77777777" w:rsidR="008616B8" w:rsidRPr="00664FF3" w:rsidRDefault="008616B8" w:rsidP="00DF2786">
      <w:pPr>
        <w:spacing w:before="80"/>
        <w:jc w:val="both"/>
        <w:rPr>
          <w:rFonts w:ascii="Calibri" w:hAnsi="Calibri" w:cs="Calibri"/>
        </w:rPr>
      </w:pPr>
    </w:p>
    <w:p w14:paraId="2CC877D4" w14:textId="50B9A1B7" w:rsidR="006F361A" w:rsidRPr="00664FF3" w:rsidRDefault="006F361A" w:rsidP="00DF2786">
      <w:pPr>
        <w:pStyle w:val="Heading1"/>
        <w:spacing w:before="80" w:after="0"/>
        <w:jc w:val="both"/>
        <w:rPr>
          <w:rFonts w:ascii="Calibri" w:hAnsi="Calibri" w:cs="Calibri"/>
          <w:b/>
          <w:color w:val="auto"/>
          <w:sz w:val="20"/>
          <w:szCs w:val="20"/>
        </w:rPr>
      </w:pPr>
      <w:r w:rsidRPr="00664FF3">
        <w:rPr>
          <w:rFonts w:ascii="Calibri" w:hAnsi="Calibri" w:cs="Calibri"/>
          <w:b/>
          <w:color w:val="auto"/>
          <w:sz w:val="20"/>
          <w:szCs w:val="20"/>
        </w:rPr>
        <w:t>Blue Highways</w:t>
      </w:r>
    </w:p>
    <w:p w14:paraId="0A4EB27C" w14:textId="31C7E1FD" w:rsidR="00C92FEB" w:rsidRPr="00664FF3" w:rsidRDefault="00C92FEB" w:rsidP="00DF2786">
      <w:pPr>
        <w:autoSpaceDE w:val="0"/>
        <w:autoSpaceDN w:val="0"/>
        <w:adjustRightInd w:val="0"/>
        <w:snapToGrid w:val="0"/>
        <w:spacing w:before="0"/>
        <w:rPr>
          <w:rFonts w:ascii="Calibri" w:eastAsia="Times New Roman" w:hAnsi="Calibri" w:cs="Calibri"/>
          <w:kern w:val="0"/>
          <w:szCs w:val="24"/>
          <w:lang w:val="x-none"/>
        </w:rPr>
      </w:pPr>
      <w:r w:rsidRPr="00664FF3">
        <w:rPr>
          <w:rFonts w:ascii="Calibri" w:eastAsia="Times New Roman" w:hAnsi="Calibri" w:cs="Calibri"/>
          <w:kern w:val="0"/>
          <w:szCs w:val="24"/>
          <w:lang w:val="x-none"/>
        </w:rPr>
        <w:t>$</w:t>
      </w:r>
      <w:r w:rsidR="00BF350A" w:rsidRPr="00664FF3">
        <w:rPr>
          <w:rFonts w:ascii="Calibri" w:eastAsia="Times New Roman" w:hAnsi="Calibri" w:cs="Calibri"/>
          <w:kern w:val="0"/>
          <w:szCs w:val="24"/>
        </w:rPr>
        <w:t>369,</w:t>
      </w:r>
      <w:r w:rsidR="001977A0" w:rsidRPr="00664FF3">
        <w:rPr>
          <w:rFonts w:ascii="Calibri" w:eastAsia="Times New Roman" w:hAnsi="Calibri" w:cs="Calibri"/>
          <w:kern w:val="0"/>
          <w:szCs w:val="24"/>
        </w:rPr>
        <w:t>128</w:t>
      </w:r>
      <w:r w:rsidR="00677D07" w:rsidRPr="00664FF3">
        <w:rPr>
          <w:rFonts w:ascii="Calibri" w:eastAsia="Times New Roman" w:hAnsi="Calibri" w:cs="Calibri"/>
          <w:kern w:val="0"/>
          <w:szCs w:val="24"/>
        </w:rPr>
        <w:t>,133</w:t>
      </w:r>
      <w:r w:rsidRPr="00664FF3">
        <w:rPr>
          <w:rFonts w:ascii="Calibri" w:eastAsia="Times New Roman" w:hAnsi="Calibri" w:cs="Calibri"/>
          <w:kern w:val="0"/>
          <w:szCs w:val="24"/>
          <w:lang w:val="x-none"/>
        </w:rPr>
        <w:t xml:space="preserve"> is requested for the design, construction, and implementation of </w:t>
      </w:r>
      <w:r w:rsidR="005563B9" w:rsidRPr="00664FF3">
        <w:rPr>
          <w:rFonts w:ascii="Calibri" w:eastAsia="Times New Roman" w:hAnsi="Calibri" w:cs="Calibri"/>
          <w:kern w:val="0"/>
          <w:szCs w:val="24"/>
        </w:rPr>
        <w:t>B</w:t>
      </w:r>
      <w:proofErr w:type="spellStart"/>
      <w:r w:rsidR="009E2A04" w:rsidRPr="00664FF3">
        <w:rPr>
          <w:rFonts w:ascii="Calibri" w:eastAsia="Times New Roman" w:hAnsi="Calibri" w:cs="Calibri"/>
          <w:kern w:val="0"/>
          <w:szCs w:val="24"/>
          <w:lang w:val="x-none"/>
        </w:rPr>
        <w:t>lue</w:t>
      </w:r>
      <w:proofErr w:type="spellEnd"/>
      <w:r w:rsidR="009E2A04" w:rsidRPr="00664FF3">
        <w:rPr>
          <w:rFonts w:ascii="Calibri" w:eastAsia="Times New Roman" w:hAnsi="Calibri" w:cs="Calibri"/>
          <w:kern w:val="0"/>
          <w:szCs w:val="24"/>
          <w:lang w:val="x-none"/>
        </w:rPr>
        <w:t xml:space="preserve"> Highways</w:t>
      </w:r>
      <w:r w:rsidR="00415035" w:rsidRPr="00664FF3">
        <w:rPr>
          <w:rFonts w:ascii="Calibri" w:eastAsia="Times New Roman" w:hAnsi="Calibri" w:cs="Calibri"/>
          <w:kern w:val="0"/>
          <w:szCs w:val="24"/>
          <w:lang w:val="x-none"/>
        </w:rPr>
        <w:t xml:space="preserve"> projects</w:t>
      </w:r>
      <w:r w:rsidR="00C858ED" w:rsidRPr="00664FF3">
        <w:rPr>
          <w:rFonts w:ascii="Calibri" w:eastAsia="Times New Roman" w:hAnsi="Calibri" w:cs="Calibri"/>
          <w:kern w:val="0"/>
          <w:szCs w:val="24"/>
        </w:rPr>
        <w:t xml:space="preserve">, with NYC DOT </w:t>
      </w:r>
      <w:r w:rsidR="00415035" w:rsidRPr="00664FF3">
        <w:rPr>
          <w:rFonts w:ascii="Calibri" w:eastAsia="Times New Roman" w:hAnsi="Calibri" w:cs="Calibri"/>
          <w:kern w:val="0"/>
          <w:szCs w:val="24"/>
          <w:lang w:val="x-none"/>
        </w:rPr>
        <w:t>administer</w:t>
      </w:r>
      <w:r w:rsidR="00C858ED" w:rsidRPr="00664FF3">
        <w:rPr>
          <w:rFonts w:ascii="Calibri" w:eastAsia="Times New Roman" w:hAnsi="Calibri" w:cs="Calibri"/>
          <w:kern w:val="0"/>
          <w:szCs w:val="24"/>
        </w:rPr>
        <w:t>ing</w:t>
      </w:r>
      <w:r w:rsidR="00415035" w:rsidRPr="00664FF3">
        <w:rPr>
          <w:rFonts w:ascii="Calibri" w:eastAsia="Times New Roman" w:hAnsi="Calibri" w:cs="Calibri"/>
          <w:kern w:val="0"/>
          <w:szCs w:val="24"/>
          <w:lang w:val="x-none"/>
        </w:rPr>
        <w:t xml:space="preserve"> </w:t>
      </w:r>
      <w:r w:rsidR="00C858ED" w:rsidRPr="00664FF3">
        <w:rPr>
          <w:rFonts w:ascii="Calibri" w:eastAsia="Times New Roman" w:hAnsi="Calibri" w:cs="Calibri"/>
          <w:kern w:val="0"/>
          <w:szCs w:val="24"/>
        </w:rPr>
        <w:t>subawards to</w:t>
      </w:r>
      <w:r w:rsidR="00415035" w:rsidRPr="00664FF3">
        <w:rPr>
          <w:rFonts w:ascii="Calibri" w:eastAsia="Times New Roman" w:hAnsi="Calibri" w:cs="Calibri"/>
          <w:kern w:val="0"/>
          <w:szCs w:val="24"/>
        </w:rPr>
        <w:t xml:space="preserve"> </w:t>
      </w:r>
      <w:r w:rsidR="00415035" w:rsidRPr="00664FF3">
        <w:rPr>
          <w:rFonts w:ascii="Calibri" w:eastAsia="Times New Roman" w:hAnsi="Calibri" w:cs="Calibri"/>
          <w:kern w:val="0"/>
          <w:szCs w:val="24"/>
          <w:lang w:val="x-none"/>
        </w:rPr>
        <w:t>NYCEDC and PANYNJ</w:t>
      </w:r>
      <w:r w:rsidR="00C858ED" w:rsidRPr="00664FF3">
        <w:rPr>
          <w:rFonts w:ascii="Calibri" w:eastAsia="Times New Roman" w:hAnsi="Calibri" w:cs="Calibri"/>
          <w:kern w:val="0"/>
          <w:szCs w:val="24"/>
        </w:rPr>
        <w:t xml:space="preserve"> to manage these measures</w:t>
      </w:r>
      <w:r w:rsidRPr="00664FF3">
        <w:rPr>
          <w:rFonts w:ascii="Calibri" w:eastAsia="Times New Roman" w:hAnsi="Calibri" w:cs="Calibri"/>
          <w:kern w:val="0"/>
          <w:szCs w:val="24"/>
          <w:lang w:val="x-none"/>
        </w:rPr>
        <w:t>.</w:t>
      </w:r>
    </w:p>
    <w:p w14:paraId="3BE739A3" w14:textId="19F3CE08"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Personnel</w:t>
      </w:r>
      <w:r w:rsidR="0054265C" w:rsidRPr="000F3ABE">
        <w:rPr>
          <w:rFonts w:ascii="Calibri" w:hAnsi="Calibri" w:cs="Calibri"/>
          <w:b/>
          <w:bCs/>
          <w:color w:val="auto"/>
          <w:sz w:val="22"/>
          <w:szCs w:val="22"/>
        </w:rPr>
        <w:t>:</w:t>
      </w:r>
      <w:r w:rsidR="0054265C" w:rsidRPr="000F3ABE">
        <w:rPr>
          <w:rFonts w:ascii="Calibri" w:hAnsi="Calibri" w:cs="Calibri"/>
          <w:color w:val="auto"/>
          <w:sz w:val="22"/>
          <w:szCs w:val="22"/>
        </w:rPr>
        <w:t xml:space="preserve"> </w:t>
      </w:r>
      <w:r w:rsidR="007665E2" w:rsidRPr="000F3ABE">
        <w:rPr>
          <w:rFonts w:ascii="Calibri" w:hAnsi="Calibri" w:cs="Calibri"/>
          <w:color w:val="auto"/>
          <w:sz w:val="22"/>
          <w:szCs w:val="22"/>
        </w:rPr>
        <w:t>None</w:t>
      </w:r>
    </w:p>
    <w:p w14:paraId="13917CC3" w14:textId="77777777" w:rsidR="003C2DD6" w:rsidRPr="000F3ABE" w:rsidRDefault="00FF2BD6" w:rsidP="003C2DD6">
      <w:pPr>
        <w:spacing w:before="80"/>
        <w:jc w:val="both"/>
        <w:rPr>
          <w:rFonts w:ascii="Calibri" w:hAnsi="Calibri" w:cs="Calibri"/>
        </w:rPr>
      </w:pPr>
      <w:r w:rsidRPr="000F3ABE">
        <w:rPr>
          <w:rFonts w:ascii="Calibri" w:hAnsi="Calibri" w:cs="Calibri"/>
        </w:rPr>
        <w:t xml:space="preserve">Personnel costs </w:t>
      </w:r>
      <w:r w:rsidR="003C2DD6" w:rsidRPr="000F3ABE">
        <w:rPr>
          <w:rFonts w:ascii="Calibri" w:hAnsi="Calibri" w:cs="Calibri"/>
        </w:rPr>
        <w:t>are not requested for Blue Highways.</w:t>
      </w:r>
    </w:p>
    <w:p w14:paraId="309AEE45" w14:textId="300EA6B3" w:rsidR="000C7C39" w:rsidRPr="000F3ABE" w:rsidRDefault="000C7C39" w:rsidP="003C2DD6">
      <w:pPr>
        <w:spacing w:before="80"/>
        <w:rPr>
          <w:rFonts w:ascii="Calibri" w:hAnsi="Calibri" w:cs="Calibri"/>
        </w:rPr>
      </w:pPr>
      <w:r w:rsidRPr="000F3ABE">
        <w:rPr>
          <w:rFonts w:ascii="Calibri" w:hAnsi="Calibri" w:cs="Calibri"/>
          <w:b/>
          <w:bCs/>
        </w:rPr>
        <w:t>Fringe Benefits</w:t>
      </w:r>
      <w:r w:rsidR="00017623" w:rsidRPr="000F3ABE">
        <w:rPr>
          <w:rFonts w:ascii="Calibri" w:hAnsi="Calibri" w:cs="Calibri"/>
          <w:b/>
          <w:bCs/>
        </w:rPr>
        <w:t>:</w:t>
      </w:r>
      <w:r w:rsidR="008350A8" w:rsidRPr="000F3ABE">
        <w:rPr>
          <w:rFonts w:ascii="Calibri" w:hAnsi="Calibri" w:cs="Calibri"/>
        </w:rPr>
        <w:t xml:space="preserve"> None</w:t>
      </w:r>
    </w:p>
    <w:p w14:paraId="1818F46F" w14:textId="209F64F3" w:rsidR="00017623" w:rsidRPr="000F3ABE" w:rsidRDefault="00017623" w:rsidP="003C2DD6">
      <w:pPr>
        <w:spacing w:before="80"/>
        <w:jc w:val="both"/>
        <w:rPr>
          <w:rFonts w:ascii="Calibri" w:hAnsi="Calibri" w:cs="Calibri"/>
        </w:rPr>
      </w:pPr>
      <w:r w:rsidRPr="000F3ABE">
        <w:rPr>
          <w:rFonts w:ascii="Calibri" w:eastAsia="Times New Roman" w:hAnsi="Calibri" w:cs="Calibri"/>
          <w:kern w:val="0"/>
          <w:lang w:val="x-none"/>
        </w:rPr>
        <w:t xml:space="preserve">Fringe benefits </w:t>
      </w:r>
      <w:r w:rsidR="003C2DD6" w:rsidRPr="000F3ABE">
        <w:rPr>
          <w:rFonts w:ascii="Calibri" w:hAnsi="Calibri" w:cs="Calibri"/>
        </w:rPr>
        <w:t>are not requested for Blue Highways.</w:t>
      </w:r>
      <w:r w:rsidR="00A97CBB" w:rsidRPr="000F3ABE">
        <w:rPr>
          <w:rFonts w:ascii="Calibri" w:hAnsi="Calibri" w:cs="Calibri"/>
        </w:rPr>
        <w:t xml:space="preserve"> </w:t>
      </w:r>
    </w:p>
    <w:p w14:paraId="42B38E8E" w14:textId="7590910A"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Travel</w:t>
      </w:r>
      <w:r w:rsidR="000414AC" w:rsidRPr="000F3ABE">
        <w:rPr>
          <w:rFonts w:ascii="Calibri" w:hAnsi="Calibri" w:cs="Calibri"/>
          <w:b/>
          <w:bCs/>
          <w:color w:val="auto"/>
          <w:sz w:val="22"/>
          <w:szCs w:val="22"/>
        </w:rPr>
        <w:t>:</w:t>
      </w:r>
      <w:r w:rsidR="000414AC" w:rsidRPr="000F3ABE">
        <w:rPr>
          <w:rFonts w:ascii="Calibri" w:hAnsi="Calibri" w:cs="Calibri"/>
          <w:color w:val="auto"/>
          <w:sz w:val="22"/>
          <w:szCs w:val="22"/>
        </w:rPr>
        <w:t xml:space="preserve"> None</w:t>
      </w:r>
    </w:p>
    <w:p w14:paraId="4EE55EF9" w14:textId="3C23DC74" w:rsidR="000414AC" w:rsidRPr="000F3ABE" w:rsidRDefault="000414AC" w:rsidP="00DF2786">
      <w:pPr>
        <w:spacing w:before="80"/>
        <w:jc w:val="both"/>
        <w:rPr>
          <w:rFonts w:ascii="Calibri" w:hAnsi="Calibri" w:cs="Calibri"/>
        </w:rPr>
      </w:pPr>
      <w:r w:rsidRPr="000F3ABE">
        <w:rPr>
          <w:rFonts w:ascii="Calibri" w:hAnsi="Calibri" w:cs="Calibri"/>
        </w:rPr>
        <w:t>Travel costs are not requested for Blue Highways.</w:t>
      </w:r>
    </w:p>
    <w:p w14:paraId="7D70ADFB" w14:textId="1822E201"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Equipment</w:t>
      </w:r>
      <w:r w:rsidR="00014BB6" w:rsidRPr="000F3ABE">
        <w:rPr>
          <w:rFonts w:ascii="Calibri" w:hAnsi="Calibri" w:cs="Calibri"/>
          <w:b/>
          <w:bCs/>
          <w:color w:val="auto"/>
          <w:sz w:val="22"/>
          <w:szCs w:val="22"/>
        </w:rPr>
        <w:t>:</w:t>
      </w:r>
      <w:r w:rsidR="00017623" w:rsidRPr="000F3ABE">
        <w:rPr>
          <w:rFonts w:ascii="Calibri" w:hAnsi="Calibri" w:cs="Calibri"/>
          <w:color w:val="auto"/>
          <w:sz w:val="22"/>
          <w:szCs w:val="22"/>
        </w:rPr>
        <w:t xml:space="preserve"> </w:t>
      </w:r>
      <w:r w:rsidR="00EC62E4" w:rsidRPr="000F3ABE">
        <w:rPr>
          <w:rFonts w:ascii="Calibri" w:hAnsi="Calibri" w:cs="Calibri"/>
          <w:color w:val="auto"/>
          <w:sz w:val="22"/>
          <w:szCs w:val="22"/>
        </w:rPr>
        <w:t>None</w:t>
      </w:r>
    </w:p>
    <w:p w14:paraId="6D67C73F" w14:textId="21F3CDFE" w:rsidR="00EC62E4" w:rsidRPr="000F3ABE" w:rsidRDefault="00EC62E4" w:rsidP="00DF2786">
      <w:pPr>
        <w:spacing w:before="80"/>
        <w:jc w:val="both"/>
        <w:rPr>
          <w:rFonts w:ascii="Calibri" w:hAnsi="Calibri" w:cs="Calibri"/>
        </w:rPr>
      </w:pPr>
      <w:r w:rsidRPr="000F3ABE">
        <w:rPr>
          <w:rFonts w:ascii="Calibri" w:hAnsi="Calibri" w:cs="Calibri"/>
        </w:rPr>
        <w:t xml:space="preserve">Equipment </w:t>
      </w:r>
      <w:r w:rsidR="00F441E1" w:rsidRPr="000F3ABE">
        <w:rPr>
          <w:rFonts w:ascii="Calibri" w:hAnsi="Calibri" w:cs="Calibri"/>
        </w:rPr>
        <w:t xml:space="preserve">costs </w:t>
      </w:r>
      <w:r w:rsidRPr="000F3ABE">
        <w:rPr>
          <w:rFonts w:ascii="Calibri" w:hAnsi="Calibri" w:cs="Calibri"/>
        </w:rPr>
        <w:t>are not requested for Blue Highways.</w:t>
      </w:r>
    </w:p>
    <w:p w14:paraId="66CF7290" w14:textId="78BED19B"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Supplies</w:t>
      </w:r>
      <w:r w:rsidR="003E4C0B" w:rsidRPr="000F3ABE">
        <w:rPr>
          <w:rFonts w:ascii="Calibri" w:hAnsi="Calibri" w:cs="Calibri"/>
          <w:b/>
          <w:bCs/>
          <w:color w:val="auto"/>
          <w:sz w:val="22"/>
          <w:szCs w:val="22"/>
        </w:rPr>
        <w:t>:</w:t>
      </w:r>
      <w:r w:rsidR="003E4C0B" w:rsidRPr="000F3ABE">
        <w:rPr>
          <w:rFonts w:ascii="Calibri" w:hAnsi="Calibri" w:cs="Calibri"/>
          <w:color w:val="auto"/>
          <w:sz w:val="22"/>
          <w:szCs w:val="22"/>
        </w:rPr>
        <w:t xml:space="preserve"> </w:t>
      </w:r>
      <w:r w:rsidR="008350A8" w:rsidRPr="000F3ABE">
        <w:rPr>
          <w:rFonts w:ascii="Calibri" w:hAnsi="Calibri" w:cs="Calibri"/>
          <w:color w:val="auto"/>
          <w:sz w:val="22"/>
          <w:szCs w:val="22"/>
        </w:rPr>
        <w:t>None</w:t>
      </w:r>
    </w:p>
    <w:p w14:paraId="0327E854" w14:textId="02BC3ED5" w:rsidR="003C2DD6" w:rsidRPr="000F3ABE" w:rsidRDefault="003C2DD6" w:rsidP="003C2DD6">
      <w:pPr>
        <w:spacing w:before="80"/>
        <w:jc w:val="both"/>
        <w:rPr>
          <w:rFonts w:ascii="Calibri" w:hAnsi="Calibri" w:cs="Calibri"/>
        </w:rPr>
      </w:pPr>
      <w:r w:rsidRPr="000F3ABE">
        <w:rPr>
          <w:rFonts w:ascii="Calibri" w:hAnsi="Calibri" w:cs="Calibri"/>
        </w:rPr>
        <w:t>Supplies are not requested for Blue Highways.</w:t>
      </w:r>
    </w:p>
    <w:p w14:paraId="3F6AEC3C" w14:textId="678B57C6"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Contractual</w:t>
      </w:r>
      <w:r w:rsidR="002A48E1" w:rsidRPr="000F3ABE">
        <w:rPr>
          <w:rFonts w:ascii="Calibri" w:hAnsi="Calibri" w:cs="Calibri"/>
          <w:b/>
          <w:bCs/>
          <w:color w:val="auto"/>
          <w:sz w:val="22"/>
          <w:szCs w:val="22"/>
        </w:rPr>
        <w:t>:</w:t>
      </w:r>
      <w:r w:rsidR="002A48E1" w:rsidRPr="000F3ABE">
        <w:rPr>
          <w:rFonts w:ascii="Calibri" w:hAnsi="Calibri" w:cs="Calibri"/>
          <w:color w:val="auto"/>
          <w:sz w:val="22"/>
          <w:szCs w:val="22"/>
        </w:rPr>
        <w:t xml:space="preserve"> </w:t>
      </w:r>
      <w:r w:rsidR="00386690" w:rsidRPr="000F3ABE">
        <w:rPr>
          <w:rFonts w:ascii="Calibri" w:hAnsi="Calibri" w:cs="Calibri"/>
          <w:color w:val="auto"/>
          <w:sz w:val="22"/>
          <w:szCs w:val="22"/>
        </w:rPr>
        <w:t>None</w:t>
      </w:r>
    </w:p>
    <w:p w14:paraId="7C73A69D" w14:textId="77C3E9BB" w:rsidR="00DF1F97" w:rsidRPr="000F3ABE" w:rsidRDefault="002A48E1" w:rsidP="00DF2786">
      <w:pPr>
        <w:spacing w:before="80"/>
        <w:jc w:val="both"/>
        <w:rPr>
          <w:rFonts w:ascii="Calibri" w:hAnsi="Calibri" w:cs="Calibri"/>
        </w:rPr>
      </w:pPr>
      <w:r w:rsidRPr="000F3ABE">
        <w:rPr>
          <w:rFonts w:ascii="Calibri" w:hAnsi="Calibri" w:cs="Calibri"/>
        </w:rPr>
        <w:t>Contractual costs are</w:t>
      </w:r>
      <w:r w:rsidR="00531235" w:rsidRPr="000F3ABE">
        <w:rPr>
          <w:rFonts w:ascii="Calibri" w:hAnsi="Calibri" w:cs="Calibri"/>
        </w:rPr>
        <w:t xml:space="preserve"> not requested for Blue Highways</w:t>
      </w:r>
      <w:r w:rsidR="00DA247D" w:rsidRPr="000F3ABE">
        <w:rPr>
          <w:rFonts w:ascii="Calibri" w:hAnsi="Calibri" w:cs="Calibri"/>
        </w:rPr>
        <w:t>.</w:t>
      </w:r>
    </w:p>
    <w:p w14:paraId="03F57F2F" w14:textId="1D43EC45"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Other Direct Costs</w:t>
      </w:r>
      <w:r w:rsidR="00C4799A" w:rsidRPr="000F3ABE">
        <w:rPr>
          <w:rFonts w:ascii="Calibri" w:hAnsi="Calibri" w:cs="Calibri"/>
          <w:b/>
          <w:bCs/>
          <w:color w:val="auto"/>
          <w:sz w:val="22"/>
          <w:szCs w:val="22"/>
        </w:rPr>
        <w:t>:</w:t>
      </w:r>
      <w:r w:rsidR="00C4799A" w:rsidRPr="000F3ABE">
        <w:rPr>
          <w:rFonts w:ascii="Calibri" w:hAnsi="Calibri" w:cs="Calibri"/>
          <w:color w:val="auto"/>
          <w:sz w:val="22"/>
          <w:szCs w:val="22"/>
        </w:rPr>
        <w:t xml:space="preserve"> </w:t>
      </w:r>
      <w:r w:rsidR="00B9643A" w:rsidRPr="000F3ABE">
        <w:rPr>
          <w:rFonts w:ascii="Calibri" w:hAnsi="Calibri" w:cs="Calibri"/>
          <w:color w:val="auto"/>
          <w:sz w:val="22"/>
          <w:szCs w:val="22"/>
        </w:rPr>
        <w:t>$</w:t>
      </w:r>
      <w:r w:rsidR="00F071F9" w:rsidRPr="000F3ABE">
        <w:rPr>
          <w:rFonts w:ascii="Calibri" w:hAnsi="Calibri" w:cs="Calibri"/>
          <w:color w:val="auto"/>
          <w:sz w:val="22"/>
          <w:szCs w:val="22"/>
        </w:rPr>
        <w:t>369,</w:t>
      </w:r>
      <w:r w:rsidR="000361A3" w:rsidRPr="000F3ABE">
        <w:rPr>
          <w:rFonts w:ascii="Calibri" w:hAnsi="Calibri" w:cs="Calibri"/>
          <w:color w:val="auto"/>
          <w:sz w:val="22"/>
          <w:szCs w:val="22"/>
        </w:rPr>
        <w:t>128</w:t>
      </w:r>
      <w:r w:rsidR="00F071F9" w:rsidRPr="000F3ABE">
        <w:rPr>
          <w:rFonts w:ascii="Calibri" w:hAnsi="Calibri" w:cs="Calibri"/>
          <w:color w:val="auto"/>
          <w:sz w:val="22"/>
          <w:szCs w:val="22"/>
        </w:rPr>
        <w:t>,133</w:t>
      </w:r>
    </w:p>
    <w:p w14:paraId="2E95B2A8" w14:textId="31B66AE3" w:rsidR="00E932A7" w:rsidRPr="00664FF3" w:rsidRDefault="00B44319" w:rsidP="00DF2786">
      <w:pPr>
        <w:spacing w:before="80"/>
        <w:rPr>
          <w:rFonts w:ascii="Calibri" w:hAnsi="Calibri" w:cs="Calibri"/>
        </w:rPr>
      </w:pPr>
      <w:r w:rsidRPr="00664FF3">
        <w:rPr>
          <w:rFonts w:ascii="Calibri" w:hAnsi="Calibri" w:cs="Calibri"/>
        </w:rPr>
        <w:t>Other direct costs are requested for</w:t>
      </w:r>
      <w:r w:rsidR="00F071F9" w:rsidRPr="00664FF3">
        <w:rPr>
          <w:rFonts w:ascii="Calibri" w:hAnsi="Calibri" w:cs="Calibri"/>
        </w:rPr>
        <w:t xml:space="preserve"> subawards to NYCEDC and PANYNJ to implement projects which will decarbonize port operations.</w:t>
      </w:r>
      <w:r w:rsidR="00407C03" w:rsidRPr="00664FF3">
        <w:rPr>
          <w:rFonts w:ascii="Calibri" w:hAnsi="Calibri" w:cs="Calibri"/>
        </w:rPr>
        <w:t xml:space="preserve"> </w:t>
      </w:r>
      <w:r w:rsidR="002577CA" w:rsidRPr="00664FF3">
        <w:rPr>
          <w:rFonts w:ascii="Calibri" w:hAnsi="Calibri" w:cs="Calibri"/>
        </w:rPr>
        <w:t xml:space="preserve">NYCEDC will </w:t>
      </w:r>
      <w:r w:rsidR="00A838EB" w:rsidRPr="00664FF3">
        <w:rPr>
          <w:rFonts w:ascii="Calibri" w:hAnsi="Calibri" w:cs="Calibri"/>
        </w:rPr>
        <w:t xml:space="preserve">use funding to </w:t>
      </w:r>
      <w:r w:rsidR="00A34AA5" w:rsidRPr="00664FF3">
        <w:rPr>
          <w:rFonts w:ascii="Calibri" w:hAnsi="Calibri" w:cs="Calibri"/>
        </w:rPr>
        <w:t xml:space="preserve">create three dedicated 100% FTE staff positions focused on managing and implementing the Blue Highways part of the project; </w:t>
      </w:r>
      <w:r w:rsidR="008F5EB5" w:rsidRPr="00664FF3">
        <w:rPr>
          <w:rFonts w:ascii="Calibri" w:hAnsi="Calibri" w:cs="Calibri"/>
        </w:rPr>
        <w:t>two</w:t>
      </w:r>
      <w:r w:rsidR="00A34AA5" w:rsidRPr="00664FF3">
        <w:rPr>
          <w:rFonts w:ascii="Calibri" w:hAnsi="Calibri" w:cs="Calibri"/>
        </w:rPr>
        <w:t xml:space="preserve"> Senior Project Manager</w:t>
      </w:r>
      <w:r w:rsidR="008F5EB5" w:rsidRPr="00664FF3">
        <w:rPr>
          <w:rFonts w:ascii="Calibri" w:hAnsi="Calibri" w:cs="Calibri"/>
        </w:rPr>
        <w:t>s</w:t>
      </w:r>
      <w:r w:rsidR="00A34AA5" w:rsidRPr="00664FF3">
        <w:rPr>
          <w:rFonts w:ascii="Calibri" w:hAnsi="Calibri" w:cs="Calibri"/>
        </w:rPr>
        <w:t xml:space="preserve"> </w:t>
      </w:r>
      <w:r w:rsidR="009A6C85" w:rsidRPr="00664FF3">
        <w:rPr>
          <w:rFonts w:ascii="Calibri" w:hAnsi="Calibri" w:cs="Calibri"/>
        </w:rPr>
        <w:t>(starting salary of $82,000)</w:t>
      </w:r>
      <w:r w:rsidR="00A34AA5" w:rsidRPr="00664FF3">
        <w:rPr>
          <w:rFonts w:ascii="Calibri" w:hAnsi="Calibri" w:cs="Calibri"/>
        </w:rPr>
        <w:t xml:space="preserve"> and </w:t>
      </w:r>
      <w:r w:rsidR="009A6C85" w:rsidRPr="00664FF3">
        <w:rPr>
          <w:rFonts w:ascii="Calibri" w:hAnsi="Calibri" w:cs="Calibri"/>
        </w:rPr>
        <w:t xml:space="preserve">an </w:t>
      </w:r>
      <w:r w:rsidR="00A34AA5" w:rsidRPr="00664FF3">
        <w:rPr>
          <w:rFonts w:ascii="Calibri" w:hAnsi="Calibri" w:cs="Calibri"/>
        </w:rPr>
        <w:t xml:space="preserve">Assistant Vice President </w:t>
      </w:r>
      <w:r w:rsidR="00BB72FA" w:rsidRPr="00664FF3">
        <w:rPr>
          <w:rFonts w:ascii="Calibri" w:hAnsi="Calibri" w:cs="Calibri"/>
        </w:rPr>
        <w:t>(starting salary</w:t>
      </w:r>
      <w:r w:rsidR="00BD5F0F" w:rsidRPr="00664FF3">
        <w:rPr>
          <w:rFonts w:ascii="Calibri" w:hAnsi="Calibri" w:cs="Calibri"/>
        </w:rPr>
        <w:t xml:space="preserve"> of $98,000)</w:t>
      </w:r>
      <w:r w:rsidR="00A34AA5" w:rsidRPr="00664FF3">
        <w:rPr>
          <w:rFonts w:ascii="Calibri" w:hAnsi="Calibri" w:cs="Calibri"/>
        </w:rPr>
        <w:t>.</w:t>
      </w:r>
      <w:r w:rsidR="00B11352" w:rsidRPr="00664FF3">
        <w:rPr>
          <w:rFonts w:ascii="Calibri" w:hAnsi="Calibri" w:cs="Calibri"/>
        </w:rPr>
        <w:t xml:space="preserve"> </w:t>
      </w:r>
      <w:r w:rsidR="00624317" w:rsidRPr="00664FF3">
        <w:rPr>
          <w:rFonts w:ascii="Calibri" w:hAnsi="Calibri" w:cs="Calibri"/>
        </w:rPr>
        <w:t xml:space="preserve">These positions will be primarily responsible for project management and coordination to facilitate procurement, permitting, project oversight during construction, coordinating with other NYC DOT, NYCEDC, and PANYNJ staff, and operator contract oversight and performance management. </w:t>
      </w:r>
      <w:r w:rsidR="00B11352" w:rsidRPr="00664FF3">
        <w:rPr>
          <w:rFonts w:ascii="Calibri" w:hAnsi="Calibri" w:cs="Calibri"/>
        </w:rPr>
        <w:t>A 3% yearly salary increase</w:t>
      </w:r>
      <w:r w:rsidR="00FC2280" w:rsidRPr="00664FF3">
        <w:rPr>
          <w:rFonts w:ascii="Calibri" w:hAnsi="Calibri" w:cs="Calibri"/>
        </w:rPr>
        <w:t>,</w:t>
      </w:r>
      <w:r w:rsidR="00BA554A" w:rsidRPr="00664FF3">
        <w:rPr>
          <w:rFonts w:ascii="Calibri" w:hAnsi="Calibri" w:cs="Calibri"/>
        </w:rPr>
        <w:t xml:space="preserve"> NYC 58.63% fringe benefits, and employee suppl</w:t>
      </w:r>
      <w:r w:rsidR="00CA3B76" w:rsidRPr="00664FF3">
        <w:rPr>
          <w:rFonts w:ascii="Calibri" w:hAnsi="Calibri" w:cs="Calibri"/>
        </w:rPr>
        <w:t>y costs</w:t>
      </w:r>
      <w:r w:rsidR="00BA554A" w:rsidRPr="00664FF3">
        <w:rPr>
          <w:rFonts w:ascii="Calibri" w:hAnsi="Calibri" w:cs="Calibri"/>
        </w:rPr>
        <w:t xml:space="preserve"> are also included in </w:t>
      </w:r>
      <w:r w:rsidR="00CA3B76" w:rsidRPr="00664FF3">
        <w:rPr>
          <w:rFonts w:ascii="Calibri" w:hAnsi="Calibri" w:cs="Calibri"/>
        </w:rPr>
        <w:t>NYCEDC’s subaward</w:t>
      </w:r>
      <w:r w:rsidR="006A7779" w:rsidRPr="00664FF3">
        <w:rPr>
          <w:rFonts w:ascii="Calibri" w:hAnsi="Calibri" w:cs="Calibri"/>
        </w:rPr>
        <w:t xml:space="preserve"> amount</w:t>
      </w:r>
      <w:r w:rsidR="004F5EC1" w:rsidRPr="00664FF3">
        <w:rPr>
          <w:rFonts w:ascii="Calibri" w:hAnsi="Calibri" w:cs="Calibri"/>
        </w:rPr>
        <w:t xml:space="preserve">, consistent with the </w:t>
      </w:r>
      <w:r w:rsidR="00FF2BD6" w:rsidRPr="00664FF3">
        <w:rPr>
          <w:rFonts w:ascii="Calibri" w:hAnsi="Calibri" w:cs="Calibri"/>
        </w:rPr>
        <w:t>breakdowns shown in the first section of this narrative</w:t>
      </w:r>
      <w:r w:rsidR="00CA3B76" w:rsidRPr="00664FF3">
        <w:rPr>
          <w:rFonts w:ascii="Calibri" w:hAnsi="Calibri" w:cs="Calibri"/>
        </w:rPr>
        <w:t>.</w:t>
      </w:r>
    </w:p>
    <w:p w14:paraId="42AB266D" w14:textId="4154AA26" w:rsidR="008D2E9F" w:rsidRPr="00664FF3" w:rsidRDefault="006F1538" w:rsidP="00DF2786">
      <w:pPr>
        <w:spacing w:before="80"/>
        <w:jc w:val="both"/>
        <w:rPr>
          <w:rFonts w:ascii="Calibri" w:hAnsi="Calibri" w:cs="Calibri"/>
        </w:rPr>
      </w:pPr>
      <w:r w:rsidRPr="00664FF3">
        <w:rPr>
          <w:rFonts w:ascii="Calibri" w:hAnsi="Calibri" w:cs="Calibri"/>
        </w:rPr>
        <w:t>NYCEDC’s requested subaward includes costs for</w:t>
      </w:r>
      <w:r w:rsidR="005A596F" w:rsidRPr="00664FF3">
        <w:rPr>
          <w:rFonts w:ascii="Calibri" w:hAnsi="Calibri" w:cs="Calibri"/>
        </w:rPr>
        <w:t xml:space="preserve"> </w:t>
      </w:r>
      <w:r w:rsidR="003D7484" w:rsidRPr="00664FF3">
        <w:rPr>
          <w:rFonts w:ascii="Calibri" w:hAnsi="Calibri" w:cs="Calibri"/>
        </w:rPr>
        <w:t>infrastructure upgrades</w:t>
      </w:r>
      <w:r w:rsidR="00AF2BEC" w:rsidRPr="00664FF3">
        <w:rPr>
          <w:rFonts w:ascii="Calibri" w:hAnsi="Calibri" w:cs="Calibri"/>
        </w:rPr>
        <w:t xml:space="preserve"> at</w:t>
      </w:r>
      <w:r w:rsidR="008D2E9F" w:rsidRPr="00664FF3">
        <w:rPr>
          <w:rFonts w:ascii="Calibri" w:hAnsi="Calibri" w:cs="Calibri"/>
        </w:rPr>
        <w:t xml:space="preserve"> sites selected as Blue Highways locations</w:t>
      </w:r>
      <w:r w:rsidR="00AF2BEC" w:rsidRPr="00664FF3">
        <w:rPr>
          <w:rFonts w:ascii="Calibri" w:hAnsi="Calibri" w:cs="Calibri"/>
        </w:rPr>
        <w:t xml:space="preserve">, and will be </w:t>
      </w:r>
      <w:r w:rsidR="008D2E9F" w:rsidRPr="00664FF3">
        <w:rPr>
          <w:rFonts w:ascii="Calibri" w:hAnsi="Calibri" w:cs="Calibri"/>
        </w:rPr>
        <w:t>allocated as follows:</w:t>
      </w:r>
    </w:p>
    <w:p w14:paraId="3AEDEE60" w14:textId="77777777" w:rsidR="008D2E9F" w:rsidRPr="00664FF3" w:rsidRDefault="008D2E9F" w:rsidP="00DF2786">
      <w:pPr>
        <w:pStyle w:val="ListParagraph"/>
        <w:numPr>
          <w:ilvl w:val="0"/>
          <w:numId w:val="3"/>
        </w:numPr>
        <w:spacing w:before="80"/>
        <w:jc w:val="both"/>
        <w:rPr>
          <w:rFonts w:ascii="Calibri" w:hAnsi="Calibri" w:cs="Calibri"/>
        </w:rPr>
      </w:pPr>
      <w:r w:rsidRPr="00664FF3">
        <w:rPr>
          <w:rFonts w:ascii="Calibri" w:hAnsi="Calibri" w:cs="Calibri"/>
        </w:rPr>
        <w:t>Port Upgrades at Pier 92 - $200,000,000</w:t>
      </w:r>
    </w:p>
    <w:p w14:paraId="54DEBD5A" w14:textId="77777777" w:rsidR="008D2E9F" w:rsidRPr="00664FF3" w:rsidRDefault="008D2E9F" w:rsidP="00DF2786">
      <w:pPr>
        <w:pStyle w:val="ListParagraph"/>
        <w:numPr>
          <w:ilvl w:val="0"/>
          <w:numId w:val="3"/>
        </w:numPr>
        <w:spacing w:before="80"/>
        <w:jc w:val="both"/>
        <w:rPr>
          <w:rFonts w:ascii="Calibri" w:hAnsi="Calibri" w:cs="Calibri"/>
        </w:rPr>
      </w:pPr>
      <w:r w:rsidRPr="00664FF3">
        <w:rPr>
          <w:rFonts w:ascii="Calibri" w:hAnsi="Calibri" w:cs="Calibri"/>
        </w:rPr>
        <w:t>Port Upgrades at South Brooklyn Locations - $90,000,000</w:t>
      </w:r>
    </w:p>
    <w:p w14:paraId="001315CB" w14:textId="77777777" w:rsidR="008D2E9F" w:rsidRPr="00664FF3" w:rsidRDefault="008D2E9F" w:rsidP="00DF2786">
      <w:pPr>
        <w:pStyle w:val="ListParagraph"/>
        <w:numPr>
          <w:ilvl w:val="0"/>
          <w:numId w:val="3"/>
        </w:numPr>
        <w:spacing w:before="80"/>
        <w:jc w:val="both"/>
        <w:rPr>
          <w:rFonts w:ascii="Calibri" w:hAnsi="Calibri" w:cs="Calibri"/>
        </w:rPr>
      </w:pPr>
      <w:r w:rsidRPr="00664FF3">
        <w:rPr>
          <w:rFonts w:ascii="Calibri" w:hAnsi="Calibri" w:cs="Calibri"/>
        </w:rPr>
        <w:t>Port Upgrades at Midtown Manhattan Location - $5,000,000</w:t>
      </w:r>
    </w:p>
    <w:p w14:paraId="7737B607" w14:textId="77777777" w:rsidR="008D2E9F" w:rsidRPr="00664FF3" w:rsidRDefault="008D2E9F" w:rsidP="00DF2786">
      <w:pPr>
        <w:pStyle w:val="ListParagraph"/>
        <w:numPr>
          <w:ilvl w:val="0"/>
          <w:numId w:val="3"/>
        </w:numPr>
        <w:spacing w:before="80"/>
        <w:jc w:val="both"/>
        <w:rPr>
          <w:rFonts w:ascii="Calibri" w:hAnsi="Calibri" w:cs="Calibri"/>
        </w:rPr>
      </w:pPr>
      <w:r w:rsidRPr="00664FF3">
        <w:rPr>
          <w:rFonts w:ascii="Calibri" w:hAnsi="Calibri" w:cs="Calibri"/>
        </w:rPr>
        <w:t>Port Upgrades at Lower Manhattan Location - $5,000,000</w:t>
      </w:r>
    </w:p>
    <w:p w14:paraId="2F4F2DF8" w14:textId="3DA12E35" w:rsidR="008D2E9F" w:rsidRPr="00664FF3" w:rsidRDefault="008D2E9F" w:rsidP="00DF2786">
      <w:pPr>
        <w:spacing w:before="80"/>
        <w:rPr>
          <w:rFonts w:ascii="Calibri" w:hAnsi="Calibri" w:cs="Calibri"/>
        </w:rPr>
      </w:pPr>
      <w:r w:rsidRPr="00664FF3">
        <w:rPr>
          <w:rFonts w:ascii="Calibri" w:hAnsi="Calibri" w:cs="Calibri"/>
        </w:rPr>
        <w:t xml:space="preserve">Funds will be used to make infrastructure upgrades to enable Blue Highway site activation, which will include upgrades to existing landing platforms and barges, electrical upgrades, additional docking infrastructure, and electrical charging equipment. These costs include construction as well as contingency, general conditions, design, overhead and profit, and bond and insurance. It’s assumed that these costs account for inflation and for materials procured and fabricated in the U.S. to satisfy any applicable BABA requirements. </w:t>
      </w:r>
      <w:r w:rsidR="00491FEA" w:rsidRPr="00664FF3">
        <w:rPr>
          <w:rFonts w:ascii="Calibri" w:hAnsi="Calibri" w:cs="Calibri"/>
        </w:rPr>
        <w:t xml:space="preserve">Additionally, $85,000 is requested </w:t>
      </w:r>
      <w:r w:rsidR="00613D1D" w:rsidRPr="00664FF3">
        <w:rPr>
          <w:rFonts w:ascii="Calibri" w:hAnsi="Calibri" w:cs="Calibri"/>
        </w:rPr>
        <w:t>for</w:t>
      </w:r>
      <w:r w:rsidR="00352768" w:rsidRPr="00664FF3">
        <w:rPr>
          <w:rFonts w:ascii="Calibri" w:hAnsi="Calibri" w:cs="Calibri"/>
        </w:rPr>
        <w:t xml:space="preserve"> any</w:t>
      </w:r>
      <w:r w:rsidR="00613D1D" w:rsidRPr="00664FF3">
        <w:rPr>
          <w:rFonts w:ascii="Calibri" w:hAnsi="Calibri" w:cs="Calibri"/>
        </w:rPr>
        <w:t xml:space="preserve"> environmental reviews and approvals required </w:t>
      </w:r>
      <w:r w:rsidR="00352768" w:rsidRPr="00664FF3">
        <w:rPr>
          <w:rFonts w:ascii="Calibri" w:hAnsi="Calibri" w:cs="Calibri"/>
        </w:rPr>
        <w:t>for c</w:t>
      </w:r>
      <w:r w:rsidR="00593654" w:rsidRPr="00664FF3">
        <w:rPr>
          <w:rFonts w:ascii="Calibri" w:hAnsi="Calibri" w:cs="Calibri"/>
        </w:rPr>
        <w:t>ompliance with applicable regulations.</w:t>
      </w:r>
    </w:p>
    <w:p w14:paraId="40FB58CF" w14:textId="7C615483" w:rsidR="00577528" w:rsidRPr="00664FF3" w:rsidRDefault="00BB3557" w:rsidP="00DF2786">
      <w:pPr>
        <w:spacing w:before="80"/>
        <w:rPr>
          <w:rFonts w:ascii="Calibri" w:hAnsi="Calibri" w:cs="Calibri"/>
        </w:rPr>
      </w:pPr>
      <w:r w:rsidRPr="00664FF3">
        <w:rPr>
          <w:rFonts w:ascii="Calibri" w:hAnsi="Calibri" w:cs="Calibri"/>
        </w:rPr>
        <w:t>PANYNJ</w:t>
      </w:r>
      <w:r w:rsidR="00BD100A" w:rsidRPr="00664FF3">
        <w:rPr>
          <w:rFonts w:ascii="Calibri" w:hAnsi="Calibri" w:cs="Calibri"/>
        </w:rPr>
        <w:t xml:space="preserve"> will receive a</w:t>
      </w:r>
      <w:r w:rsidRPr="00664FF3">
        <w:rPr>
          <w:rFonts w:ascii="Calibri" w:hAnsi="Calibri" w:cs="Calibri"/>
        </w:rPr>
        <w:t xml:space="preserve"> </w:t>
      </w:r>
      <w:r w:rsidR="00577528" w:rsidRPr="00664FF3">
        <w:rPr>
          <w:rFonts w:ascii="Calibri" w:hAnsi="Calibri" w:cs="Calibri"/>
        </w:rPr>
        <w:t xml:space="preserve">subaward </w:t>
      </w:r>
      <w:r w:rsidRPr="00664FF3">
        <w:rPr>
          <w:rFonts w:ascii="Calibri" w:hAnsi="Calibri" w:cs="Calibri"/>
        </w:rPr>
        <w:t xml:space="preserve">for </w:t>
      </w:r>
      <w:r w:rsidR="00577528" w:rsidRPr="00664FF3">
        <w:rPr>
          <w:rFonts w:ascii="Calibri" w:hAnsi="Calibri" w:cs="Calibri"/>
        </w:rPr>
        <w:t>electrification</w:t>
      </w:r>
      <w:r w:rsidR="00BD100A" w:rsidRPr="00664FF3">
        <w:rPr>
          <w:rFonts w:ascii="Calibri" w:hAnsi="Calibri" w:cs="Calibri"/>
        </w:rPr>
        <w:t xml:space="preserve"> upgrades at</w:t>
      </w:r>
      <w:r w:rsidR="00577528" w:rsidRPr="00664FF3">
        <w:rPr>
          <w:rFonts w:ascii="Calibri" w:hAnsi="Calibri" w:cs="Calibri"/>
        </w:rPr>
        <w:t xml:space="preserve"> port facilities. $40,000,000 is requested to fund Cargo Handling Equipment</w:t>
      </w:r>
      <w:r w:rsidR="00336D4B" w:rsidRPr="00664FF3">
        <w:rPr>
          <w:rFonts w:ascii="Calibri" w:hAnsi="Calibri" w:cs="Calibri"/>
        </w:rPr>
        <w:t xml:space="preserve"> </w:t>
      </w:r>
      <w:r w:rsidR="00577528" w:rsidRPr="00664FF3">
        <w:rPr>
          <w:rFonts w:ascii="Calibri" w:hAnsi="Calibri" w:cs="Calibri"/>
        </w:rPr>
        <w:t>(CHE)</w:t>
      </w:r>
      <w:r w:rsidR="001B53FD" w:rsidRPr="00664FF3">
        <w:rPr>
          <w:rFonts w:ascii="Calibri" w:hAnsi="Calibri" w:cs="Calibri"/>
        </w:rPr>
        <w:t xml:space="preserve"> </w:t>
      </w:r>
      <w:r w:rsidR="00577528" w:rsidRPr="00664FF3">
        <w:rPr>
          <w:rFonts w:ascii="Calibri" w:hAnsi="Calibri" w:cs="Calibri"/>
        </w:rPr>
        <w:t>Infrastructure upgrades by private sector terminal operators at port facilities, administered by PANYNJ. Funds will be disbursed through a competitively awarded subsidy/rebate program to port facility tenants for electrical infrastructure upgrades that will support CHE electrification. Funds will be disbursed upon completion and validation of eligible project activities. A conceptual project cost was developed on similar projects at the Port. The conceptual project includes 1/4 mile of 13.2 kV electrical service extensions (71% overhead, 29% underground), switchgear and metering, installation of 48 DC fast chargers, and design features consistent with PANYNJ’s Climate Resilience Design Guidelines. A 90% subsidy for this work in 2023 dollars would total about $40,000,000.</w:t>
      </w:r>
    </w:p>
    <w:p w14:paraId="058ADDDC" w14:textId="2DDACD88" w:rsidR="00577528" w:rsidRPr="00664FF3" w:rsidRDefault="00581E62" w:rsidP="00DF2786">
      <w:pPr>
        <w:spacing w:before="80"/>
        <w:rPr>
          <w:rFonts w:ascii="Calibri" w:hAnsi="Calibri" w:cs="Calibri"/>
        </w:rPr>
      </w:pPr>
      <w:r w:rsidRPr="00664FF3">
        <w:rPr>
          <w:rFonts w:ascii="Calibri" w:hAnsi="Calibri" w:cs="Calibri"/>
        </w:rPr>
        <w:t>PANYNJ will also receive a sub-award for Electrification Measures at NYNJ Rail Facilities</w:t>
      </w:r>
      <w:r w:rsidR="00EC3759" w:rsidRPr="00664FF3">
        <w:rPr>
          <w:rFonts w:ascii="Calibri" w:hAnsi="Calibri" w:cs="Calibri"/>
        </w:rPr>
        <w:t>:</w:t>
      </w:r>
      <w:r w:rsidRPr="00664FF3">
        <w:rPr>
          <w:rFonts w:ascii="Calibri" w:hAnsi="Calibri" w:cs="Calibri"/>
        </w:rPr>
        <w:t xml:space="preserve"> </w:t>
      </w:r>
      <w:r w:rsidR="00577528" w:rsidRPr="00664FF3">
        <w:rPr>
          <w:rFonts w:ascii="Calibri" w:hAnsi="Calibri" w:cs="Calibri"/>
        </w:rPr>
        <w:t>$26,700,000 is requested to fund</w:t>
      </w:r>
      <w:r w:rsidR="00B06FE4" w:rsidRPr="00664FF3">
        <w:rPr>
          <w:rFonts w:ascii="Calibri" w:hAnsi="Calibri" w:cs="Calibri"/>
        </w:rPr>
        <w:t xml:space="preserve"> this measure. These rail facilities service</w:t>
      </w:r>
      <w:r w:rsidR="00577528" w:rsidRPr="00664FF3">
        <w:rPr>
          <w:rFonts w:ascii="Calibri" w:hAnsi="Calibri" w:cs="Calibri"/>
        </w:rPr>
        <w:t xml:space="preserve"> an interstate rail float bridge operation that connects the mainland rail network to Brooklyn and Long Island. $250,000 will be used to purchase two electric forklifts, $9,000,000 will be used to retrofit three switcher locomotives, and $17,450,000 will be used to upgrade the associated electrical infrastructure and purchase charging equipment to support the operation of the newly purchased electric forklifts and locomotives. </w:t>
      </w:r>
    </w:p>
    <w:p w14:paraId="2870D8E0" w14:textId="10997620" w:rsidR="00B44319" w:rsidRPr="000F3ABE" w:rsidRDefault="00045897" w:rsidP="00DF2786">
      <w:pPr>
        <w:spacing w:before="80"/>
        <w:rPr>
          <w:rFonts w:ascii="Calibri" w:hAnsi="Calibri" w:cs="Calibri"/>
        </w:rPr>
      </w:pPr>
      <w:r w:rsidRPr="00664FF3">
        <w:rPr>
          <w:rFonts w:ascii="Calibri" w:hAnsi="Calibri" w:cs="Calibri"/>
        </w:rPr>
        <w:t xml:space="preserve">The subaward will also include </w:t>
      </w:r>
      <w:r w:rsidR="006E78E7" w:rsidRPr="00664FF3">
        <w:rPr>
          <w:rFonts w:ascii="Calibri" w:hAnsi="Calibri" w:cs="Calibri"/>
        </w:rPr>
        <w:t>$100,000</w:t>
      </w:r>
      <w:r w:rsidRPr="00664FF3">
        <w:rPr>
          <w:rFonts w:ascii="Calibri" w:hAnsi="Calibri" w:cs="Calibri"/>
        </w:rPr>
        <w:t xml:space="preserve"> for community engagement. </w:t>
      </w:r>
      <w:r w:rsidR="00B44319" w:rsidRPr="00664FF3">
        <w:rPr>
          <w:rFonts w:ascii="Calibri" w:hAnsi="Calibri" w:cs="Calibri"/>
        </w:rPr>
        <w:t xml:space="preserve">Community engagement costs include expenses related to building local partnerships, soliciting feedback from the surrounding </w:t>
      </w:r>
      <w:r w:rsidR="00B44319" w:rsidRPr="000F3ABE">
        <w:rPr>
          <w:rFonts w:ascii="Calibri" w:hAnsi="Calibri" w:cs="Calibri"/>
        </w:rPr>
        <w:t>communities, and ensuring successful project implementation.</w:t>
      </w:r>
    </w:p>
    <w:p w14:paraId="7C1CE930" w14:textId="2BCBF14E"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Indirect Costs</w:t>
      </w:r>
      <w:r w:rsidR="00B058D5" w:rsidRPr="000F3ABE">
        <w:rPr>
          <w:rFonts w:ascii="Calibri" w:hAnsi="Calibri" w:cs="Calibri"/>
          <w:b/>
          <w:bCs/>
          <w:color w:val="auto"/>
          <w:sz w:val="22"/>
          <w:szCs w:val="22"/>
        </w:rPr>
        <w:t>:</w:t>
      </w:r>
      <w:r w:rsidR="00B058D5" w:rsidRPr="000F3ABE">
        <w:rPr>
          <w:rFonts w:ascii="Calibri" w:hAnsi="Calibri" w:cs="Calibri"/>
          <w:color w:val="auto"/>
          <w:sz w:val="22"/>
          <w:szCs w:val="22"/>
        </w:rPr>
        <w:t xml:space="preserve"> None</w:t>
      </w:r>
    </w:p>
    <w:p w14:paraId="67202285" w14:textId="4D8E05D8" w:rsidR="00B058D5" w:rsidRPr="00664FF3" w:rsidRDefault="00B058D5" w:rsidP="00DF2786">
      <w:pPr>
        <w:spacing w:before="80"/>
        <w:jc w:val="both"/>
        <w:rPr>
          <w:rFonts w:ascii="Calibri" w:hAnsi="Calibri" w:cs="Calibri"/>
        </w:rPr>
      </w:pPr>
      <w:r w:rsidRPr="00664FF3">
        <w:rPr>
          <w:rFonts w:ascii="Calibri" w:hAnsi="Calibri" w:cs="Calibri"/>
        </w:rPr>
        <w:t>Indirect Costs are not requested for Blue Highways.</w:t>
      </w:r>
    </w:p>
    <w:p w14:paraId="1965FF17" w14:textId="77777777" w:rsidR="009A39B0" w:rsidRPr="00664FF3" w:rsidRDefault="009A39B0" w:rsidP="00DF2786">
      <w:pPr>
        <w:spacing w:before="80"/>
        <w:jc w:val="both"/>
        <w:rPr>
          <w:rFonts w:ascii="Calibri" w:hAnsi="Calibri" w:cs="Calibri"/>
        </w:rPr>
      </w:pPr>
    </w:p>
    <w:p w14:paraId="558F7331" w14:textId="4F7C6F3A" w:rsidR="003A1752" w:rsidRPr="00664FF3" w:rsidRDefault="006F361A" w:rsidP="00DF2786">
      <w:pPr>
        <w:pStyle w:val="Heading1"/>
        <w:spacing w:before="0" w:after="0"/>
        <w:jc w:val="both"/>
        <w:rPr>
          <w:rFonts w:ascii="Calibri" w:hAnsi="Calibri" w:cs="Calibri"/>
          <w:b/>
          <w:color w:val="auto"/>
          <w:sz w:val="20"/>
          <w:szCs w:val="20"/>
        </w:rPr>
      </w:pPr>
      <w:r w:rsidRPr="00664FF3">
        <w:rPr>
          <w:rFonts w:ascii="Calibri" w:hAnsi="Calibri" w:cs="Calibri"/>
          <w:b/>
          <w:color w:val="auto"/>
          <w:sz w:val="20"/>
          <w:szCs w:val="20"/>
        </w:rPr>
        <w:t xml:space="preserve">Truck Electrification </w:t>
      </w:r>
      <w:r w:rsidR="00FA2B7D" w:rsidRPr="00664FF3">
        <w:rPr>
          <w:rFonts w:ascii="Calibri" w:hAnsi="Calibri" w:cs="Calibri"/>
          <w:b/>
          <w:color w:val="auto"/>
          <w:sz w:val="20"/>
          <w:szCs w:val="20"/>
        </w:rPr>
        <w:t>a</w:t>
      </w:r>
      <w:r w:rsidRPr="00664FF3">
        <w:rPr>
          <w:rFonts w:ascii="Calibri" w:hAnsi="Calibri" w:cs="Calibri"/>
          <w:b/>
          <w:color w:val="auto"/>
          <w:sz w:val="20"/>
          <w:szCs w:val="20"/>
        </w:rPr>
        <w:t>nd Parking</w:t>
      </w:r>
    </w:p>
    <w:p w14:paraId="0E8CA939" w14:textId="68396491" w:rsidR="00B527B2" w:rsidRPr="00664FF3" w:rsidRDefault="00B527B2" w:rsidP="00DF2786">
      <w:pPr>
        <w:autoSpaceDE w:val="0"/>
        <w:autoSpaceDN w:val="0"/>
        <w:adjustRightInd w:val="0"/>
        <w:snapToGrid w:val="0"/>
        <w:spacing w:before="0"/>
        <w:jc w:val="both"/>
        <w:rPr>
          <w:rFonts w:ascii="Calibri" w:eastAsia="Times New Roman" w:hAnsi="Calibri" w:cs="Calibri"/>
          <w:kern w:val="0"/>
          <w:lang w:val="x-none"/>
        </w:rPr>
      </w:pPr>
      <w:r w:rsidRPr="00664FF3">
        <w:rPr>
          <w:rFonts w:ascii="Calibri" w:eastAsia="Times New Roman" w:hAnsi="Calibri" w:cs="Calibri"/>
          <w:kern w:val="0"/>
          <w:lang w:val="x-none"/>
        </w:rPr>
        <w:t>$</w:t>
      </w:r>
      <w:r w:rsidR="00C74050" w:rsidRPr="00664FF3">
        <w:rPr>
          <w:rFonts w:ascii="Calibri" w:eastAsia="Times New Roman" w:hAnsi="Calibri" w:cs="Calibri"/>
          <w:kern w:val="0"/>
          <w:lang w:val="x-none"/>
        </w:rPr>
        <w:t>8</w:t>
      </w:r>
      <w:r w:rsidR="00EF5671" w:rsidRPr="00664FF3">
        <w:rPr>
          <w:rFonts w:ascii="Calibri" w:eastAsia="Times New Roman" w:hAnsi="Calibri" w:cs="Calibri"/>
          <w:kern w:val="0"/>
          <w:lang w:val="x-none"/>
        </w:rPr>
        <w:t>4,</w:t>
      </w:r>
      <w:r w:rsidR="00473207" w:rsidRPr="00664FF3">
        <w:rPr>
          <w:rFonts w:ascii="Calibri" w:eastAsia="Times New Roman" w:hAnsi="Calibri" w:cs="Calibri"/>
          <w:kern w:val="0"/>
        </w:rPr>
        <w:t>7</w:t>
      </w:r>
      <w:r w:rsidR="00EF5671" w:rsidRPr="00664FF3">
        <w:rPr>
          <w:rFonts w:ascii="Calibri" w:eastAsia="Times New Roman" w:hAnsi="Calibri" w:cs="Calibri"/>
          <w:kern w:val="0"/>
          <w:lang w:val="x-none"/>
        </w:rPr>
        <w:t>15</w:t>
      </w:r>
      <w:r w:rsidR="00B0363B" w:rsidRPr="00664FF3">
        <w:rPr>
          <w:rFonts w:ascii="Calibri" w:eastAsia="Times New Roman" w:hAnsi="Calibri" w:cs="Calibri"/>
          <w:kern w:val="0"/>
          <w:lang w:val="x-none"/>
        </w:rPr>
        <w:t>,</w:t>
      </w:r>
      <w:r w:rsidR="00837784" w:rsidRPr="00664FF3">
        <w:rPr>
          <w:rFonts w:ascii="Calibri" w:eastAsia="Times New Roman" w:hAnsi="Calibri" w:cs="Calibri"/>
          <w:kern w:val="0"/>
          <w:lang w:val="x-none"/>
        </w:rPr>
        <w:t>179</w:t>
      </w:r>
      <w:r w:rsidRPr="00664FF3">
        <w:rPr>
          <w:rFonts w:ascii="Calibri" w:eastAsia="Times New Roman" w:hAnsi="Calibri" w:cs="Calibri"/>
          <w:kern w:val="0"/>
          <w:lang w:val="x-none"/>
        </w:rPr>
        <w:t xml:space="preserve"> is requested for the design</w:t>
      </w:r>
      <w:r w:rsidR="00443780" w:rsidRPr="00664FF3">
        <w:rPr>
          <w:rFonts w:ascii="Calibri" w:eastAsia="Times New Roman" w:hAnsi="Calibri" w:cs="Calibri"/>
          <w:kern w:val="0"/>
          <w:lang w:val="x-none"/>
        </w:rPr>
        <w:t xml:space="preserve">, construction, and implementation </w:t>
      </w:r>
      <w:r w:rsidRPr="00664FF3">
        <w:rPr>
          <w:rFonts w:ascii="Calibri" w:eastAsia="Times New Roman" w:hAnsi="Calibri" w:cs="Calibri"/>
          <w:kern w:val="0"/>
          <w:lang w:val="x-none"/>
        </w:rPr>
        <w:t xml:space="preserve">of the </w:t>
      </w:r>
      <w:r w:rsidR="00443780" w:rsidRPr="00664FF3">
        <w:rPr>
          <w:rFonts w:ascii="Calibri" w:eastAsia="Times New Roman" w:hAnsi="Calibri" w:cs="Calibri"/>
          <w:kern w:val="0"/>
          <w:lang w:val="x-none"/>
        </w:rPr>
        <w:t>Truck Electrification and Parking</w:t>
      </w:r>
      <w:r w:rsidR="00B15B8D" w:rsidRPr="00664FF3">
        <w:rPr>
          <w:rFonts w:ascii="Calibri" w:eastAsia="Times New Roman" w:hAnsi="Calibri" w:cs="Calibri"/>
          <w:kern w:val="0"/>
          <w:lang w:val="x-none"/>
        </w:rPr>
        <w:t xml:space="preserve"> project.</w:t>
      </w:r>
    </w:p>
    <w:p w14:paraId="38E8D2B9" w14:textId="7A41FA64"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Personnel</w:t>
      </w:r>
      <w:r w:rsidR="00224F3B" w:rsidRPr="000F3ABE">
        <w:rPr>
          <w:rFonts w:ascii="Calibri" w:hAnsi="Calibri" w:cs="Calibri"/>
          <w:b/>
          <w:bCs/>
          <w:color w:val="auto"/>
          <w:sz w:val="22"/>
          <w:szCs w:val="22"/>
        </w:rPr>
        <w:t>:</w:t>
      </w:r>
      <w:r w:rsidR="00224F3B" w:rsidRPr="000F3ABE">
        <w:rPr>
          <w:rFonts w:ascii="Calibri" w:hAnsi="Calibri" w:cs="Calibri"/>
          <w:color w:val="auto"/>
          <w:sz w:val="22"/>
          <w:szCs w:val="22"/>
        </w:rPr>
        <w:t xml:space="preserve"> </w:t>
      </w:r>
      <w:r w:rsidR="00C957D1" w:rsidRPr="000F3ABE">
        <w:rPr>
          <w:rFonts w:ascii="Calibri" w:hAnsi="Calibri" w:cs="Calibri"/>
          <w:color w:val="auto"/>
          <w:sz w:val="22"/>
          <w:szCs w:val="22"/>
        </w:rPr>
        <w:t>$</w:t>
      </w:r>
      <w:r w:rsidR="00BA01D3" w:rsidRPr="000F3ABE">
        <w:rPr>
          <w:rFonts w:ascii="Calibri" w:hAnsi="Calibri" w:cs="Calibri"/>
          <w:color w:val="auto"/>
          <w:sz w:val="22"/>
          <w:szCs w:val="22"/>
        </w:rPr>
        <w:t>1,289,663</w:t>
      </w:r>
    </w:p>
    <w:p w14:paraId="6BD29E35" w14:textId="1D37075C" w:rsidR="00DF1F97" w:rsidRPr="000F3ABE" w:rsidRDefault="0037540F" w:rsidP="00DF2786">
      <w:pPr>
        <w:spacing w:before="80"/>
        <w:rPr>
          <w:rFonts w:ascii="Calibri" w:hAnsi="Calibri" w:cs="Calibri"/>
        </w:rPr>
      </w:pPr>
      <w:r w:rsidRPr="000F3ABE">
        <w:rPr>
          <w:rFonts w:ascii="Calibri" w:hAnsi="Calibri" w:cs="Calibri"/>
        </w:rPr>
        <w:t xml:space="preserve">Funding is requested to create </w:t>
      </w:r>
      <w:r w:rsidR="00704E18" w:rsidRPr="000F3ABE">
        <w:rPr>
          <w:rFonts w:ascii="Calibri" w:hAnsi="Calibri" w:cs="Calibri"/>
        </w:rPr>
        <w:t>three</w:t>
      </w:r>
      <w:r w:rsidRPr="000F3ABE">
        <w:rPr>
          <w:rFonts w:ascii="Calibri" w:hAnsi="Calibri" w:cs="Calibri"/>
        </w:rPr>
        <w:t xml:space="preserve"> dedicated 100% FTE staff positions within </w:t>
      </w:r>
      <w:r w:rsidR="00EB01DF" w:rsidRPr="000F3ABE">
        <w:rPr>
          <w:rFonts w:ascii="Calibri" w:hAnsi="Calibri" w:cs="Calibri"/>
        </w:rPr>
        <w:t>NYC DOT</w:t>
      </w:r>
      <w:r w:rsidRPr="000F3ABE">
        <w:rPr>
          <w:rFonts w:ascii="Calibri" w:hAnsi="Calibri" w:cs="Calibri"/>
        </w:rPr>
        <w:t xml:space="preserve"> focused on managing and implementing the Truck Electrification and Parking part of the project</w:t>
      </w:r>
      <w:r w:rsidR="00BB0CB5" w:rsidRPr="000F3ABE">
        <w:rPr>
          <w:rFonts w:ascii="Calibri" w:hAnsi="Calibri" w:cs="Calibri"/>
        </w:rPr>
        <w:t xml:space="preserve">; one Project Manager and </w:t>
      </w:r>
      <w:r w:rsidR="00704E18" w:rsidRPr="000F3ABE">
        <w:rPr>
          <w:rFonts w:ascii="Calibri" w:hAnsi="Calibri" w:cs="Calibri"/>
        </w:rPr>
        <w:t>two Project Coordinators</w:t>
      </w:r>
      <w:r w:rsidRPr="000F3ABE">
        <w:rPr>
          <w:rFonts w:ascii="Calibri" w:hAnsi="Calibri" w:cs="Calibri"/>
        </w:rPr>
        <w:t xml:space="preserve">. </w:t>
      </w:r>
      <w:r w:rsidR="000A3118" w:rsidRPr="000F3ABE">
        <w:rPr>
          <w:rFonts w:ascii="Calibri" w:hAnsi="Calibri" w:cs="Calibri"/>
        </w:rPr>
        <w:t>B</w:t>
      </w:r>
      <w:r w:rsidRPr="000F3ABE">
        <w:rPr>
          <w:rFonts w:ascii="Calibri" w:hAnsi="Calibri" w:cs="Calibri"/>
        </w:rPr>
        <w:t xml:space="preserve">oth positions are </w:t>
      </w:r>
      <w:r w:rsidR="000A3118" w:rsidRPr="000F3ABE">
        <w:rPr>
          <w:rFonts w:ascii="Calibri" w:hAnsi="Calibri" w:cs="Calibri"/>
        </w:rPr>
        <w:t xml:space="preserve">currently </w:t>
      </w:r>
      <w:r w:rsidRPr="000F3ABE">
        <w:rPr>
          <w:rFonts w:ascii="Calibri" w:hAnsi="Calibri" w:cs="Calibri"/>
        </w:rPr>
        <w:t>vacant and are anticipated to be filled upon execution of a grant agreement with EPA</w:t>
      </w:r>
      <w:r w:rsidR="000A3118" w:rsidRPr="000F3ABE">
        <w:rPr>
          <w:rFonts w:ascii="Calibri" w:hAnsi="Calibri" w:cs="Calibri"/>
        </w:rPr>
        <w:t xml:space="preserve">. </w:t>
      </w:r>
      <w:r w:rsidR="00BB0CB5" w:rsidRPr="000F3ABE">
        <w:rPr>
          <w:rFonts w:ascii="Calibri" w:hAnsi="Calibri" w:cs="Calibri"/>
        </w:rPr>
        <w:t>Please refer to the Cost Details section for a breakdown of personnel salaries.</w:t>
      </w:r>
    </w:p>
    <w:p w14:paraId="42250BF3" w14:textId="5D7AA968" w:rsidR="00C61377" w:rsidRPr="000F3ABE" w:rsidRDefault="0037540F" w:rsidP="00DF2786">
      <w:pPr>
        <w:spacing w:before="80"/>
        <w:rPr>
          <w:rFonts w:ascii="Calibri" w:hAnsi="Calibri" w:cs="Calibri"/>
        </w:rPr>
      </w:pPr>
      <w:r w:rsidRPr="000F3ABE">
        <w:rPr>
          <w:rFonts w:ascii="Calibri" w:hAnsi="Calibri" w:cs="Calibri"/>
        </w:rPr>
        <w:t xml:space="preserve">These positions will be primarily responsible for the overseeing the design process, managing consultants, design professionals, and contractors during the construction of the Truck Electrification and Parking locations, tracking progress, ensuring reporting requirements for the grant are met, coordinating with other </w:t>
      </w:r>
      <w:r w:rsidR="00EB01DF" w:rsidRPr="000F3ABE">
        <w:rPr>
          <w:rFonts w:ascii="Calibri" w:hAnsi="Calibri" w:cs="Calibri"/>
        </w:rPr>
        <w:t>NYC DOT</w:t>
      </w:r>
      <w:r w:rsidRPr="000F3ABE">
        <w:rPr>
          <w:rFonts w:ascii="Calibri" w:hAnsi="Calibri" w:cs="Calibri"/>
        </w:rPr>
        <w:t xml:space="preserve">, NYCEDC, and PANYNJ staff, and coordinating ongoing operations and maintenance efforts that the operation of the Truck Electrification and Parking locations will require. </w:t>
      </w:r>
    </w:p>
    <w:p w14:paraId="56E8C8F7" w14:textId="32FC7017" w:rsidR="000C7C39" w:rsidRPr="000F3ABE" w:rsidRDefault="000C7C39" w:rsidP="00DF2786">
      <w:pPr>
        <w:pStyle w:val="Heading2"/>
        <w:tabs>
          <w:tab w:val="left" w:pos="4035"/>
        </w:tabs>
        <w:spacing w:before="80" w:after="0"/>
        <w:jc w:val="both"/>
        <w:rPr>
          <w:rFonts w:ascii="Calibri" w:hAnsi="Calibri" w:cs="Calibri"/>
          <w:color w:val="auto"/>
          <w:sz w:val="22"/>
          <w:szCs w:val="22"/>
        </w:rPr>
      </w:pPr>
      <w:r w:rsidRPr="000F3ABE">
        <w:rPr>
          <w:rFonts w:ascii="Calibri" w:hAnsi="Calibri" w:cs="Calibri"/>
          <w:b/>
          <w:bCs/>
          <w:color w:val="auto"/>
          <w:sz w:val="22"/>
          <w:szCs w:val="22"/>
        </w:rPr>
        <w:t>Fringe Benefits</w:t>
      </w:r>
      <w:r w:rsidR="00C957D1" w:rsidRPr="000F3ABE">
        <w:rPr>
          <w:rFonts w:ascii="Calibri" w:hAnsi="Calibri" w:cs="Calibri"/>
          <w:b/>
          <w:bCs/>
          <w:color w:val="auto"/>
          <w:sz w:val="22"/>
          <w:szCs w:val="22"/>
        </w:rPr>
        <w:t>:</w:t>
      </w:r>
      <w:r w:rsidR="00C957D1" w:rsidRPr="000F3ABE">
        <w:rPr>
          <w:rFonts w:ascii="Calibri" w:hAnsi="Calibri" w:cs="Calibri"/>
          <w:color w:val="auto"/>
          <w:sz w:val="22"/>
          <w:szCs w:val="22"/>
        </w:rPr>
        <w:t xml:space="preserve"> $</w:t>
      </w:r>
      <w:r w:rsidR="00F3013D" w:rsidRPr="000F3ABE">
        <w:rPr>
          <w:rFonts w:ascii="Calibri" w:hAnsi="Calibri" w:cs="Calibri"/>
          <w:color w:val="auto"/>
          <w:sz w:val="22"/>
          <w:szCs w:val="22"/>
        </w:rPr>
        <w:t>756,130</w:t>
      </w:r>
    </w:p>
    <w:p w14:paraId="60251416" w14:textId="77777777" w:rsidR="00017623" w:rsidRPr="000F3ABE" w:rsidRDefault="00017623" w:rsidP="00DF2786">
      <w:pPr>
        <w:autoSpaceDE w:val="0"/>
        <w:autoSpaceDN w:val="0"/>
        <w:adjustRightInd w:val="0"/>
        <w:snapToGrid w:val="0"/>
        <w:spacing w:before="80"/>
        <w:rPr>
          <w:rFonts w:ascii="Calibri" w:eastAsia="Times New Roman" w:hAnsi="Calibri" w:cs="Calibri"/>
          <w:kern w:val="0"/>
          <w:lang w:val="x-none"/>
        </w:rPr>
      </w:pPr>
      <w:r w:rsidRPr="000F3ABE">
        <w:rPr>
          <w:rFonts w:ascii="Calibri" w:eastAsia="Times New Roman" w:hAnsi="Calibri" w:cs="Calibri"/>
          <w:kern w:val="0"/>
          <w:lang w:val="x-none"/>
        </w:rPr>
        <w:t>Fringe benefits funding is requested for the personnel listed above. Please refer to the Cost Details section for a breakdown of how fringe benefits are calculated.</w:t>
      </w:r>
    </w:p>
    <w:p w14:paraId="3B7289B1" w14:textId="59B1C006"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Travel</w:t>
      </w:r>
      <w:r w:rsidR="000414AC" w:rsidRPr="000F3ABE">
        <w:rPr>
          <w:rFonts w:ascii="Calibri" w:hAnsi="Calibri" w:cs="Calibri"/>
          <w:b/>
          <w:bCs/>
          <w:color w:val="auto"/>
          <w:sz w:val="22"/>
          <w:szCs w:val="22"/>
        </w:rPr>
        <w:t>:</w:t>
      </w:r>
      <w:r w:rsidR="000414AC" w:rsidRPr="000F3ABE">
        <w:rPr>
          <w:rFonts w:ascii="Calibri" w:hAnsi="Calibri" w:cs="Calibri"/>
          <w:color w:val="auto"/>
          <w:sz w:val="22"/>
          <w:szCs w:val="22"/>
        </w:rPr>
        <w:t xml:space="preserve"> None</w:t>
      </w:r>
    </w:p>
    <w:p w14:paraId="6471083B" w14:textId="38486363" w:rsidR="000414AC" w:rsidRPr="000F3ABE" w:rsidRDefault="000414AC" w:rsidP="00DF2786">
      <w:pPr>
        <w:spacing w:before="80"/>
        <w:jc w:val="both"/>
        <w:rPr>
          <w:rFonts w:ascii="Calibri" w:hAnsi="Calibri" w:cs="Calibri"/>
        </w:rPr>
      </w:pPr>
      <w:r w:rsidRPr="000F3ABE">
        <w:rPr>
          <w:rFonts w:ascii="Calibri" w:hAnsi="Calibri" w:cs="Calibri"/>
        </w:rPr>
        <w:t>Travel costs are not requested for Truck Electrification and Parking.</w:t>
      </w:r>
    </w:p>
    <w:p w14:paraId="34191C99" w14:textId="06DC41F5"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Equipment</w:t>
      </w:r>
      <w:r w:rsidR="007E0D4B" w:rsidRPr="000F3ABE">
        <w:rPr>
          <w:rFonts w:ascii="Calibri" w:hAnsi="Calibri" w:cs="Calibri"/>
          <w:b/>
          <w:bCs/>
          <w:color w:val="auto"/>
          <w:sz w:val="22"/>
          <w:szCs w:val="22"/>
        </w:rPr>
        <w:t xml:space="preserve">: </w:t>
      </w:r>
      <w:r w:rsidR="00F3013D" w:rsidRPr="000F3ABE">
        <w:rPr>
          <w:rFonts w:ascii="Calibri" w:hAnsi="Calibri" w:cs="Calibri"/>
          <w:color w:val="auto"/>
          <w:sz w:val="22"/>
          <w:szCs w:val="22"/>
        </w:rPr>
        <w:t>None</w:t>
      </w:r>
    </w:p>
    <w:p w14:paraId="2341CDF2" w14:textId="1CA9CE1C" w:rsidR="00F3013D" w:rsidRPr="000F3ABE" w:rsidRDefault="008B0086" w:rsidP="00DF2786">
      <w:pPr>
        <w:spacing w:before="80"/>
        <w:jc w:val="both"/>
        <w:rPr>
          <w:rFonts w:ascii="Calibri" w:hAnsi="Calibri" w:cs="Calibri"/>
        </w:rPr>
      </w:pPr>
      <w:r w:rsidRPr="000F3ABE">
        <w:rPr>
          <w:rFonts w:ascii="Calibri" w:hAnsi="Calibri" w:cs="Calibri"/>
        </w:rPr>
        <w:t>Equipment costs</w:t>
      </w:r>
      <w:r w:rsidR="00F3013D" w:rsidRPr="000F3ABE">
        <w:rPr>
          <w:rFonts w:ascii="Calibri" w:hAnsi="Calibri" w:cs="Calibri"/>
        </w:rPr>
        <w:t xml:space="preserve"> are not requested for Truck Electrification and Parking.</w:t>
      </w:r>
    </w:p>
    <w:p w14:paraId="426AF67E" w14:textId="734668CA"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Supplies</w:t>
      </w:r>
      <w:r w:rsidR="003E4C0B" w:rsidRPr="000F3ABE">
        <w:rPr>
          <w:rFonts w:ascii="Calibri" w:hAnsi="Calibri" w:cs="Calibri"/>
          <w:b/>
          <w:bCs/>
          <w:color w:val="auto"/>
          <w:sz w:val="22"/>
          <w:szCs w:val="22"/>
        </w:rPr>
        <w:t>:</w:t>
      </w:r>
      <w:r w:rsidR="003E4C0B" w:rsidRPr="000F3ABE">
        <w:rPr>
          <w:rFonts w:ascii="Calibri" w:hAnsi="Calibri" w:cs="Calibri"/>
          <w:color w:val="auto"/>
          <w:sz w:val="22"/>
          <w:szCs w:val="22"/>
        </w:rPr>
        <w:t xml:space="preserve"> </w:t>
      </w:r>
      <w:r w:rsidR="00F3013D" w:rsidRPr="000F3ABE">
        <w:rPr>
          <w:rFonts w:ascii="Calibri" w:hAnsi="Calibri" w:cs="Calibri"/>
          <w:color w:val="auto"/>
          <w:sz w:val="22"/>
          <w:szCs w:val="22"/>
        </w:rPr>
        <w:t>$36,600</w:t>
      </w:r>
    </w:p>
    <w:p w14:paraId="4056A764" w14:textId="4FB0FC7E" w:rsidR="00F3013D" w:rsidRPr="000F3ABE" w:rsidRDefault="003E4C0B" w:rsidP="00DF2786">
      <w:pPr>
        <w:spacing w:before="80"/>
        <w:rPr>
          <w:rFonts w:ascii="Calibri" w:hAnsi="Calibri" w:cs="Calibri"/>
        </w:rPr>
      </w:pPr>
      <w:r w:rsidRPr="000F3ABE">
        <w:rPr>
          <w:rFonts w:ascii="Calibri" w:hAnsi="Calibri" w:cs="Calibri"/>
        </w:rPr>
        <w:t xml:space="preserve">Costs for Supplies </w:t>
      </w:r>
      <w:r w:rsidR="008B0086" w:rsidRPr="000F3ABE">
        <w:rPr>
          <w:rFonts w:ascii="Calibri" w:hAnsi="Calibri" w:cs="Calibri"/>
        </w:rPr>
        <w:t>are</w:t>
      </w:r>
      <w:r w:rsidR="00F3013D" w:rsidRPr="000F3ABE">
        <w:rPr>
          <w:rFonts w:ascii="Calibri" w:hAnsi="Calibri" w:cs="Calibri"/>
        </w:rPr>
        <w:t xml:space="preserve"> requested to fund the supplies required for the personnel listed above. Please refer to the Cost Details section for a breakdown of supply costs for NYC employees.  </w:t>
      </w:r>
    </w:p>
    <w:p w14:paraId="1C7F229B" w14:textId="15DDC39C"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Contractual</w:t>
      </w:r>
      <w:r w:rsidR="00703DA4" w:rsidRPr="000F3ABE">
        <w:rPr>
          <w:rFonts w:ascii="Calibri" w:hAnsi="Calibri" w:cs="Calibri"/>
          <w:b/>
          <w:bCs/>
          <w:color w:val="auto"/>
          <w:sz w:val="22"/>
          <w:szCs w:val="22"/>
        </w:rPr>
        <w:t>:</w:t>
      </w:r>
      <w:r w:rsidR="00703DA4" w:rsidRPr="000F3ABE">
        <w:rPr>
          <w:rFonts w:ascii="Calibri" w:hAnsi="Calibri" w:cs="Calibri"/>
          <w:color w:val="auto"/>
          <w:sz w:val="22"/>
          <w:szCs w:val="22"/>
        </w:rPr>
        <w:t xml:space="preserve"> $</w:t>
      </w:r>
      <w:r w:rsidR="00C74050" w:rsidRPr="000F3ABE">
        <w:rPr>
          <w:rFonts w:ascii="Calibri" w:hAnsi="Calibri" w:cs="Calibri"/>
          <w:color w:val="auto"/>
          <w:sz w:val="22"/>
          <w:szCs w:val="22"/>
        </w:rPr>
        <w:t>8</w:t>
      </w:r>
      <w:r w:rsidR="0056190E" w:rsidRPr="000F3ABE">
        <w:rPr>
          <w:rFonts w:ascii="Calibri" w:hAnsi="Calibri" w:cs="Calibri"/>
          <w:color w:val="auto"/>
          <w:sz w:val="22"/>
          <w:szCs w:val="22"/>
        </w:rPr>
        <w:t>2</w:t>
      </w:r>
      <w:r w:rsidR="00C74050" w:rsidRPr="000F3ABE">
        <w:rPr>
          <w:rFonts w:ascii="Calibri" w:hAnsi="Calibri" w:cs="Calibri"/>
          <w:color w:val="auto"/>
          <w:sz w:val="22"/>
          <w:szCs w:val="22"/>
        </w:rPr>
        <w:t>,</w:t>
      </w:r>
      <w:r w:rsidR="0056190E" w:rsidRPr="000F3ABE">
        <w:rPr>
          <w:rFonts w:ascii="Calibri" w:hAnsi="Calibri" w:cs="Calibri"/>
          <w:color w:val="auto"/>
          <w:sz w:val="22"/>
          <w:szCs w:val="22"/>
        </w:rPr>
        <w:t>5</w:t>
      </w:r>
      <w:r w:rsidR="00C74050" w:rsidRPr="000F3ABE">
        <w:rPr>
          <w:rFonts w:ascii="Calibri" w:hAnsi="Calibri" w:cs="Calibri"/>
          <w:color w:val="auto"/>
          <w:sz w:val="22"/>
          <w:szCs w:val="22"/>
        </w:rPr>
        <w:t>32,786</w:t>
      </w:r>
    </w:p>
    <w:p w14:paraId="225ED0B5" w14:textId="04849670" w:rsidR="00D44BDA" w:rsidRPr="000F3ABE" w:rsidRDefault="00703DA4" w:rsidP="00DF2786">
      <w:pPr>
        <w:spacing w:before="80" w:after="120"/>
        <w:rPr>
          <w:rFonts w:ascii="Calibri" w:hAnsi="Calibri" w:cs="Calibri"/>
        </w:rPr>
      </w:pPr>
      <w:r w:rsidRPr="000F3ABE">
        <w:rPr>
          <w:rFonts w:ascii="Calibri" w:hAnsi="Calibri" w:cs="Calibri"/>
        </w:rPr>
        <w:t xml:space="preserve">Contractual costs are requested to </w:t>
      </w:r>
      <w:r w:rsidR="00D0167A" w:rsidRPr="000F3ABE">
        <w:rPr>
          <w:rFonts w:ascii="Calibri" w:hAnsi="Calibri" w:cs="Calibri"/>
        </w:rPr>
        <w:t xml:space="preserve">fund </w:t>
      </w:r>
      <w:r w:rsidR="00297EE8" w:rsidRPr="000F3ABE">
        <w:rPr>
          <w:rFonts w:ascii="Calibri" w:hAnsi="Calibri" w:cs="Calibri"/>
        </w:rPr>
        <w:t>a</w:t>
      </w:r>
      <w:r w:rsidRPr="000F3ABE">
        <w:rPr>
          <w:rFonts w:ascii="Calibri" w:hAnsi="Calibri" w:cs="Calibri"/>
        </w:rPr>
        <w:t xml:space="preserve"> parametric design </w:t>
      </w:r>
      <w:r w:rsidR="00D0167A" w:rsidRPr="000F3ABE">
        <w:rPr>
          <w:rFonts w:ascii="Calibri" w:hAnsi="Calibri" w:cs="Calibri"/>
        </w:rPr>
        <w:t xml:space="preserve">activity to determine optimal locations for truck charging and parking locations, </w:t>
      </w:r>
      <w:r w:rsidR="00297EE8" w:rsidRPr="000F3ABE">
        <w:rPr>
          <w:rFonts w:ascii="Calibri" w:hAnsi="Calibri" w:cs="Calibri"/>
        </w:rPr>
        <w:t xml:space="preserve">the design of each location once selected, the construction of </w:t>
      </w:r>
      <w:r w:rsidR="00F44DAE" w:rsidRPr="000F3ABE">
        <w:rPr>
          <w:rFonts w:ascii="Calibri" w:hAnsi="Calibri" w:cs="Calibri"/>
        </w:rPr>
        <w:t>the charging hubs at each location</w:t>
      </w:r>
      <w:r w:rsidR="00104200" w:rsidRPr="000F3ABE">
        <w:rPr>
          <w:rFonts w:ascii="Calibri" w:hAnsi="Calibri" w:cs="Calibri"/>
        </w:rPr>
        <w:t>, and a Regional Fleet Advisory Services</w:t>
      </w:r>
      <w:r w:rsidR="00841F3A" w:rsidRPr="000F3ABE">
        <w:rPr>
          <w:rFonts w:ascii="Calibri" w:hAnsi="Calibri" w:cs="Calibri"/>
        </w:rPr>
        <w:t xml:space="preserve"> (RFAS)</w:t>
      </w:r>
      <w:r w:rsidR="00104200" w:rsidRPr="000F3ABE">
        <w:rPr>
          <w:rFonts w:ascii="Calibri" w:hAnsi="Calibri" w:cs="Calibri"/>
        </w:rPr>
        <w:t xml:space="preserve"> program</w:t>
      </w:r>
      <w:r w:rsidR="00F44DAE" w:rsidRPr="000F3ABE">
        <w:rPr>
          <w:rFonts w:ascii="Calibri" w:hAnsi="Calibri" w:cs="Calibri"/>
        </w:rPr>
        <w:t xml:space="preserve">. The cost of the parametric design is estimated to be $100,000 based on similar </w:t>
      </w:r>
      <w:r w:rsidR="00D0419A" w:rsidRPr="000F3ABE">
        <w:rPr>
          <w:rFonts w:ascii="Calibri" w:hAnsi="Calibri" w:cs="Calibri"/>
        </w:rPr>
        <w:t>activities NYC consultants</w:t>
      </w:r>
      <w:r w:rsidR="001C5F4E" w:rsidRPr="000F3ABE">
        <w:rPr>
          <w:rFonts w:ascii="Calibri" w:hAnsi="Calibri" w:cs="Calibri"/>
        </w:rPr>
        <w:t xml:space="preserve"> have </w:t>
      </w:r>
      <w:r w:rsidR="00D0419A" w:rsidRPr="000F3ABE">
        <w:rPr>
          <w:rFonts w:ascii="Calibri" w:hAnsi="Calibri" w:cs="Calibri"/>
        </w:rPr>
        <w:t xml:space="preserve">completed. </w:t>
      </w:r>
      <w:r w:rsidR="00E32F81" w:rsidRPr="000F3ABE">
        <w:rPr>
          <w:rFonts w:ascii="Calibri" w:hAnsi="Calibri" w:cs="Calibri"/>
        </w:rPr>
        <w:t>C</w:t>
      </w:r>
      <w:r w:rsidR="00137EE7" w:rsidRPr="000F3ABE">
        <w:rPr>
          <w:rFonts w:ascii="Calibri" w:hAnsi="Calibri" w:cs="Calibri"/>
        </w:rPr>
        <w:t>onstruction and installation</w:t>
      </w:r>
      <w:r w:rsidR="00E32F81" w:rsidRPr="000F3ABE">
        <w:rPr>
          <w:rFonts w:ascii="Calibri" w:hAnsi="Calibri" w:cs="Calibri"/>
        </w:rPr>
        <w:t xml:space="preserve"> costs for Level 3 chargers</w:t>
      </w:r>
      <w:r w:rsidR="00137EE7" w:rsidRPr="000F3ABE">
        <w:rPr>
          <w:rFonts w:ascii="Calibri" w:hAnsi="Calibri" w:cs="Calibri"/>
        </w:rPr>
        <w:t xml:space="preserve"> are estimated to</w:t>
      </w:r>
      <w:r w:rsidR="003051D9" w:rsidRPr="000F3ABE">
        <w:rPr>
          <w:rFonts w:ascii="Calibri" w:hAnsi="Calibri" w:cs="Calibri"/>
        </w:rPr>
        <w:t xml:space="preserve"> </w:t>
      </w:r>
      <w:r w:rsidR="008E001F" w:rsidRPr="000F3ABE">
        <w:rPr>
          <w:rFonts w:ascii="Calibri" w:hAnsi="Calibri" w:cs="Calibri"/>
        </w:rPr>
        <w:t>range from</w:t>
      </w:r>
      <w:r w:rsidR="000E0E0C" w:rsidRPr="000F3ABE">
        <w:rPr>
          <w:rFonts w:ascii="Calibri" w:hAnsi="Calibri" w:cs="Calibri"/>
        </w:rPr>
        <w:t xml:space="preserve"> $320,000 </w:t>
      </w:r>
      <w:r w:rsidR="008E001F" w:rsidRPr="000F3ABE">
        <w:rPr>
          <w:rFonts w:ascii="Calibri" w:hAnsi="Calibri" w:cs="Calibri"/>
        </w:rPr>
        <w:t>to</w:t>
      </w:r>
      <w:r w:rsidR="000E0E0C" w:rsidRPr="000F3ABE">
        <w:rPr>
          <w:rFonts w:ascii="Calibri" w:hAnsi="Calibri" w:cs="Calibri"/>
        </w:rPr>
        <w:t xml:space="preserve"> $480,000</w:t>
      </w:r>
      <w:r w:rsidR="00B13C1D" w:rsidRPr="000F3ABE">
        <w:rPr>
          <w:rFonts w:ascii="Calibri" w:hAnsi="Calibri" w:cs="Calibri"/>
        </w:rPr>
        <w:t xml:space="preserve"> each</w:t>
      </w:r>
      <w:r w:rsidR="00475BBE" w:rsidRPr="000F3ABE">
        <w:rPr>
          <w:rFonts w:ascii="Calibri" w:hAnsi="Calibri" w:cs="Calibri"/>
        </w:rPr>
        <w:t xml:space="preserve">. </w:t>
      </w:r>
      <w:r w:rsidR="000E0E0C" w:rsidRPr="000F3ABE">
        <w:rPr>
          <w:rFonts w:ascii="Calibri" w:hAnsi="Calibri" w:cs="Calibri"/>
        </w:rPr>
        <w:t xml:space="preserve">This includes a cost of $250,000 for </w:t>
      </w:r>
      <w:r w:rsidR="00B13C1D" w:rsidRPr="000F3ABE">
        <w:rPr>
          <w:rFonts w:ascii="Calibri" w:hAnsi="Calibri" w:cs="Calibri"/>
        </w:rPr>
        <w:t>the Level 3 charger</w:t>
      </w:r>
      <w:r w:rsidR="000E0E0C" w:rsidRPr="000F3ABE">
        <w:rPr>
          <w:rFonts w:ascii="Calibri" w:hAnsi="Calibri" w:cs="Calibri"/>
        </w:rPr>
        <w:t xml:space="preserve">, plus </w:t>
      </w:r>
      <w:r w:rsidR="00475BBE" w:rsidRPr="000F3ABE">
        <w:rPr>
          <w:rFonts w:ascii="Calibri" w:hAnsi="Calibri" w:cs="Calibri"/>
        </w:rPr>
        <w:t>construction and installation</w:t>
      </w:r>
      <w:r w:rsidR="00E32F81" w:rsidRPr="000F3ABE">
        <w:rPr>
          <w:rFonts w:ascii="Calibri" w:hAnsi="Calibri" w:cs="Calibri"/>
        </w:rPr>
        <w:t>.</w:t>
      </w:r>
      <w:r w:rsidR="00F7429B" w:rsidRPr="000F3ABE">
        <w:rPr>
          <w:rFonts w:ascii="Calibri" w:hAnsi="Calibri" w:cs="Calibri"/>
        </w:rPr>
        <w:t xml:space="preserve"> </w:t>
      </w:r>
      <w:r w:rsidR="00BA3F20" w:rsidRPr="000F3ABE">
        <w:rPr>
          <w:rFonts w:ascii="Calibri" w:hAnsi="Calibri" w:cs="Calibri"/>
        </w:rPr>
        <w:t>Construction and i</w:t>
      </w:r>
      <w:r w:rsidR="00D60238" w:rsidRPr="000F3ABE">
        <w:rPr>
          <w:rFonts w:ascii="Calibri" w:hAnsi="Calibri" w:cs="Calibri"/>
        </w:rPr>
        <w:t xml:space="preserve">nstallation costs for </w:t>
      </w:r>
      <w:r w:rsidR="002B5495" w:rsidRPr="000F3ABE">
        <w:rPr>
          <w:rFonts w:ascii="Calibri" w:hAnsi="Calibri" w:cs="Calibri"/>
        </w:rPr>
        <w:t xml:space="preserve">Level 2 chargers are estimated to </w:t>
      </w:r>
      <w:r w:rsidR="00B13C1D" w:rsidRPr="000F3ABE">
        <w:rPr>
          <w:rFonts w:ascii="Calibri" w:hAnsi="Calibri" w:cs="Calibri"/>
        </w:rPr>
        <w:t xml:space="preserve">range from </w:t>
      </w:r>
      <w:r w:rsidR="00EB3491" w:rsidRPr="000F3ABE">
        <w:rPr>
          <w:rFonts w:ascii="Calibri" w:hAnsi="Calibri" w:cs="Calibri"/>
        </w:rPr>
        <w:t>$3,500 to $4,500</w:t>
      </w:r>
      <w:r w:rsidR="00B13C1D" w:rsidRPr="000F3ABE">
        <w:rPr>
          <w:rFonts w:ascii="Calibri" w:hAnsi="Calibri" w:cs="Calibri"/>
        </w:rPr>
        <w:t xml:space="preserve"> each. This includes a cost of $2,500 for the Level 2 charger,</w:t>
      </w:r>
      <w:r w:rsidR="00EB3491" w:rsidRPr="000F3ABE">
        <w:rPr>
          <w:rFonts w:ascii="Calibri" w:hAnsi="Calibri" w:cs="Calibri"/>
        </w:rPr>
        <w:t xml:space="preserve"> </w:t>
      </w:r>
      <w:r w:rsidR="00B13C1D" w:rsidRPr="000F3ABE">
        <w:rPr>
          <w:rFonts w:ascii="Calibri" w:hAnsi="Calibri" w:cs="Calibri"/>
        </w:rPr>
        <w:t xml:space="preserve">plus construction and installation. Construction and installation costs for </w:t>
      </w:r>
      <w:proofErr w:type="spellStart"/>
      <w:r w:rsidR="00B13C1D" w:rsidRPr="000F3ABE">
        <w:rPr>
          <w:rFonts w:ascii="Calibri" w:hAnsi="Calibri" w:cs="Calibri"/>
        </w:rPr>
        <w:t>Megachargers</w:t>
      </w:r>
      <w:proofErr w:type="spellEnd"/>
      <w:r w:rsidR="00B13C1D" w:rsidRPr="000F3ABE">
        <w:rPr>
          <w:rFonts w:ascii="Calibri" w:hAnsi="Calibri" w:cs="Calibri"/>
        </w:rPr>
        <w:t xml:space="preserve"> are estimated to be </w:t>
      </w:r>
      <w:r w:rsidR="00EB3491" w:rsidRPr="000F3ABE">
        <w:rPr>
          <w:rFonts w:ascii="Calibri" w:hAnsi="Calibri" w:cs="Calibri"/>
        </w:rPr>
        <w:t xml:space="preserve">$2,000,000 </w:t>
      </w:r>
      <w:r w:rsidR="00B13C1D" w:rsidRPr="000F3ABE">
        <w:rPr>
          <w:rFonts w:ascii="Calibri" w:hAnsi="Calibri" w:cs="Calibri"/>
        </w:rPr>
        <w:t xml:space="preserve">each, which includes a cost of $1,500,000 for each </w:t>
      </w:r>
      <w:proofErr w:type="spellStart"/>
      <w:r w:rsidR="00B13C1D" w:rsidRPr="000F3ABE">
        <w:rPr>
          <w:rFonts w:ascii="Calibri" w:hAnsi="Calibri" w:cs="Calibri"/>
        </w:rPr>
        <w:t>Megacharger</w:t>
      </w:r>
      <w:proofErr w:type="spellEnd"/>
      <w:r w:rsidR="00612250" w:rsidRPr="000F3ABE">
        <w:rPr>
          <w:rFonts w:ascii="Calibri" w:hAnsi="Calibri" w:cs="Calibri"/>
        </w:rPr>
        <w:t>, plus construction and installation</w:t>
      </w:r>
      <w:r w:rsidR="00EB3491" w:rsidRPr="000F3ABE">
        <w:rPr>
          <w:rFonts w:ascii="Calibri" w:hAnsi="Calibri" w:cs="Calibri"/>
        </w:rPr>
        <w:t xml:space="preserve">. These costs </w:t>
      </w:r>
      <w:r w:rsidR="00177723" w:rsidRPr="000F3ABE">
        <w:rPr>
          <w:rFonts w:ascii="Calibri" w:hAnsi="Calibri" w:cs="Calibri"/>
        </w:rPr>
        <w:t>are based on an NYC consultant</w:t>
      </w:r>
      <w:r w:rsidR="00B33450" w:rsidRPr="000F3ABE">
        <w:rPr>
          <w:rFonts w:ascii="Calibri" w:hAnsi="Calibri" w:cs="Calibri"/>
        </w:rPr>
        <w:t>’</w:t>
      </w:r>
      <w:r w:rsidR="00177723" w:rsidRPr="000F3ABE">
        <w:rPr>
          <w:rFonts w:ascii="Calibri" w:hAnsi="Calibri" w:cs="Calibri"/>
        </w:rPr>
        <w:t xml:space="preserve">s </w:t>
      </w:r>
      <w:r w:rsidR="00D73390" w:rsidRPr="000F3ABE">
        <w:rPr>
          <w:rFonts w:ascii="Calibri" w:hAnsi="Calibri" w:cs="Calibri"/>
        </w:rPr>
        <w:t>experience with similar electric vehicle charg</w:t>
      </w:r>
      <w:r w:rsidR="00B33450" w:rsidRPr="000F3ABE">
        <w:rPr>
          <w:rFonts w:ascii="Calibri" w:hAnsi="Calibri" w:cs="Calibri"/>
        </w:rPr>
        <w:t>er</w:t>
      </w:r>
      <w:r w:rsidR="00D73390" w:rsidRPr="000F3ABE">
        <w:rPr>
          <w:rFonts w:ascii="Calibri" w:hAnsi="Calibri" w:cs="Calibri"/>
        </w:rPr>
        <w:t xml:space="preserve"> installation </w:t>
      </w:r>
      <w:r w:rsidR="00572DF5" w:rsidRPr="000F3ABE">
        <w:rPr>
          <w:rFonts w:ascii="Calibri" w:hAnsi="Calibri" w:cs="Calibri"/>
        </w:rPr>
        <w:t>projects and</w:t>
      </w:r>
      <w:r w:rsidR="00D73390" w:rsidRPr="000F3ABE">
        <w:rPr>
          <w:rFonts w:ascii="Calibri" w:hAnsi="Calibri" w:cs="Calibri"/>
        </w:rPr>
        <w:t xml:space="preserve"> include </w:t>
      </w:r>
      <w:r w:rsidR="00AA7AC7" w:rsidRPr="000F3ABE">
        <w:rPr>
          <w:rFonts w:ascii="Calibri" w:hAnsi="Calibri" w:cs="Calibri"/>
        </w:rPr>
        <w:t>the charging equipment itself as well as</w:t>
      </w:r>
      <w:r w:rsidR="009F4CC1" w:rsidRPr="000F3ABE">
        <w:rPr>
          <w:rFonts w:ascii="Calibri" w:hAnsi="Calibri" w:cs="Calibri"/>
        </w:rPr>
        <w:t xml:space="preserve"> electrical and </w:t>
      </w:r>
      <w:r w:rsidR="000161FB" w:rsidRPr="000F3ABE">
        <w:rPr>
          <w:rFonts w:ascii="Calibri" w:hAnsi="Calibri" w:cs="Calibri"/>
        </w:rPr>
        <w:t>site/</w:t>
      </w:r>
      <w:r w:rsidR="009F4CC1" w:rsidRPr="000F3ABE">
        <w:rPr>
          <w:rFonts w:ascii="Calibri" w:hAnsi="Calibri" w:cs="Calibri"/>
        </w:rPr>
        <w:t>civil costs, such as trenching, wiring, control panels, and transformer upgrades</w:t>
      </w:r>
      <w:r w:rsidR="00AA7AC7" w:rsidRPr="000F3ABE">
        <w:rPr>
          <w:rFonts w:ascii="Calibri" w:hAnsi="Calibri" w:cs="Calibri"/>
        </w:rPr>
        <w:t xml:space="preserve">. </w:t>
      </w:r>
      <w:r w:rsidR="00D73390" w:rsidRPr="000F3ABE">
        <w:rPr>
          <w:rFonts w:ascii="Calibri" w:hAnsi="Calibri" w:cs="Calibri"/>
        </w:rPr>
        <w:t>The range of costs</w:t>
      </w:r>
      <w:r w:rsidR="00E57EDA" w:rsidRPr="000F3ABE">
        <w:rPr>
          <w:rFonts w:ascii="Calibri" w:hAnsi="Calibri" w:cs="Calibri"/>
        </w:rPr>
        <w:t xml:space="preserve"> is due to economy of scale</w:t>
      </w:r>
      <w:r w:rsidR="00D73390" w:rsidRPr="000F3ABE">
        <w:rPr>
          <w:rFonts w:ascii="Calibri" w:hAnsi="Calibri" w:cs="Calibri"/>
        </w:rPr>
        <w:t xml:space="preserve">; sites with less chargers don’t distribute </w:t>
      </w:r>
      <w:r w:rsidR="00D44BDA" w:rsidRPr="000F3ABE">
        <w:rPr>
          <w:rFonts w:ascii="Calibri" w:hAnsi="Calibri" w:cs="Calibri"/>
        </w:rPr>
        <w:t>the electrical and civil costs as widely. The c</w:t>
      </w:r>
      <w:r w:rsidR="00BF2099" w:rsidRPr="000F3ABE">
        <w:rPr>
          <w:rFonts w:ascii="Calibri" w:hAnsi="Calibri" w:cs="Calibri"/>
        </w:rPr>
        <w:t>onstruction cost</w:t>
      </w:r>
      <w:r w:rsidR="00D44BDA" w:rsidRPr="000F3ABE">
        <w:rPr>
          <w:rFonts w:ascii="Calibri" w:hAnsi="Calibri" w:cs="Calibri"/>
        </w:rPr>
        <w:t xml:space="preserve"> </w:t>
      </w:r>
      <w:r w:rsidR="00BF2099" w:rsidRPr="000F3ABE">
        <w:rPr>
          <w:rFonts w:ascii="Calibri" w:hAnsi="Calibri" w:cs="Calibri"/>
        </w:rPr>
        <w:t>also include</w:t>
      </w:r>
      <w:r w:rsidR="00D44BDA" w:rsidRPr="000F3ABE">
        <w:rPr>
          <w:rFonts w:ascii="Calibri" w:hAnsi="Calibri" w:cs="Calibri"/>
        </w:rPr>
        <w:t xml:space="preserve">s </w:t>
      </w:r>
      <w:r w:rsidR="00BF2099" w:rsidRPr="000F3ABE">
        <w:rPr>
          <w:rFonts w:ascii="Calibri" w:hAnsi="Calibri" w:cs="Calibri"/>
        </w:rPr>
        <w:t>new asphalt pavement and pa</w:t>
      </w:r>
      <w:r w:rsidR="00D44BDA" w:rsidRPr="000F3ABE">
        <w:rPr>
          <w:rFonts w:ascii="Calibri" w:hAnsi="Calibri" w:cs="Calibri"/>
        </w:rPr>
        <w:t>vement marking</w:t>
      </w:r>
      <w:r w:rsidR="00D46A07" w:rsidRPr="000F3ABE">
        <w:rPr>
          <w:rFonts w:ascii="Calibri" w:hAnsi="Calibri" w:cs="Calibri"/>
        </w:rPr>
        <w:t>, as well as</w:t>
      </w:r>
      <w:r w:rsidR="004D19D0" w:rsidRPr="000F3ABE">
        <w:rPr>
          <w:rFonts w:ascii="Calibri" w:hAnsi="Calibri" w:cs="Calibri"/>
        </w:rPr>
        <w:t xml:space="preserve"> markups for</w:t>
      </w:r>
      <w:r w:rsidR="00D46A07" w:rsidRPr="000F3ABE">
        <w:rPr>
          <w:rFonts w:ascii="Calibri" w:hAnsi="Calibri" w:cs="Calibri"/>
        </w:rPr>
        <w:t xml:space="preserve"> bond</w:t>
      </w:r>
      <w:r w:rsidR="00740268" w:rsidRPr="000F3ABE">
        <w:rPr>
          <w:rFonts w:ascii="Calibri" w:hAnsi="Calibri" w:cs="Calibri"/>
        </w:rPr>
        <w:t xml:space="preserve"> and insurance</w:t>
      </w:r>
      <w:r w:rsidR="004D19D0" w:rsidRPr="000F3ABE">
        <w:rPr>
          <w:rFonts w:ascii="Calibri" w:hAnsi="Calibri" w:cs="Calibri"/>
        </w:rPr>
        <w:t xml:space="preserve"> (3%)</w:t>
      </w:r>
      <w:r w:rsidR="00D46A07" w:rsidRPr="000F3ABE">
        <w:rPr>
          <w:rFonts w:ascii="Calibri" w:hAnsi="Calibri" w:cs="Calibri"/>
        </w:rPr>
        <w:t>, contingency</w:t>
      </w:r>
      <w:r w:rsidR="004D19D0" w:rsidRPr="000F3ABE">
        <w:rPr>
          <w:rFonts w:ascii="Calibri" w:hAnsi="Calibri" w:cs="Calibri"/>
        </w:rPr>
        <w:t xml:space="preserve"> (20%)</w:t>
      </w:r>
      <w:r w:rsidR="00D46A07" w:rsidRPr="000F3ABE">
        <w:rPr>
          <w:rFonts w:ascii="Calibri" w:hAnsi="Calibri" w:cs="Calibri"/>
        </w:rPr>
        <w:t>, overhead and profit</w:t>
      </w:r>
      <w:r w:rsidR="004D19D0" w:rsidRPr="000F3ABE">
        <w:rPr>
          <w:rFonts w:ascii="Calibri" w:hAnsi="Calibri" w:cs="Calibri"/>
        </w:rPr>
        <w:t xml:space="preserve"> (21%)</w:t>
      </w:r>
      <w:r w:rsidR="00D44BDA" w:rsidRPr="000F3ABE">
        <w:rPr>
          <w:rFonts w:ascii="Calibri" w:hAnsi="Calibri" w:cs="Calibri"/>
        </w:rPr>
        <w:t xml:space="preserve">, </w:t>
      </w:r>
      <w:r w:rsidR="00740268" w:rsidRPr="000F3ABE">
        <w:rPr>
          <w:rFonts w:ascii="Calibri" w:hAnsi="Calibri" w:cs="Calibri"/>
        </w:rPr>
        <w:t>and general conditions</w:t>
      </w:r>
      <w:r w:rsidR="004D19D0" w:rsidRPr="000F3ABE">
        <w:rPr>
          <w:rFonts w:ascii="Calibri" w:hAnsi="Calibri" w:cs="Calibri"/>
        </w:rPr>
        <w:t xml:space="preserve"> (20%)</w:t>
      </w:r>
      <w:r w:rsidR="00BF2099" w:rsidRPr="000F3ABE">
        <w:rPr>
          <w:rFonts w:ascii="Calibri" w:hAnsi="Calibri" w:cs="Calibri"/>
        </w:rPr>
        <w:t>.</w:t>
      </w:r>
      <w:r w:rsidR="00D44BDA" w:rsidRPr="000F3ABE">
        <w:rPr>
          <w:rFonts w:ascii="Calibri" w:hAnsi="Calibri" w:cs="Calibri"/>
        </w:rPr>
        <w:t xml:space="preserve"> </w:t>
      </w:r>
    </w:p>
    <w:p w14:paraId="40C1E91E" w14:textId="13A5573C" w:rsidR="00D44BDA" w:rsidRPr="000F3ABE" w:rsidRDefault="007F3C97" w:rsidP="00DF2786">
      <w:pPr>
        <w:spacing w:before="80"/>
        <w:rPr>
          <w:rFonts w:ascii="Calibri" w:hAnsi="Calibri" w:cs="Calibri"/>
        </w:rPr>
      </w:pPr>
      <w:r w:rsidRPr="000F3ABE">
        <w:rPr>
          <w:rFonts w:ascii="Calibri" w:hAnsi="Calibri" w:cs="Calibri"/>
        </w:rPr>
        <w:t>This project proposes t</w:t>
      </w:r>
      <w:r w:rsidR="00BF2099" w:rsidRPr="000F3ABE">
        <w:rPr>
          <w:rFonts w:ascii="Calibri" w:hAnsi="Calibri" w:cs="Calibri"/>
        </w:rPr>
        <w:t>hree different con</w:t>
      </w:r>
      <w:r w:rsidR="00D44BDA" w:rsidRPr="000F3ABE">
        <w:rPr>
          <w:rFonts w:ascii="Calibri" w:hAnsi="Calibri" w:cs="Calibri"/>
        </w:rPr>
        <w:t>cepts</w:t>
      </w:r>
      <w:r w:rsidR="00BF2099" w:rsidRPr="000F3ABE">
        <w:rPr>
          <w:rFonts w:ascii="Calibri" w:hAnsi="Calibri" w:cs="Calibri"/>
        </w:rPr>
        <w:t xml:space="preserve"> of </w:t>
      </w:r>
      <w:r w:rsidR="00266F2F" w:rsidRPr="000F3ABE">
        <w:rPr>
          <w:rFonts w:ascii="Calibri" w:hAnsi="Calibri" w:cs="Calibri"/>
        </w:rPr>
        <w:t>truck charging and parking hubs</w:t>
      </w:r>
      <w:r w:rsidR="00D44BDA" w:rsidRPr="000F3ABE">
        <w:rPr>
          <w:rFonts w:ascii="Calibri" w:hAnsi="Calibri" w:cs="Calibri"/>
        </w:rPr>
        <w:t>:</w:t>
      </w:r>
    </w:p>
    <w:p w14:paraId="4FF12702" w14:textId="23C2B949" w:rsidR="00D44BDA" w:rsidRPr="000F3ABE" w:rsidRDefault="00D44BDA" w:rsidP="00DF2786">
      <w:pPr>
        <w:pStyle w:val="ListParagraph"/>
        <w:numPr>
          <w:ilvl w:val="0"/>
          <w:numId w:val="2"/>
        </w:numPr>
        <w:spacing w:before="80"/>
        <w:rPr>
          <w:rFonts w:ascii="Calibri" w:hAnsi="Calibri" w:cs="Calibri"/>
        </w:rPr>
      </w:pPr>
      <w:r w:rsidRPr="000F3ABE">
        <w:rPr>
          <w:rFonts w:ascii="Calibri" w:hAnsi="Calibri" w:cs="Calibri"/>
        </w:rPr>
        <w:t>Concept 1: Fast-Charging Hub</w:t>
      </w:r>
      <w:r w:rsidR="0033208F" w:rsidRPr="000F3ABE">
        <w:rPr>
          <w:rFonts w:ascii="Calibri" w:hAnsi="Calibri" w:cs="Calibri"/>
        </w:rPr>
        <w:t xml:space="preserve"> -</w:t>
      </w:r>
      <w:r w:rsidRPr="000F3ABE">
        <w:rPr>
          <w:rFonts w:ascii="Calibri" w:hAnsi="Calibri" w:cs="Calibri"/>
        </w:rPr>
        <w:t xml:space="preserve"> I</w:t>
      </w:r>
      <w:r w:rsidR="000F763F" w:rsidRPr="000F3ABE">
        <w:rPr>
          <w:rFonts w:ascii="Calibri" w:hAnsi="Calibri" w:cs="Calibri"/>
        </w:rPr>
        <w:t>nclude</w:t>
      </w:r>
      <w:r w:rsidRPr="000F3ABE">
        <w:rPr>
          <w:rFonts w:ascii="Calibri" w:hAnsi="Calibri" w:cs="Calibri"/>
        </w:rPr>
        <w:t>s</w:t>
      </w:r>
      <w:r w:rsidR="000F763F" w:rsidRPr="000F3ABE">
        <w:rPr>
          <w:rFonts w:ascii="Calibri" w:hAnsi="Calibri" w:cs="Calibri"/>
        </w:rPr>
        <w:t xml:space="preserve"> 12 Level 3 Chargers, a parking area of approximately </w:t>
      </w:r>
      <w:r w:rsidR="00D46A07" w:rsidRPr="000F3ABE">
        <w:rPr>
          <w:rFonts w:ascii="Calibri" w:hAnsi="Calibri" w:cs="Calibri"/>
        </w:rPr>
        <w:t>130 SY</w:t>
      </w:r>
      <w:r w:rsidR="005F435B" w:rsidRPr="000F3ABE">
        <w:rPr>
          <w:rFonts w:ascii="Calibri" w:hAnsi="Calibri" w:cs="Calibri"/>
        </w:rPr>
        <w:t xml:space="preserve">, </w:t>
      </w:r>
      <w:r w:rsidR="00FA0064" w:rsidRPr="000F3ABE">
        <w:rPr>
          <w:rFonts w:ascii="Calibri" w:hAnsi="Calibri" w:cs="Calibri"/>
        </w:rPr>
        <w:t>all-inclusive cost of: $</w:t>
      </w:r>
      <w:r w:rsidR="0000726F" w:rsidRPr="000F3ABE">
        <w:rPr>
          <w:rFonts w:ascii="Calibri" w:hAnsi="Calibri" w:cs="Calibri"/>
        </w:rPr>
        <w:t>6,</w:t>
      </w:r>
      <w:r w:rsidR="0010412B" w:rsidRPr="000F3ABE">
        <w:rPr>
          <w:rFonts w:ascii="Calibri" w:hAnsi="Calibri" w:cs="Calibri"/>
        </w:rPr>
        <w:t>313,781</w:t>
      </w:r>
      <w:r w:rsidR="0000726F" w:rsidRPr="000F3ABE">
        <w:rPr>
          <w:rFonts w:ascii="Calibri" w:hAnsi="Calibri" w:cs="Calibri"/>
        </w:rPr>
        <w:t>.</w:t>
      </w:r>
    </w:p>
    <w:p w14:paraId="0DF9DDE7" w14:textId="0C37A50B" w:rsidR="0033208F" w:rsidRPr="000F3ABE" w:rsidRDefault="00D44BDA" w:rsidP="00DF2786">
      <w:pPr>
        <w:pStyle w:val="ListParagraph"/>
        <w:numPr>
          <w:ilvl w:val="0"/>
          <w:numId w:val="2"/>
        </w:numPr>
        <w:spacing w:before="80"/>
        <w:rPr>
          <w:rFonts w:ascii="Calibri" w:hAnsi="Calibri" w:cs="Calibri"/>
        </w:rPr>
      </w:pPr>
      <w:r w:rsidRPr="000F3ABE">
        <w:rPr>
          <w:rFonts w:ascii="Calibri" w:hAnsi="Calibri" w:cs="Calibri"/>
        </w:rPr>
        <w:t>Concept 2</w:t>
      </w:r>
      <w:r w:rsidR="0033208F" w:rsidRPr="000F3ABE">
        <w:rPr>
          <w:rFonts w:ascii="Calibri" w:hAnsi="Calibri" w:cs="Calibri"/>
        </w:rPr>
        <w:t>:</w:t>
      </w:r>
      <w:r w:rsidR="005F435B" w:rsidRPr="000F3ABE">
        <w:rPr>
          <w:rFonts w:ascii="Calibri" w:hAnsi="Calibri" w:cs="Calibri"/>
        </w:rPr>
        <w:t xml:space="preserve"> Parking-Charging Hub</w:t>
      </w:r>
      <w:r w:rsidR="0033208F" w:rsidRPr="000F3ABE">
        <w:rPr>
          <w:rFonts w:ascii="Calibri" w:hAnsi="Calibri" w:cs="Calibri"/>
        </w:rPr>
        <w:t xml:space="preserve"> - I</w:t>
      </w:r>
      <w:r w:rsidR="005F435B" w:rsidRPr="000F3ABE">
        <w:rPr>
          <w:rFonts w:ascii="Calibri" w:hAnsi="Calibri" w:cs="Calibri"/>
        </w:rPr>
        <w:t>nclude</w:t>
      </w:r>
      <w:r w:rsidR="0033208F" w:rsidRPr="000F3ABE">
        <w:rPr>
          <w:rFonts w:ascii="Calibri" w:hAnsi="Calibri" w:cs="Calibri"/>
        </w:rPr>
        <w:t>s</w:t>
      </w:r>
      <w:r w:rsidR="005F435B" w:rsidRPr="000F3ABE">
        <w:rPr>
          <w:rFonts w:ascii="Calibri" w:hAnsi="Calibri" w:cs="Calibri"/>
        </w:rPr>
        <w:t xml:space="preserve"> </w:t>
      </w:r>
      <w:r w:rsidR="00D910DB" w:rsidRPr="000F3ABE">
        <w:rPr>
          <w:rFonts w:ascii="Calibri" w:hAnsi="Calibri" w:cs="Calibri"/>
        </w:rPr>
        <w:t>two</w:t>
      </w:r>
      <w:r w:rsidR="005F435B" w:rsidRPr="000F3ABE">
        <w:rPr>
          <w:rFonts w:ascii="Calibri" w:hAnsi="Calibri" w:cs="Calibri"/>
        </w:rPr>
        <w:t xml:space="preserve"> Level 3 Chargers, 48 Level 2 Chargers, a parking area of approximately 550 SY</w:t>
      </w:r>
      <w:r w:rsidR="00252C9D" w:rsidRPr="000F3ABE">
        <w:rPr>
          <w:rFonts w:ascii="Calibri" w:hAnsi="Calibri" w:cs="Calibri"/>
        </w:rPr>
        <w:t xml:space="preserve">, </w:t>
      </w:r>
      <w:r w:rsidR="0033208F" w:rsidRPr="000F3ABE">
        <w:rPr>
          <w:rFonts w:ascii="Calibri" w:hAnsi="Calibri" w:cs="Calibri"/>
        </w:rPr>
        <w:t>all</w:t>
      </w:r>
      <w:r w:rsidR="00FA0064" w:rsidRPr="000F3ABE">
        <w:rPr>
          <w:rFonts w:ascii="Calibri" w:hAnsi="Calibri" w:cs="Calibri"/>
        </w:rPr>
        <w:t>-</w:t>
      </w:r>
      <w:r w:rsidR="0033208F" w:rsidRPr="000F3ABE">
        <w:rPr>
          <w:rFonts w:ascii="Calibri" w:hAnsi="Calibri" w:cs="Calibri"/>
        </w:rPr>
        <w:t>inclusive cost of $</w:t>
      </w:r>
      <w:r w:rsidR="0000726F" w:rsidRPr="000F3ABE">
        <w:rPr>
          <w:rFonts w:ascii="Calibri" w:hAnsi="Calibri" w:cs="Calibri"/>
        </w:rPr>
        <w:t>1,9</w:t>
      </w:r>
      <w:r w:rsidR="00C95B9A" w:rsidRPr="000F3ABE">
        <w:rPr>
          <w:rFonts w:ascii="Calibri" w:hAnsi="Calibri" w:cs="Calibri"/>
        </w:rPr>
        <w:t>17,342</w:t>
      </w:r>
      <w:r w:rsidR="0000726F" w:rsidRPr="000F3ABE">
        <w:rPr>
          <w:rFonts w:ascii="Calibri" w:hAnsi="Calibri" w:cs="Calibri"/>
        </w:rPr>
        <w:t>.</w:t>
      </w:r>
    </w:p>
    <w:p w14:paraId="144E861D" w14:textId="75E93D2D" w:rsidR="00FA0064" w:rsidRPr="000F3ABE" w:rsidRDefault="00FA0064" w:rsidP="00DF2786">
      <w:pPr>
        <w:pStyle w:val="ListParagraph"/>
        <w:numPr>
          <w:ilvl w:val="0"/>
          <w:numId w:val="2"/>
        </w:numPr>
        <w:spacing w:before="80"/>
        <w:rPr>
          <w:rFonts w:ascii="Calibri" w:hAnsi="Calibri" w:cs="Calibri"/>
        </w:rPr>
      </w:pPr>
      <w:r w:rsidRPr="000F3ABE">
        <w:rPr>
          <w:rFonts w:ascii="Calibri" w:hAnsi="Calibri" w:cs="Calibri"/>
        </w:rPr>
        <w:t xml:space="preserve">Concept 3: </w:t>
      </w:r>
      <w:r w:rsidR="00252C9D" w:rsidRPr="000F3ABE">
        <w:rPr>
          <w:rFonts w:ascii="Calibri" w:hAnsi="Calibri" w:cs="Calibri"/>
        </w:rPr>
        <w:t>Hybrid Hub</w:t>
      </w:r>
      <w:r w:rsidRPr="000F3ABE">
        <w:rPr>
          <w:rFonts w:ascii="Calibri" w:hAnsi="Calibri" w:cs="Calibri"/>
        </w:rPr>
        <w:t xml:space="preserve"> -</w:t>
      </w:r>
      <w:r w:rsidR="00252C9D" w:rsidRPr="000F3ABE">
        <w:rPr>
          <w:rFonts w:ascii="Calibri" w:hAnsi="Calibri" w:cs="Calibri"/>
        </w:rPr>
        <w:t xml:space="preserve"> </w:t>
      </w:r>
      <w:r w:rsidRPr="000F3ABE">
        <w:rPr>
          <w:rFonts w:ascii="Calibri" w:hAnsi="Calibri" w:cs="Calibri"/>
        </w:rPr>
        <w:t>I</w:t>
      </w:r>
      <w:r w:rsidR="00252C9D" w:rsidRPr="000F3ABE">
        <w:rPr>
          <w:rFonts w:ascii="Calibri" w:hAnsi="Calibri" w:cs="Calibri"/>
        </w:rPr>
        <w:t>nclude</w:t>
      </w:r>
      <w:r w:rsidRPr="000F3ABE">
        <w:rPr>
          <w:rFonts w:ascii="Calibri" w:hAnsi="Calibri" w:cs="Calibri"/>
        </w:rPr>
        <w:t>s</w:t>
      </w:r>
      <w:r w:rsidR="00D910DB" w:rsidRPr="000F3ABE">
        <w:rPr>
          <w:rFonts w:ascii="Calibri" w:hAnsi="Calibri" w:cs="Calibri"/>
        </w:rPr>
        <w:t xml:space="preserve"> eight Level 3 Chargers, 12 Level 2 chargers, 1 </w:t>
      </w:r>
      <w:proofErr w:type="spellStart"/>
      <w:r w:rsidR="00D910DB" w:rsidRPr="000F3ABE">
        <w:rPr>
          <w:rFonts w:ascii="Calibri" w:hAnsi="Calibri" w:cs="Calibri"/>
        </w:rPr>
        <w:t>Megacharger</w:t>
      </w:r>
      <w:proofErr w:type="spellEnd"/>
      <w:r w:rsidR="00A32337" w:rsidRPr="000F3ABE">
        <w:rPr>
          <w:rFonts w:ascii="Calibri" w:hAnsi="Calibri" w:cs="Calibri"/>
        </w:rPr>
        <w:t xml:space="preserve">, </w:t>
      </w:r>
      <w:r w:rsidR="00F94813" w:rsidRPr="000F3ABE">
        <w:rPr>
          <w:rFonts w:ascii="Calibri" w:hAnsi="Calibri" w:cs="Calibri"/>
        </w:rPr>
        <w:t xml:space="preserve">a parking area of </w:t>
      </w:r>
      <w:r w:rsidR="005734E6" w:rsidRPr="000F3ABE">
        <w:rPr>
          <w:rFonts w:ascii="Calibri" w:hAnsi="Calibri" w:cs="Calibri"/>
        </w:rPr>
        <w:t xml:space="preserve">approximately </w:t>
      </w:r>
      <w:r w:rsidR="00EC54C3" w:rsidRPr="000F3ABE">
        <w:rPr>
          <w:rFonts w:ascii="Calibri" w:hAnsi="Calibri" w:cs="Calibri"/>
        </w:rPr>
        <w:t xml:space="preserve">275 SY, </w:t>
      </w:r>
      <w:r w:rsidRPr="000F3ABE">
        <w:rPr>
          <w:rFonts w:ascii="Calibri" w:hAnsi="Calibri" w:cs="Calibri"/>
        </w:rPr>
        <w:t xml:space="preserve">all-inclusive cost of </w:t>
      </w:r>
      <w:r w:rsidR="00EC54C3" w:rsidRPr="000F3ABE">
        <w:rPr>
          <w:rFonts w:ascii="Calibri" w:hAnsi="Calibri" w:cs="Calibri"/>
        </w:rPr>
        <w:t>$</w:t>
      </w:r>
      <w:r w:rsidR="00891887" w:rsidRPr="000F3ABE">
        <w:rPr>
          <w:rFonts w:ascii="Calibri" w:hAnsi="Calibri" w:cs="Calibri"/>
        </w:rPr>
        <w:t>7,</w:t>
      </w:r>
      <w:r w:rsidR="00C95B9A" w:rsidRPr="000F3ABE">
        <w:rPr>
          <w:rFonts w:ascii="Calibri" w:hAnsi="Calibri" w:cs="Calibri"/>
        </w:rPr>
        <w:t>600,401</w:t>
      </w:r>
      <w:r w:rsidRPr="000F3ABE">
        <w:rPr>
          <w:rFonts w:ascii="Calibri" w:hAnsi="Calibri" w:cs="Calibri"/>
        </w:rPr>
        <w:t>.</w:t>
      </w:r>
    </w:p>
    <w:p w14:paraId="10B34CBD" w14:textId="37B90CED" w:rsidR="000E26F0" w:rsidRPr="000F3ABE" w:rsidRDefault="00EB01DF" w:rsidP="00DF2786">
      <w:pPr>
        <w:spacing w:before="80"/>
        <w:rPr>
          <w:rFonts w:ascii="Calibri" w:hAnsi="Calibri" w:cs="Calibri"/>
        </w:rPr>
      </w:pPr>
      <w:r w:rsidRPr="000F3ABE">
        <w:rPr>
          <w:rFonts w:ascii="Calibri" w:hAnsi="Calibri" w:cs="Calibri"/>
        </w:rPr>
        <w:t>NYC DOT</w:t>
      </w:r>
      <w:r w:rsidR="007F3C97" w:rsidRPr="000F3ABE">
        <w:rPr>
          <w:rFonts w:ascii="Calibri" w:hAnsi="Calibri" w:cs="Calibri"/>
        </w:rPr>
        <w:t xml:space="preserve"> </w:t>
      </w:r>
      <w:r w:rsidR="0086471E" w:rsidRPr="000F3ABE">
        <w:rPr>
          <w:rFonts w:ascii="Calibri" w:hAnsi="Calibri" w:cs="Calibri"/>
        </w:rPr>
        <w:t xml:space="preserve">may alter </w:t>
      </w:r>
      <w:r w:rsidR="007F3C97" w:rsidRPr="000F3ABE">
        <w:rPr>
          <w:rFonts w:ascii="Calibri" w:hAnsi="Calibri" w:cs="Calibri"/>
        </w:rPr>
        <w:t xml:space="preserve">the concepts </w:t>
      </w:r>
      <w:r w:rsidR="0086471E" w:rsidRPr="000F3ABE">
        <w:rPr>
          <w:rFonts w:ascii="Calibri" w:hAnsi="Calibri" w:cs="Calibri"/>
        </w:rPr>
        <w:t xml:space="preserve">during implementation to maximize use of grant funds and </w:t>
      </w:r>
      <w:r w:rsidR="00990D9D" w:rsidRPr="000F3ABE">
        <w:rPr>
          <w:rFonts w:ascii="Calibri" w:hAnsi="Calibri" w:cs="Calibri"/>
        </w:rPr>
        <w:t xml:space="preserve">provide optimal usage of existing space. </w:t>
      </w:r>
      <w:r w:rsidR="0086471E" w:rsidRPr="000F3ABE">
        <w:rPr>
          <w:rFonts w:ascii="Calibri" w:hAnsi="Calibri" w:cs="Calibri"/>
        </w:rPr>
        <w:t xml:space="preserve"> </w:t>
      </w:r>
    </w:p>
    <w:p w14:paraId="127714F3" w14:textId="47D77766" w:rsidR="002B1CED" w:rsidRPr="000F3ABE" w:rsidRDefault="002E0C09" w:rsidP="00DF2786">
      <w:pPr>
        <w:spacing w:before="80"/>
        <w:rPr>
          <w:rFonts w:ascii="Calibri" w:eastAsia="Times New Roman" w:hAnsi="Calibri" w:cs="Calibri"/>
          <w:kern w:val="0"/>
          <w:lang w:val="x-none"/>
        </w:rPr>
      </w:pPr>
      <w:r w:rsidRPr="000F3ABE">
        <w:rPr>
          <w:rFonts w:ascii="Calibri" w:hAnsi="Calibri" w:cs="Calibri"/>
        </w:rPr>
        <w:t>C</w:t>
      </w:r>
      <w:r w:rsidR="00AD1993" w:rsidRPr="000F3ABE">
        <w:rPr>
          <w:rFonts w:ascii="Calibri" w:hAnsi="Calibri" w:cs="Calibri"/>
        </w:rPr>
        <w:t>ontractual costs include a</w:t>
      </w:r>
      <w:r w:rsidR="006F0E7E" w:rsidRPr="000F3ABE">
        <w:rPr>
          <w:rFonts w:ascii="Calibri" w:hAnsi="Calibri" w:cs="Calibri"/>
        </w:rPr>
        <w:t xml:space="preserve"> design </w:t>
      </w:r>
      <w:r w:rsidRPr="000F3ABE">
        <w:rPr>
          <w:rFonts w:ascii="Calibri" w:hAnsi="Calibri" w:cs="Calibri"/>
        </w:rPr>
        <w:t xml:space="preserve">allowance </w:t>
      </w:r>
      <w:r w:rsidR="006F0E7E" w:rsidRPr="000F3ABE">
        <w:rPr>
          <w:rFonts w:ascii="Calibri" w:hAnsi="Calibri" w:cs="Calibri"/>
        </w:rPr>
        <w:t>(8% of construction)</w:t>
      </w:r>
      <w:r w:rsidR="00693245" w:rsidRPr="000F3ABE">
        <w:rPr>
          <w:rFonts w:ascii="Calibri" w:hAnsi="Calibri" w:cs="Calibri"/>
        </w:rPr>
        <w:t>.</w:t>
      </w:r>
      <w:r w:rsidR="003A4558" w:rsidRPr="000F3ABE">
        <w:rPr>
          <w:rFonts w:ascii="Calibri" w:hAnsi="Calibri" w:cs="Calibri"/>
        </w:rPr>
        <w:t xml:space="preserve"> Design includes environmental reviews and approvals necessary for compliance.</w:t>
      </w:r>
      <w:r w:rsidR="00693245" w:rsidRPr="000F3ABE">
        <w:rPr>
          <w:rFonts w:ascii="Calibri" w:hAnsi="Calibri" w:cs="Calibri"/>
        </w:rPr>
        <w:t xml:space="preserve"> </w:t>
      </w:r>
      <w:r w:rsidRPr="000F3ABE">
        <w:rPr>
          <w:rFonts w:ascii="Calibri" w:hAnsi="Calibri" w:cs="Calibri"/>
        </w:rPr>
        <w:t>C</w:t>
      </w:r>
      <w:r w:rsidR="00C959AE" w:rsidRPr="000F3ABE">
        <w:rPr>
          <w:rFonts w:ascii="Calibri" w:hAnsi="Calibri" w:cs="Calibri"/>
        </w:rPr>
        <w:t>osts provided above are base costs in 2024 dollars</w:t>
      </w:r>
      <w:r w:rsidR="003319C3" w:rsidRPr="000F3ABE">
        <w:rPr>
          <w:rFonts w:ascii="Calibri" w:hAnsi="Calibri" w:cs="Calibri"/>
        </w:rPr>
        <w:t xml:space="preserve">; </w:t>
      </w:r>
      <w:r w:rsidR="00C959AE" w:rsidRPr="000F3ABE">
        <w:rPr>
          <w:rFonts w:ascii="Calibri" w:hAnsi="Calibri" w:cs="Calibri"/>
        </w:rPr>
        <w:t xml:space="preserve">the budget table </w:t>
      </w:r>
      <w:r w:rsidR="007B341E" w:rsidRPr="000F3ABE">
        <w:rPr>
          <w:rFonts w:ascii="Calibri" w:hAnsi="Calibri" w:cs="Calibri"/>
        </w:rPr>
        <w:t>reflect</w:t>
      </w:r>
      <w:r w:rsidR="000821A5" w:rsidRPr="000F3ABE">
        <w:rPr>
          <w:rFonts w:ascii="Calibri" w:hAnsi="Calibri" w:cs="Calibri"/>
        </w:rPr>
        <w:t>s escalation for</w:t>
      </w:r>
      <w:r w:rsidR="007B341E" w:rsidRPr="000F3ABE">
        <w:rPr>
          <w:rFonts w:ascii="Calibri" w:hAnsi="Calibri" w:cs="Calibri"/>
        </w:rPr>
        <w:t xml:space="preserve"> future spending</w:t>
      </w:r>
      <w:r w:rsidR="00693245" w:rsidRPr="000F3ABE">
        <w:rPr>
          <w:rFonts w:ascii="Calibri" w:hAnsi="Calibri" w:cs="Calibri"/>
        </w:rPr>
        <w:t xml:space="preserve"> </w:t>
      </w:r>
      <w:r w:rsidR="00E753F4" w:rsidRPr="000F3ABE">
        <w:rPr>
          <w:rFonts w:ascii="Calibri" w:hAnsi="Calibri" w:cs="Calibri"/>
        </w:rPr>
        <w:t>using</w:t>
      </w:r>
      <w:r w:rsidR="00693245" w:rsidRPr="000F3ABE">
        <w:rPr>
          <w:rFonts w:ascii="Calibri" w:hAnsi="Calibri" w:cs="Calibri"/>
        </w:rPr>
        <w:t xml:space="preserve"> a</w:t>
      </w:r>
      <w:r w:rsidR="00E753F4" w:rsidRPr="000F3ABE">
        <w:rPr>
          <w:rFonts w:ascii="Calibri" w:hAnsi="Calibri" w:cs="Calibri"/>
        </w:rPr>
        <w:t xml:space="preserve"> 4%</w:t>
      </w:r>
      <w:r w:rsidR="00693245" w:rsidRPr="000F3ABE">
        <w:rPr>
          <w:rFonts w:ascii="Calibri" w:hAnsi="Calibri" w:cs="Calibri"/>
        </w:rPr>
        <w:t xml:space="preserve"> in</w:t>
      </w:r>
      <w:r w:rsidR="008D20CA" w:rsidRPr="000F3ABE">
        <w:rPr>
          <w:rFonts w:ascii="Calibri" w:hAnsi="Calibri" w:cs="Calibri"/>
        </w:rPr>
        <w:t>flation</w:t>
      </w:r>
      <w:r w:rsidR="00693245" w:rsidRPr="000F3ABE">
        <w:rPr>
          <w:rFonts w:ascii="Calibri" w:hAnsi="Calibri" w:cs="Calibri"/>
        </w:rPr>
        <w:t xml:space="preserve"> rate</w:t>
      </w:r>
      <w:r w:rsidR="00A02A9C" w:rsidRPr="000F3ABE">
        <w:rPr>
          <w:rFonts w:ascii="Calibri" w:hAnsi="Calibri" w:cs="Calibri"/>
        </w:rPr>
        <w:t xml:space="preserve"> </w:t>
      </w:r>
      <w:r w:rsidR="007B341E" w:rsidRPr="000F3ABE">
        <w:rPr>
          <w:rFonts w:ascii="Calibri" w:hAnsi="Calibri" w:cs="Calibri"/>
        </w:rPr>
        <w:t>typically used</w:t>
      </w:r>
      <w:r w:rsidR="00A02A9C" w:rsidRPr="000F3ABE">
        <w:rPr>
          <w:rFonts w:ascii="Calibri" w:hAnsi="Calibri" w:cs="Calibri"/>
        </w:rPr>
        <w:t xml:space="preserve"> on NYC projects</w:t>
      </w:r>
      <w:r w:rsidR="00693245" w:rsidRPr="000F3ABE">
        <w:rPr>
          <w:rFonts w:ascii="Calibri" w:hAnsi="Calibri" w:cs="Calibri"/>
        </w:rPr>
        <w:t>.</w:t>
      </w:r>
      <w:r w:rsidR="00E44432" w:rsidRPr="000F3ABE">
        <w:rPr>
          <w:rFonts w:ascii="Calibri" w:hAnsi="Calibri" w:cs="Calibri"/>
        </w:rPr>
        <w:t xml:space="preserve"> </w:t>
      </w:r>
      <w:r w:rsidR="00D74C98" w:rsidRPr="000F3ABE">
        <w:rPr>
          <w:rFonts w:ascii="Calibri" w:hAnsi="Calibri" w:cs="Calibri"/>
        </w:rPr>
        <w:t>BABA requirements</w:t>
      </w:r>
      <w:r w:rsidR="00F43E9A" w:rsidRPr="000F3ABE">
        <w:rPr>
          <w:rFonts w:ascii="Calibri" w:hAnsi="Calibri" w:cs="Calibri"/>
        </w:rPr>
        <w:t xml:space="preserve"> </w:t>
      </w:r>
      <w:r w:rsidR="00A13FD0" w:rsidRPr="000F3ABE">
        <w:rPr>
          <w:rFonts w:ascii="Calibri" w:hAnsi="Calibri" w:cs="Calibri"/>
        </w:rPr>
        <w:t>were considered</w:t>
      </w:r>
      <w:r w:rsidR="00F43E9A" w:rsidRPr="000F3ABE">
        <w:rPr>
          <w:rFonts w:ascii="Calibri" w:hAnsi="Calibri" w:cs="Calibri"/>
        </w:rPr>
        <w:t xml:space="preserve"> when estimating costs.</w:t>
      </w:r>
    </w:p>
    <w:p w14:paraId="383A6FB0" w14:textId="243C1B03" w:rsidR="002B1CED" w:rsidRPr="000F3ABE" w:rsidRDefault="002B1CED" w:rsidP="00DF2786">
      <w:pPr>
        <w:spacing w:before="80"/>
        <w:rPr>
          <w:rFonts w:ascii="Calibri" w:eastAsia="Times New Roman" w:hAnsi="Calibri" w:cs="Calibri"/>
          <w:kern w:val="0"/>
          <w:lang w:val="x-none"/>
        </w:rPr>
      </w:pPr>
      <w:r w:rsidRPr="000F3ABE">
        <w:rPr>
          <w:rFonts w:ascii="Calibri" w:eastAsia="Times New Roman" w:hAnsi="Calibri" w:cs="Calibri"/>
          <w:kern w:val="0"/>
          <w:lang w:val="x-none"/>
        </w:rPr>
        <w:t xml:space="preserve">$1,500,000 is requested to </w:t>
      </w:r>
      <w:r w:rsidR="006B6DD0" w:rsidRPr="000F3ABE">
        <w:rPr>
          <w:rFonts w:ascii="Calibri" w:hAnsi="Calibri" w:cs="Calibri"/>
        </w:rPr>
        <w:t>engage a consultant to administer</w:t>
      </w:r>
      <w:r w:rsidR="00CE6593" w:rsidRPr="000F3ABE">
        <w:rPr>
          <w:rFonts w:ascii="Calibri" w:hAnsi="Calibri" w:cs="Calibri"/>
        </w:rPr>
        <w:t xml:space="preserve"> the</w:t>
      </w:r>
      <w:r w:rsidRPr="000F3ABE">
        <w:rPr>
          <w:rFonts w:ascii="Calibri" w:hAnsi="Calibri" w:cs="Calibri"/>
        </w:rPr>
        <w:t xml:space="preserve"> RFAS</w:t>
      </w:r>
      <w:r w:rsidR="00195610" w:rsidRPr="000F3ABE">
        <w:rPr>
          <w:rFonts w:ascii="Calibri" w:hAnsi="Calibri" w:cs="Calibri"/>
        </w:rPr>
        <w:t xml:space="preserve"> </w:t>
      </w:r>
      <w:r w:rsidRPr="000F3ABE">
        <w:rPr>
          <w:rFonts w:ascii="Calibri" w:hAnsi="Calibri" w:cs="Calibri"/>
        </w:rPr>
        <w:t xml:space="preserve">program under this measure. Funding for this program will be used to </w:t>
      </w:r>
      <w:r w:rsidR="00400614" w:rsidRPr="000F3ABE">
        <w:rPr>
          <w:rFonts w:ascii="Calibri" w:hAnsi="Calibri" w:cs="Calibri"/>
        </w:rPr>
        <w:t>assi</w:t>
      </w:r>
      <w:r w:rsidR="009A39B0" w:rsidRPr="000F3ABE">
        <w:rPr>
          <w:rFonts w:ascii="Calibri" w:hAnsi="Calibri" w:cs="Calibri"/>
        </w:rPr>
        <w:t>s</w:t>
      </w:r>
      <w:r w:rsidR="00400614" w:rsidRPr="000F3ABE">
        <w:rPr>
          <w:rFonts w:ascii="Calibri" w:hAnsi="Calibri" w:cs="Calibri"/>
        </w:rPr>
        <w:t>t</w:t>
      </w:r>
      <w:r w:rsidRPr="000F3ABE">
        <w:rPr>
          <w:rFonts w:ascii="Calibri" w:hAnsi="Calibri" w:cs="Calibri"/>
        </w:rPr>
        <w:t xml:space="preserve"> with personalized fleet electrification and decarbonization reports and transition assistance for 55-100 regionally based fleets.</w:t>
      </w:r>
      <w:r w:rsidR="008C2C71" w:rsidRPr="000F3ABE">
        <w:rPr>
          <w:rFonts w:ascii="Calibri" w:hAnsi="Calibri" w:cs="Calibri"/>
        </w:rPr>
        <w:t xml:space="preserve"> </w:t>
      </w:r>
    </w:p>
    <w:p w14:paraId="545F5E30" w14:textId="03EB7987"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Other Direct Costs</w:t>
      </w:r>
      <w:r w:rsidR="00D83E5A" w:rsidRPr="000F3ABE">
        <w:rPr>
          <w:rFonts w:ascii="Calibri" w:hAnsi="Calibri" w:cs="Calibri"/>
          <w:b/>
          <w:bCs/>
          <w:color w:val="auto"/>
          <w:sz w:val="22"/>
          <w:szCs w:val="22"/>
        </w:rPr>
        <w:t xml:space="preserve">: </w:t>
      </w:r>
      <w:r w:rsidR="002E33C7" w:rsidRPr="000F3ABE">
        <w:rPr>
          <w:rFonts w:ascii="Calibri" w:hAnsi="Calibri" w:cs="Calibri"/>
          <w:color w:val="auto"/>
          <w:sz w:val="22"/>
          <w:szCs w:val="22"/>
        </w:rPr>
        <w:t>$100,000</w:t>
      </w:r>
    </w:p>
    <w:p w14:paraId="1046D4AB" w14:textId="122E7BE6" w:rsidR="002B1CED" w:rsidRPr="000F3ABE" w:rsidRDefault="0000731C" w:rsidP="00DF2786">
      <w:pPr>
        <w:spacing w:before="80"/>
        <w:rPr>
          <w:rFonts w:ascii="Calibri" w:hAnsi="Calibri" w:cs="Calibri"/>
        </w:rPr>
      </w:pPr>
      <w:r w:rsidRPr="000F3ABE">
        <w:rPr>
          <w:rFonts w:ascii="Calibri" w:hAnsi="Calibri" w:cs="Calibri"/>
        </w:rPr>
        <w:t>$100,000 in o</w:t>
      </w:r>
      <w:r w:rsidR="002E33C7" w:rsidRPr="000F3ABE">
        <w:rPr>
          <w:rFonts w:ascii="Calibri" w:hAnsi="Calibri" w:cs="Calibri"/>
        </w:rPr>
        <w:t>ther direct costs are requested for community engagement costs. Community engagement costs include expenses related to building local partnerships, soliciting feedback from the surrounding communities, and ensuring successful project implementation.</w:t>
      </w:r>
    </w:p>
    <w:p w14:paraId="69AD3505" w14:textId="301DC00F" w:rsidR="000C7C39" w:rsidRPr="000F3ABE" w:rsidRDefault="000C7C39" w:rsidP="00DF2786">
      <w:pPr>
        <w:pStyle w:val="Heading2"/>
        <w:spacing w:before="80" w:after="0"/>
        <w:jc w:val="both"/>
        <w:rPr>
          <w:rFonts w:ascii="Calibri" w:hAnsi="Calibri" w:cs="Calibri"/>
          <w:color w:val="auto"/>
          <w:sz w:val="22"/>
          <w:szCs w:val="22"/>
        </w:rPr>
      </w:pPr>
      <w:r w:rsidRPr="000F3ABE">
        <w:rPr>
          <w:rFonts w:ascii="Calibri" w:hAnsi="Calibri" w:cs="Calibri"/>
          <w:b/>
          <w:bCs/>
          <w:color w:val="auto"/>
          <w:sz w:val="22"/>
          <w:szCs w:val="22"/>
        </w:rPr>
        <w:t>Indirect Costs</w:t>
      </w:r>
      <w:r w:rsidR="003E4C0B" w:rsidRPr="000F3ABE">
        <w:rPr>
          <w:rFonts w:ascii="Calibri" w:hAnsi="Calibri" w:cs="Calibri"/>
          <w:b/>
          <w:bCs/>
          <w:color w:val="auto"/>
          <w:sz w:val="22"/>
          <w:szCs w:val="22"/>
        </w:rPr>
        <w:t>:</w:t>
      </w:r>
      <w:r w:rsidR="003E4C0B" w:rsidRPr="000F3ABE">
        <w:rPr>
          <w:rFonts w:ascii="Calibri" w:hAnsi="Calibri" w:cs="Calibri"/>
          <w:color w:val="auto"/>
          <w:sz w:val="22"/>
          <w:szCs w:val="22"/>
        </w:rPr>
        <w:t xml:space="preserve"> None</w:t>
      </w:r>
    </w:p>
    <w:p w14:paraId="4D4EBE4D" w14:textId="16D7ED74" w:rsidR="009A39B0" w:rsidRPr="00664FF3" w:rsidRDefault="00B058D5" w:rsidP="00DF2786">
      <w:pPr>
        <w:spacing w:before="80" w:after="240"/>
        <w:jc w:val="both"/>
        <w:rPr>
          <w:rFonts w:ascii="Calibri" w:hAnsi="Calibri" w:cs="Calibri"/>
        </w:rPr>
      </w:pPr>
      <w:r w:rsidRPr="000F3ABE">
        <w:rPr>
          <w:rFonts w:ascii="Calibri" w:hAnsi="Calibri" w:cs="Calibri"/>
        </w:rPr>
        <w:t>Indirect Costs are not req</w:t>
      </w:r>
      <w:r w:rsidRPr="00664FF3">
        <w:rPr>
          <w:rFonts w:ascii="Calibri" w:hAnsi="Calibri" w:cs="Calibri"/>
        </w:rPr>
        <w:t>uested for Truck Electrification and Parking.</w:t>
      </w:r>
    </w:p>
    <w:p w14:paraId="776D08B5" w14:textId="63220BDE" w:rsidR="00705050" w:rsidRPr="00664FF3" w:rsidRDefault="009A39B0" w:rsidP="00DF2786">
      <w:pPr>
        <w:pStyle w:val="Heading1"/>
        <w:spacing w:before="80" w:after="0"/>
        <w:rPr>
          <w:rFonts w:ascii="Calibri" w:hAnsi="Calibri" w:cs="Calibri"/>
          <w:color w:val="auto"/>
          <w:sz w:val="28"/>
          <w:szCs w:val="28"/>
        </w:rPr>
      </w:pPr>
      <w:r w:rsidRPr="00664FF3">
        <w:rPr>
          <w:rFonts w:ascii="Calibri" w:hAnsi="Calibri" w:cs="Calibri"/>
          <w:color w:val="auto"/>
          <w:sz w:val="28"/>
          <w:szCs w:val="28"/>
        </w:rPr>
        <w:t>REASONABLENESS OF COSTS</w:t>
      </w:r>
    </w:p>
    <w:p w14:paraId="724051C4" w14:textId="2C2E2D60" w:rsidR="001264ED" w:rsidRPr="00664FF3" w:rsidRDefault="00705050" w:rsidP="00DF2786">
      <w:pPr>
        <w:spacing w:before="0"/>
        <w:rPr>
          <w:rFonts w:ascii="Calibri" w:hAnsi="Calibri" w:cs="Calibri"/>
        </w:rPr>
      </w:pPr>
      <w:r w:rsidRPr="00664FF3">
        <w:rPr>
          <w:rFonts w:ascii="Calibri" w:hAnsi="Calibri" w:cs="Calibri"/>
        </w:rPr>
        <w:t>The viability and cost effectiveness of these solutions is driven by the experience of this coalition implementing similar measures, multiple data-driven planning studies, and market research to develop and prioritize solutions that will maximize the impact of every dollar spent while benefitting underserved communities.</w:t>
      </w:r>
      <w:r w:rsidR="008C12BC" w:rsidRPr="00664FF3">
        <w:rPr>
          <w:rFonts w:ascii="Calibri" w:hAnsi="Calibri" w:cs="Calibri"/>
        </w:rPr>
        <w:t xml:space="preserve"> </w:t>
      </w:r>
      <w:r w:rsidR="00836661" w:rsidRPr="00664FF3">
        <w:rPr>
          <w:rFonts w:ascii="Calibri" w:hAnsi="Calibri" w:cs="Calibri"/>
        </w:rPr>
        <w:t>For example, the City’s determination of cost effectiveness will build off the pilot Cargo Bike program</w:t>
      </w:r>
      <w:r w:rsidR="00C04C6A" w:rsidRPr="00664FF3">
        <w:rPr>
          <w:rFonts w:ascii="Calibri" w:hAnsi="Calibri" w:cs="Calibri"/>
        </w:rPr>
        <w:t xml:space="preserve">, </w:t>
      </w:r>
      <w:r w:rsidR="00836661" w:rsidRPr="00664FF3">
        <w:rPr>
          <w:rFonts w:ascii="Calibri" w:hAnsi="Calibri" w:cs="Calibri"/>
        </w:rPr>
        <w:t>Clean Trucks program</w:t>
      </w:r>
      <w:r w:rsidR="00C04C6A" w:rsidRPr="00664FF3">
        <w:rPr>
          <w:rFonts w:ascii="Calibri" w:hAnsi="Calibri" w:cs="Calibri"/>
        </w:rPr>
        <w:t>, and pilot Blue Highway</w:t>
      </w:r>
      <w:r w:rsidR="001C710A" w:rsidRPr="00664FF3">
        <w:rPr>
          <w:rFonts w:ascii="Calibri" w:hAnsi="Calibri" w:cs="Calibri"/>
        </w:rPr>
        <w:t xml:space="preserve"> sites</w:t>
      </w:r>
      <w:r w:rsidR="00E134A3" w:rsidRPr="00664FF3">
        <w:rPr>
          <w:rFonts w:ascii="Calibri" w:hAnsi="Calibri" w:cs="Calibri"/>
        </w:rPr>
        <w:t>;</w:t>
      </w:r>
      <w:r w:rsidR="00836661" w:rsidRPr="00664FF3">
        <w:rPr>
          <w:rFonts w:ascii="Calibri" w:hAnsi="Calibri" w:cs="Calibri"/>
        </w:rPr>
        <w:t xml:space="preserve"> the competitively procure</w:t>
      </w:r>
      <w:r w:rsidR="00B37BB0" w:rsidRPr="00664FF3">
        <w:rPr>
          <w:rFonts w:ascii="Calibri" w:hAnsi="Calibri" w:cs="Calibri"/>
        </w:rPr>
        <w:t xml:space="preserve">d Blue Highway and Clean Truck Request for </w:t>
      </w:r>
      <w:r w:rsidR="00D65C2B" w:rsidRPr="00664FF3">
        <w:rPr>
          <w:rFonts w:ascii="Calibri" w:hAnsi="Calibri" w:cs="Calibri"/>
        </w:rPr>
        <w:t>Expression of Interest</w:t>
      </w:r>
      <w:r w:rsidR="00465BB0" w:rsidRPr="00664FF3">
        <w:rPr>
          <w:rFonts w:ascii="Calibri" w:hAnsi="Calibri" w:cs="Calibri"/>
        </w:rPr>
        <w:t xml:space="preserve"> </w:t>
      </w:r>
      <w:r w:rsidR="00D65C2B" w:rsidRPr="00664FF3">
        <w:rPr>
          <w:rFonts w:ascii="Calibri" w:hAnsi="Calibri" w:cs="Calibri"/>
        </w:rPr>
        <w:t>(RFEIs)</w:t>
      </w:r>
      <w:r w:rsidR="00E134A3" w:rsidRPr="00664FF3">
        <w:rPr>
          <w:rFonts w:ascii="Calibri" w:hAnsi="Calibri" w:cs="Calibri"/>
        </w:rPr>
        <w:t>;</w:t>
      </w:r>
      <w:r w:rsidR="00C04C6A" w:rsidRPr="00664FF3">
        <w:rPr>
          <w:rFonts w:ascii="Calibri" w:hAnsi="Calibri" w:cs="Calibri"/>
        </w:rPr>
        <w:t xml:space="preserve"> the Clean Truck Study</w:t>
      </w:r>
      <w:r w:rsidR="00E134A3" w:rsidRPr="00664FF3">
        <w:rPr>
          <w:rFonts w:ascii="Calibri" w:hAnsi="Calibri" w:cs="Calibri"/>
        </w:rPr>
        <w:t>;</w:t>
      </w:r>
      <w:r w:rsidR="0007346B" w:rsidRPr="00664FF3">
        <w:rPr>
          <w:rFonts w:ascii="Calibri" w:hAnsi="Calibri" w:cs="Calibri"/>
        </w:rPr>
        <w:t xml:space="preserve"> </w:t>
      </w:r>
      <w:r w:rsidR="00E134A3" w:rsidRPr="00664FF3">
        <w:rPr>
          <w:rFonts w:ascii="Calibri" w:hAnsi="Calibri" w:cs="Calibri"/>
        </w:rPr>
        <w:t>and</w:t>
      </w:r>
      <w:r w:rsidR="0007346B" w:rsidRPr="00664FF3">
        <w:rPr>
          <w:rFonts w:ascii="Calibri" w:hAnsi="Calibri" w:cs="Calibri"/>
        </w:rPr>
        <w:t xml:space="preserve"> NYCEDC’s and PANYNJ’s extensive experience building on NYC’s waterfront.</w:t>
      </w:r>
      <w:r w:rsidR="00FA40DD" w:rsidRPr="00664FF3">
        <w:rPr>
          <w:rFonts w:ascii="Calibri" w:hAnsi="Calibri" w:cs="Calibri"/>
        </w:rPr>
        <w:t xml:space="preserve"> All costs provided have been developed collaboratively with support from experienced engineers and cost estimators an</w:t>
      </w:r>
      <w:r w:rsidR="006209B1" w:rsidRPr="00664FF3">
        <w:rPr>
          <w:rFonts w:ascii="Calibri" w:hAnsi="Calibri" w:cs="Calibri"/>
        </w:rPr>
        <w:t>d incorporate industry best practices.</w:t>
      </w:r>
      <w:r w:rsidR="00C04C6A" w:rsidRPr="00664FF3">
        <w:rPr>
          <w:rFonts w:ascii="Calibri" w:hAnsi="Calibri" w:cs="Calibri"/>
        </w:rPr>
        <w:t xml:space="preserve"> </w:t>
      </w:r>
      <w:r w:rsidRPr="00664FF3">
        <w:rPr>
          <w:rFonts w:ascii="Calibri" w:hAnsi="Calibri" w:cs="Calibri"/>
        </w:rPr>
        <w:t>The cost-effectiveness of these projects is especially evident considering the high prevailing costs in NYC compared to the rest of the U.S. Installation costs in NYC are 74% higher than they are in 30 other major cities, and NYC remains the highest cost of construction market in the country partly due to high material and labor costs.</w:t>
      </w:r>
    </w:p>
    <w:sectPr w:rsidR="001264ED" w:rsidRPr="00664FF3" w:rsidSect="005433AB">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C76616" w14:textId="77777777" w:rsidR="005433AB" w:rsidRDefault="005433AB" w:rsidP="00EE2F44">
      <w:pPr>
        <w:spacing w:before="0"/>
      </w:pPr>
      <w:r>
        <w:separator/>
      </w:r>
    </w:p>
  </w:endnote>
  <w:endnote w:type="continuationSeparator" w:id="0">
    <w:p w14:paraId="11D790EA" w14:textId="77777777" w:rsidR="005433AB" w:rsidRDefault="005433AB" w:rsidP="00EE2F44">
      <w:pPr>
        <w:spacing w:before="0"/>
      </w:pPr>
      <w:r>
        <w:continuationSeparator/>
      </w:r>
    </w:p>
  </w:endnote>
  <w:endnote w:type="continuationNotice" w:id="1">
    <w:p w14:paraId="2DC220F3" w14:textId="77777777" w:rsidR="005433AB" w:rsidRDefault="005433A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9656403"/>
      <w:docPartObj>
        <w:docPartGallery w:val="Page Numbers (Bottom of Page)"/>
        <w:docPartUnique/>
      </w:docPartObj>
    </w:sdtPr>
    <w:sdtEndPr>
      <w:rPr>
        <w:noProof/>
      </w:rPr>
    </w:sdtEndPr>
    <w:sdtContent>
      <w:p w14:paraId="6E110B0D" w14:textId="4115BE0C" w:rsidR="00DC024A" w:rsidRDefault="00DC024A">
        <w:pPr>
          <w:pStyle w:val="Footer"/>
        </w:pPr>
        <w:r>
          <w:fldChar w:fldCharType="begin"/>
        </w:r>
        <w:r>
          <w:instrText xml:space="preserve"> PAGE   \* MERGEFORMAT </w:instrText>
        </w:r>
        <w:r>
          <w:fldChar w:fldCharType="separate"/>
        </w:r>
        <w:r>
          <w:rPr>
            <w:noProof/>
          </w:rPr>
          <w:t>2</w:t>
        </w:r>
        <w:r>
          <w:rPr>
            <w:noProof/>
          </w:rPr>
          <w:fldChar w:fldCharType="end"/>
        </w:r>
      </w:p>
    </w:sdtContent>
  </w:sdt>
  <w:p w14:paraId="4685ADC5" w14:textId="77777777" w:rsidR="00CC49E3" w:rsidRDefault="00CC49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7C9BD" w14:textId="77777777" w:rsidR="005433AB" w:rsidRDefault="005433AB" w:rsidP="00EE2F44">
      <w:pPr>
        <w:spacing w:before="0"/>
      </w:pPr>
      <w:r>
        <w:separator/>
      </w:r>
    </w:p>
  </w:footnote>
  <w:footnote w:type="continuationSeparator" w:id="0">
    <w:p w14:paraId="4C3D1095" w14:textId="77777777" w:rsidR="005433AB" w:rsidRDefault="005433AB" w:rsidP="00EE2F44">
      <w:pPr>
        <w:spacing w:before="0"/>
      </w:pPr>
      <w:r>
        <w:continuationSeparator/>
      </w:r>
    </w:p>
  </w:footnote>
  <w:footnote w:type="continuationNotice" w:id="1">
    <w:p w14:paraId="0FC7EC03" w14:textId="77777777" w:rsidR="005433AB" w:rsidRDefault="005433A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2882C" w14:textId="61CCEE30" w:rsidR="008F44BA" w:rsidRDefault="00AF74C9" w:rsidP="00DF2786">
    <w:r w:rsidRPr="00DF2786">
      <w:rPr>
        <w:rFonts w:ascii="Calibri" w:eastAsia="Calibri" w:hAnsi="Calibri" w:cs="Calibri"/>
        <w:color w:val="000000" w:themeColor="text1"/>
      </w:rPr>
      <w:t>CPRG-I</w:t>
    </w:r>
    <w:r>
      <w:rPr>
        <w:rFonts w:ascii="Calibri" w:eastAsia="Calibri" w:hAnsi="Calibri" w:cs="Calibri"/>
        <w:i/>
        <w:iCs/>
        <w:color w:val="000000" w:themeColor="text1"/>
      </w:rPr>
      <w:t xml:space="preserve"> </w:t>
    </w:r>
    <w:r w:rsidR="00D97CF2" w:rsidRPr="00A04F1D">
      <w:rPr>
        <w:rFonts w:ascii="Calibri" w:eastAsia="Calibri" w:hAnsi="Calibri" w:cs="Calibri"/>
        <w:i/>
        <w:iCs/>
        <w:color w:val="000000" w:themeColor="text1"/>
      </w:rPr>
      <w:t>FREIGHT 2030</w:t>
    </w:r>
    <w:r w:rsidR="00D97CF2" w:rsidRPr="00A04F1D">
      <w:rPr>
        <w:rFonts w:ascii="Calibri" w:eastAsia="Calibri" w:hAnsi="Calibri" w:cs="Calibri"/>
        <w:color w:val="000000" w:themeColor="text1"/>
      </w:rPr>
      <w:t>:</w:t>
    </w:r>
    <w:r w:rsidR="00D97CF2" w:rsidRPr="00A04F1D">
      <w:rPr>
        <w:rFonts w:ascii="Calibri" w:eastAsia="Calibri" w:hAnsi="Calibri" w:cs="Calibri"/>
        <w:i/>
        <w:iCs/>
        <w:color w:val="000000" w:themeColor="text1"/>
      </w:rPr>
      <w:t xml:space="preserve"> </w:t>
    </w:r>
    <w:r w:rsidR="00D97CF2" w:rsidRPr="00A04F1D">
      <w:rPr>
        <w:rFonts w:ascii="Calibri" w:eastAsia="Calibri" w:hAnsi="Calibri" w:cs="Calibri"/>
        <w:color w:val="000000" w:themeColor="text1"/>
      </w:rPr>
      <w:t xml:space="preserve">Facilitating Regional Equity by Implementing Green Healthy </w:t>
    </w:r>
    <w:r w:rsidR="00123705">
      <w:rPr>
        <w:rFonts w:ascii="Calibri" w:eastAsia="Calibri" w:hAnsi="Calibri" w:cs="Calibri"/>
        <w:color w:val="000000" w:themeColor="text1"/>
      </w:rPr>
      <w:t>Transportation</w:t>
    </w:r>
    <w:r>
      <w:rPr>
        <w:rFonts w:ascii="Calibri" w:eastAsia="Calibri" w:hAnsi="Calibri" w:cs="Calibri"/>
        <w:color w:val="000000" w:themeColor="text1"/>
      </w:rPr>
      <w:t xml:space="preserve"> BUDGET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EA1136"/>
    <w:multiLevelType w:val="hybridMultilevel"/>
    <w:tmpl w:val="F356EE2A"/>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 w15:restartNumberingAfterBreak="0">
    <w:nsid w:val="478B5B8B"/>
    <w:multiLevelType w:val="hybridMultilevel"/>
    <w:tmpl w:val="50D2E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DB430E"/>
    <w:multiLevelType w:val="hybridMultilevel"/>
    <w:tmpl w:val="E7322CCA"/>
    <w:lvl w:ilvl="0" w:tplc="A7D05C7E">
      <w:start w:val="1"/>
      <w:numFmt w:val="lowerLetter"/>
      <w:lvlText w:val="%1."/>
      <w:lvlJc w:val="left"/>
      <w:pPr>
        <w:ind w:left="720" w:hanging="360"/>
      </w:pPr>
    </w:lvl>
    <w:lvl w:ilvl="1" w:tplc="AED6BB4E">
      <w:start w:val="1"/>
      <w:numFmt w:val="lowerLetter"/>
      <w:lvlText w:val="%2."/>
      <w:lvlJc w:val="left"/>
      <w:pPr>
        <w:ind w:left="1440" w:hanging="360"/>
      </w:pPr>
    </w:lvl>
    <w:lvl w:ilvl="2" w:tplc="47200832">
      <w:start w:val="1"/>
      <w:numFmt w:val="lowerRoman"/>
      <w:lvlText w:val="%3."/>
      <w:lvlJc w:val="right"/>
      <w:pPr>
        <w:ind w:left="2160" w:hanging="180"/>
      </w:pPr>
    </w:lvl>
    <w:lvl w:ilvl="3" w:tplc="DCCAEE7E">
      <w:start w:val="1"/>
      <w:numFmt w:val="decimal"/>
      <w:lvlText w:val="%4."/>
      <w:lvlJc w:val="left"/>
      <w:pPr>
        <w:ind w:left="2880" w:hanging="360"/>
      </w:pPr>
    </w:lvl>
    <w:lvl w:ilvl="4" w:tplc="071E6CF2">
      <w:start w:val="1"/>
      <w:numFmt w:val="lowerLetter"/>
      <w:lvlText w:val="%5."/>
      <w:lvlJc w:val="left"/>
      <w:pPr>
        <w:ind w:left="3600" w:hanging="360"/>
      </w:pPr>
    </w:lvl>
    <w:lvl w:ilvl="5" w:tplc="1FF09CB4">
      <w:start w:val="1"/>
      <w:numFmt w:val="lowerRoman"/>
      <w:lvlText w:val="%6."/>
      <w:lvlJc w:val="right"/>
      <w:pPr>
        <w:ind w:left="4320" w:hanging="180"/>
      </w:pPr>
    </w:lvl>
    <w:lvl w:ilvl="6" w:tplc="371A64B0">
      <w:start w:val="1"/>
      <w:numFmt w:val="decimal"/>
      <w:lvlText w:val="%7."/>
      <w:lvlJc w:val="left"/>
      <w:pPr>
        <w:ind w:left="5040" w:hanging="360"/>
      </w:pPr>
    </w:lvl>
    <w:lvl w:ilvl="7" w:tplc="46C8CC6C">
      <w:start w:val="1"/>
      <w:numFmt w:val="lowerLetter"/>
      <w:lvlText w:val="%8."/>
      <w:lvlJc w:val="left"/>
      <w:pPr>
        <w:ind w:left="5760" w:hanging="360"/>
      </w:pPr>
    </w:lvl>
    <w:lvl w:ilvl="8" w:tplc="EAD45894">
      <w:start w:val="1"/>
      <w:numFmt w:val="lowerRoman"/>
      <w:lvlText w:val="%9."/>
      <w:lvlJc w:val="right"/>
      <w:pPr>
        <w:ind w:left="6480" w:hanging="180"/>
      </w:pPr>
    </w:lvl>
  </w:abstractNum>
  <w:abstractNum w:abstractNumId="3" w15:restartNumberingAfterBreak="0">
    <w:nsid w:val="5D2815CB"/>
    <w:multiLevelType w:val="hybridMultilevel"/>
    <w:tmpl w:val="7AAA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3A3849"/>
    <w:multiLevelType w:val="hybridMultilevel"/>
    <w:tmpl w:val="28DAACC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6059703D"/>
    <w:multiLevelType w:val="hybridMultilevel"/>
    <w:tmpl w:val="E7322CC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74C7362C"/>
    <w:multiLevelType w:val="hybridMultilevel"/>
    <w:tmpl w:val="4B9E3BC2"/>
    <w:lvl w:ilvl="0" w:tplc="5DD2A66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874E2A"/>
    <w:multiLevelType w:val="hybridMultilevel"/>
    <w:tmpl w:val="BDF872D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16cid:durableId="701826807">
    <w:abstractNumId w:val="3"/>
  </w:num>
  <w:num w:numId="2" w16cid:durableId="1720323751">
    <w:abstractNumId w:val="4"/>
  </w:num>
  <w:num w:numId="3" w16cid:durableId="734738912">
    <w:abstractNumId w:val="7"/>
  </w:num>
  <w:num w:numId="4" w16cid:durableId="16046540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4395281">
    <w:abstractNumId w:val="2"/>
  </w:num>
  <w:num w:numId="6" w16cid:durableId="704211872">
    <w:abstractNumId w:val="5"/>
  </w:num>
  <w:num w:numId="7" w16cid:durableId="1798914967">
    <w:abstractNumId w:val="1"/>
  </w:num>
  <w:num w:numId="8" w16cid:durableId="1724518531">
    <w:abstractNumId w:val="6"/>
  </w:num>
  <w:num w:numId="9" w16cid:durableId="814689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264ED"/>
    <w:rsid w:val="0000158C"/>
    <w:rsid w:val="000016A1"/>
    <w:rsid w:val="00001D51"/>
    <w:rsid w:val="00002396"/>
    <w:rsid w:val="00002902"/>
    <w:rsid w:val="000043E8"/>
    <w:rsid w:val="000044D3"/>
    <w:rsid w:val="000051CD"/>
    <w:rsid w:val="0000726F"/>
    <w:rsid w:val="0000731C"/>
    <w:rsid w:val="00014311"/>
    <w:rsid w:val="00014BB6"/>
    <w:rsid w:val="000161FB"/>
    <w:rsid w:val="0001673C"/>
    <w:rsid w:val="00017542"/>
    <w:rsid w:val="00017623"/>
    <w:rsid w:val="00025B01"/>
    <w:rsid w:val="0003195F"/>
    <w:rsid w:val="00031A1B"/>
    <w:rsid w:val="00033B95"/>
    <w:rsid w:val="00033C7E"/>
    <w:rsid w:val="0003414F"/>
    <w:rsid w:val="00034165"/>
    <w:rsid w:val="000344AB"/>
    <w:rsid w:val="000361A3"/>
    <w:rsid w:val="00037C41"/>
    <w:rsid w:val="00040C67"/>
    <w:rsid w:val="000414AC"/>
    <w:rsid w:val="00041A74"/>
    <w:rsid w:val="0004219F"/>
    <w:rsid w:val="00045897"/>
    <w:rsid w:val="00045E0F"/>
    <w:rsid w:val="000508DA"/>
    <w:rsid w:val="00051576"/>
    <w:rsid w:val="00052423"/>
    <w:rsid w:val="0005290B"/>
    <w:rsid w:val="00053957"/>
    <w:rsid w:val="000546F4"/>
    <w:rsid w:val="00055920"/>
    <w:rsid w:val="00055FB7"/>
    <w:rsid w:val="00061069"/>
    <w:rsid w:val="00061E28"/>
    <w:rsid w:val="00066AFE"/>
    <w:rsid w:val="000671CA"/>
    <w:rsid w:val="00067A8F"/>
    <w:rsid w:val="0007070C"/>
    <w:rsid w:val="00070E6A"/>
    <w:rsid w:val="0007346B"/>
    <w:rsid w:val="00073FE2"/>
    <w:rsid w:val="0007423F"/>
    <w:rsid w:val="000778C3"/>
    <w:rsid w:val="0008029E"/>
    <w:rsid w:val="0008094A"/>
    <w:rsid w:val="00080F2C"/>
    <w:rsid w:val="0008178F"/>
    <w:rsid w:val="000821A5"/>
    <w:rsid w:val="0008533F"/>
    <w:rsid w:val="00090170"/>
    <w:rsid w:val="000909ED"/>
    <w:rsid w:val="00096680"/>
    <w:rsid w:val="00097562"/>
    <w:rsid w:val="00097AB4"/>
    <w:rsid w:val="000A0F7C"/>
    <w:rsid w:val="000A22FB"/>
    <w:rsid w:val="000A30E4"/>
    <w:rsid w:val="000A3118"/>
    <w:rsid w:val="000A3F73"/>
    <w:rsid w:val="000A533D"/>
    <w:rsid w:val="000A5EE1"/>
    <w:rsid w:val="000A5FBC"/>
    <w:rsid w:val="000A6CBF"/>
    <w:rsid w:val="000B2AB7"/>
    <w:rsid w:val="000B465A"/>
    <w:rsid w:val="000B4CA0"/>
    <w:rsid w:val="000B4CA9"/>
    <w:rsid w:val="000C0078"/>
    <w:rsid w:val="000C09DE"/>
    <w:rsid w:val="000C55CD"/>
    <w:rsid w:val="000C6DC7"/>
    <w:rsid w:val="000C7C39"/>
    <w:rsid w:val="000D0EDD"/>
    <w:rsid w:val="000D1ACF"/>
    <w:rsid w:val="000D292C"/>
    <w:rsid w:val="000D3579"/>
    <w:rsid w:val="000D5420"/>
    <w:rsid w:val="000D7285"/>
    <w:rsid w:val="000D7EF0"/>
    <w:rsid w:val="000E04ED"/>
    <w:rsid w:val="000E0E0C"/>
    <w:rsid w:val="000E26F0"/>
    <w:rsid w:val="000E287E"/>
    <w:rsid w:val="000E4C91"/>
    <w:rsid w:val="000E62C0"/>
    <w:rsid w:val="000E6A0D"/>
    <w:rsid w:val="000E6E13"/>
    <w:rsid w:val="000E7F71"/>
    <w:rsid w:val="000F0215"/>
    <w:rsid w:val="000F202B"/>
    <w:rsid w:val="000F3ABE"/>
    <w:rsid w:val="000F4A1A"/>
    <w:rsid w:val="000F763F"/>
    <w:rsid w:val="000F7C83"/>
    <w:rsid w:val="00101886"/>
    <w:rsid w:val="001028CB"/>
    <w:rsid w:val="0010412B"/>
    <w:rsid w:val="00104200"/>
    <w:rsid w:val="00105956"/>
    <w:rsid w:val="00113C04"/>
    <w:rsid w:val="001205DC"/>
    <w:rsid w:val="00120803"/>
    <w:rsid w:val="00123705"/>
    <w:rsid w:val="00123B24"/>
    <w:rsid w:val="001261BC"/>
    <w:rsid w:val="001264ED"/>
    <w:rsid w:val="00126BF2"/>
    <w:rsid w:val="00130483"/>
    <w:rsid w:val="001309C0"/>
    <w:rsid w:val="00130D9B"/>
    <w:rsid w:val="001317E9"/>
    <w:rsid w:val="00132164"/>
    <w:rsid w:val="00132737"/>
    <w:rsid w:val="00132E26"/>
    <w:rsid w:val="0013584D"/>
    <w:rsid w:val="00137011"/>
    <w:rsid w:val="00137EE7"/>
    <w:rsid w:val="00141536"/>
    <w:rsid w:val="00145B8B"/>
    <w:rsid w:val="00146448"/>
    <w:rsid w:val="00150C7A"/>
    <w:rsid w:val="00154387"/>
    <w:rsid w:val="0015574F"/>
    <w:rsid w:val="00155958"/>
    <w:rsid w:val="00155BF3"/>
    <w:rsid w:val="00156E4B"/>
    <w:rsid w:val="001606F6"/>
    <w:rsid w:val="001616EE"/>
    <w:rsid w:val="0016517A"/>
    <w:rsid w:val="00165C7E"/>
    <w:rsid w:val="00166C5E"/>
    <w:rsid w:val="00167B4B"/>
    <w:rsid w:val="00170164"/>
    <w:rsid w:val="0017467B"/>
    <w:rsid w:val="001751F8"/>
    <w:rsid w:val="00177723"/>
    <w:rsid w:val="00181EAF"/>
    <w:rsid w:val="00182857"/>
    <w:rsid w:val="0018358E"/>
    <w:rsid w:val="00183673"/>
    <w:rsid w:val="00186869"/>
    <w:rsid w:val="0018715B"/>
    <w:rsid w:val="00187EA5"/>
    <w:rsid w:val="00190B1A"/>
    <w:rsid w:val="0019468F"/>
    <w:rsid w:val="00195610"/>
    <w:rsid w:val="0019703B"/>
    <w:rsid w:val="00197169"/>
    <w:rsid w:val="001977A0"/>
    <w:rsid w:val="00197C2E"/>
    <w:rsid w:val="00197D29"/>
    <w:rsid w:val="001A0030"/>
    <w:rsid w:val="001A14A3"/>
    <w:rsid w:val="001A236B"/>
    <w:rsid w:val="001A285E"/>
    <w:rsid w:val="001A2AD2"/>
    <w:rsid w:val="001A3B6D"/>
    <w:rsid w:val="001A4628"/>
    <w:rsid w:val="001A4633"/>
    <w:rsid w:val="001A7A00"/>
    <w:rsid w:val="001B08FE"/>
    <w:rsid w:val="001B0DEB"/>
    <w:rsid w:val="001B4DFC"/>
    <w:rsid w:val="001B50BF"/>
    <w:rsid w:val="001B53FD"/>
    <w:rsid w:val="001B7B66"/>
    <w:rsid w:val="001C2EEA"/>
    <w:rsid w:val="001C4034"/>
    <w:rsid w:val="001C5F4E"/>
    <w:rsid w:val="001C6C16"/>
    <w:rsid w:val="001C710A"/>
    <w:rsid w:val="001D10D7"/>
    <w:rsid w:val="001D14C7"/>
    <w:rsid w:val="001D3B04"/>
    <w:rsid w:val="001D446F"/>
    <w:rsid w:val="001D4BC6"/>
    <w:rsid w:val="001D51B9"/>
    <w:rsid w:val="001D621A"/>
    <w:rsid w:val="001D6766"/>
    <w:rsid w:val="001E1813"/>
    <w:rsid w:val="001E768F"/>
    <w:rsid w:val="001F041C"/>
    <w:rsid w:val="001F12F5"/>
    <w:rsid w:val="001F1C03"/>
    <w:rsid w:val="001F3237"/>
    <w:rsid w:val="001F44C1"/>
    <w:rsid w:val="001F552A"/>
    <w:rsid w:val="001F5757"/>
    <w:rsid w:val="001F624D"/>
    <w:rsid w:val="001F74C6"/>
    <w:rsid w:val="001F7C71"/>
    <w:rsid w:val="00202F31"/>
    <w:rsid w:val="00205985"/>
    <w:rsid w:val="002062DF"/>
    <w:rsid w:val="002070B2"/>
    <w:rsid w:val="00207714"/>
    <w:rsid w:val="00207792"/>
    <w:rsid w:val="002109B8"/>
    <w:rsid w:val="0021368B"/>
    <w:rsid w:val="00215E53"/>
    <w:rsid w:val="0022097C"/>
    <w:rsid w:val="002225BE"/>
    <w:rsid w:val="0022403B"/>
    <w:rsid w:val="00224F3B"/>
    <w:rsid w:val="00227BB9"/>
    <w:rsid w:val="002307D0"/>
    <w:rsid w:val="00232851"/>
    <w:rsid w:val="00236F87"/>
    <w:rsid w:val="0024450B"/>
    <w:rsid w:val="00244AEC"/>
    <w:rsid w:val="00246700"/>
    <w:rsid w:val="00252C9D"/>
    <w:rsid w:val="00255A0B"/>
    <w:rsid w:val="0025627C"/>
    <w:rsid w:val="002577CA"/>
    <w:rsid w:val="0026093E"/>
    <w:rsid w:val="0026476A"/>
    <w:rsid w:val="0026499C"/>
    <w:rsid w:val="002656C8"/>
    <w:rsid w:val="00266B65"/>
    <w:rsid w:val="00266F2F"/>
    <w:rsid w:val="002672B6"/>
    <w:rsid w:val="00277804"/>
    <w:rsid w:val="00286AA2"/>
    <w:rsid w:val="002929D3"/>
    <w:rsid w:val="00297322"/>
    <w:rsid w:val="00297EE8"/>
    <w:rsid w:val="002A1DEA"/>
    <w:rsid w:val="002A3DA0"/>
    <w:rsid w:val="002A3F06"/>
    <w:rsid w:val="002A4717"/>
    <w:rsid w:val="002A48E1"/>
    <w:rsid w:val="002A49C4"/>
    <w:rsid w:val="002B06C3"/>
    <w:rsid w:val="002B0A04"/>
    <w:rsid w:val="002B0E3F"/>
    <w:rsid w:val="002B1CED"/>
    <w:rsid w:val="002B2E39"/>
    <w:rsid w:val="002B408B"/>
    <w:rsid w:val="002B52E3"/>
    <w:rsid w:val="002B5495"/>
    <w:rsid w:val="002B55B6"/>
    <w:rsid w:val="002B6260"/>
    <w:rsid w:val="002C1024"/>
    <w:rsid w:val="002C3CA2"/>
    <w:rsid w:val="002C3F1F"/>
    <w:rsid w:val="002C65C4"/>
    <w:rsid w:val="002C7E96"/>
    <w:rsid w:val="002D00ED"/>
    <w:rsid w:val="002D197E"/>
    <w:rsid w:val="002D4CCE"/>
    <w:rsid w:val="002D5564"/>
    <w:rsid w:val="002D6CFB"/>
    <w:rsid w:val="002E0640"/>
    <w:rsid w:val="002E0C09"/>
    <w:rsid w:val="002E33C7"/>
    <w:rsid w:val="002E42CD"/>
    <w:rsid w:val="002E467E"/>
    <w:rsid w:val="002E582F"/>
    <w:rsid w:val="002E6DE4"/>
    <w:rsid w:val="002E6E8D"/>
    <w:rsid w:val="002F1BBA"/>
    <w:rsid w:val="002F1DB1"/>
    <w:rsid w:val="002F1E7D"/>
    <w:rsid w:val="002F3F70"/>
    <w:rsid w:val="002F445C"/>
    <w:rsid w:val="002F7130"/>
    <w:rsid w:val="00300A2E"/>
    <w:rsid w:val="00303BA2"/>
    <w:rsid w:val="00303BE8"/>
    <w:rsid w:val="00304772"/>
    <w:rsid w:val="00304B7F"/>
    <w:rsid w:val="003051D9"/>
    <w:rsid w:val="00305783"/>
    <w:rsid w:val="00311BFA"/>
    <w:rsid w:val="00312886"/>
    <w:rsid w:val="00317A24"/>
    <w:rsid w:val="00317FBB"/>
    <w:rsid w:val="00320847"/>
    <w:rsid w:val="00321AD4"/>
    <w:rsid w:val="00323A1D"/>
    <w:rsid w:val="00327BF0"/>
    <w:rsid w:val="003313A8"/>
    <w:rsid w:val="003319C3"/>
    <w:rsid w:val="0033208F"/>
    <w:rsid w:val="003328A6"/>
    <w:rsid w:val="00333173"/>
    <w:rsid w:val="003331F4"/>
    <w:rsid w:val="00335A9A"/>
    <w:rsid w:val="00336D4B"/>
    <w:rsid w:val="00340087"/>
    <w:rsid w:val="003422F2"/>
    <w:rsid w:val="003439E5"/>
    <w:rsid w:val="00345380"/>
    <w:rsid w:val="00345641"/>
    <w:rsid w:val="00345780"/>
    <w:rsid w:val="00346202"/>
    <w:rsid w:val="003505F6"/>
    <w:rsid w:val="0035099F"/>
    <w:rsid w:val="00350DA6"/>
    <w:rsid w:val="00351C06"/>
    <w:rsid w:val="00351F4F"/>
    <w:rsid w:val="00352768"/>
    <w:rsid w:val="00355CFB"/>
    <w:rsid w:val="00360368"/>
    <w:rsid w:val="00361762"/>
    <w:rsid w:val="00366FFB"/>
    <w:rsid w:val="00374224"/>
    <w:rsid w:val="0037540F"/>
    <w:rsid w:val="00376A4B"/>
    <w:rsid w:val="003772A9"/>
    <w:rsid w:val="00377593"/>
    <w:rsid w:val="00377601"/>
    <w:rsid w:val="00377C0E"/>
    <w:rsid w:val="00377CDD"/>
    <w:rsid w:val="00377E76"/>
    <w:rsid w:val="003845B8"/>
    <w:rsid w:val="00384789"/>
    <w:rsid w:val="00386690"/>
    <w:rsid w:val="003866D2"/>
    <w:rsid w:val="00387E7E"/>
    <w:rsid w:val="0039011D"/>
    <w:rsid w:val="003912D7"/>
    <w:rsid w:val="00391D19"/>
    <w:rsid w:val="003941B3"/>
    <w:rsid w:val="0039466F"/>
    <w:rsid w:val="00395F50"/>
    <w:rsid w:val="003A0B90"/>
    <w:rsid w:val="003A1752"/>
    <w:rsid w:val="003A4558"/>
    <w:rsid w:val="003A7118"/>
    <w:rsid w:val="003A71EC"/>
    <w:rsid w:val="003B036D"/>
    <w:rsid w:val="003B12B1"/>
    <w:rsid w:val="003B3EC3"/>
    <w:rsid w:val="003B4781"/>
    <w:rsid w:val="003B5493"/>
    <w:rsid w:val="003B6048"/>
    <w:rsid w:val="003B6ABD"/>
    <w:rsid w:val="003C0221"/>
    <w:rsid w:val="003C0D56"/>
    <w:rsid w:val="003C2B92"/>
    <w:rsid w:val="003C2DD6"/>
    <w:rsid w:val="003C39C7"/>
    <w:rsid w:val="003C39FE"/>
    <w:rsid w:val="003C4E2C"/>
    <w:rsid w:val="003D00DD"/>
    <w:rsid w:val="003D0150"/>
    <w:rsid w:val="003D0368"/>
    <w:rsid w:val="003D03F4"/>
    <w:rsid w:val="003D0B0F"/>
    <w:rsid w:val="003D12D7"/>
    <w:rsid w:val="003D7484"/>
    <w:rsid w:val="003E0395"/>
    <w:rsid w:val="003E2554"/>
    <w:rsid w:val="003E2656"/>
    <w:rsid w:val="003E2E4E"/>
    <w:rsid w:val="003E4C0B"/>
    <w:rsid w:val="003F19E5"/>
    <w:rsid w:val="003F5539"/>
    <w:rsid w:val="003F631D"/>
    <w:rsid w:val="00400614"/>
    <w:rsid w:val="00401269"/>
    <w:rsid w:val="00402CE8"/>
    <w:rsid w:val="00403998"/>
    <w:rsid w:val="00405483"/>
    <w:rsid w:val="0040562B"/>
    <w:rsid w:val="00407C03"/>
    <w:rsid w:val="00410508"/>
    <w:rsid w:val="00411A46"/>
    <w:rsid w:val="00415035"/>
    <w:rsid w:val="0041601C"/>
    <w:rsid w:val="00416D49"/>
    <w:rsid w:val="004202EF"/>
    <w:rsid w:val="00422FD6"/>
    <w:rsid w:val="0042363F"/>
    <w:rsid w:val="004247FD"/>
    <w:rsid w:val="0042496A"/>
    <w:rsid w:val="00433685"/>
    <w:rsid w:val="0043623F"/>
    <w:rsid w:val="00440952"/>
    <w:rsid w:val="00442F65"/>
    <w:rsid w:val="00443780"/>
    <w:rsid w:val="0044395C"/>
    <w:rsid w:val="00444109"/>
    <w:rsid w:val="004459A1"/>
    <w:rsid w:val="00446EA9"/>
    <w:rsid w:val="00450B2E"/>
    <w:rsid w:val="00451AC4"/>
    <w:rsid w:val="00453ADD"/>
    <w:rsid w:val="00453B9A"/>
    <w:rsid w:val="00460514"/>
    <w:rsid w:val="00460704"/>
    <w:rsid w:val="00460A09"/>
    <w:rsid w:val="00463C05"/>
    <w:rsid w:val="00465BB0"/>
    <w:rsid w:val="004700A5"/>
    <w:rsid w:val="00471C02"/>
    <w:rsid w:val="00473207"/>
    <w:rsid w:val="00473C4C"/>
    <w:rsid w:val="00475739"/>
    <w:rsid w:val="00475BBE"/>
    <w:rsid w:val="004771C1"/>
    <w:rsid w:val="0048020F"/>
    <w:rsid w:val="00491FEA"/>
    <w:rsid w:val="0049281C"/>
    <w:rsid w:val="0049323B"/>
    <w:rsid w:val="004937BF"/>
    <w:rsid w:val="00494439"/>
    <w:rsid w:val="004A08CC"/>
    <w:rsid w:val="004A0B05"/>
    <w:rsid w:val="004A22D4"/>
    <w:rsid w:val="004A2F67"/>
    <w:rsid w:val="004A6B05"/>
    <w:rsid w:val="004B0F7A"/>
    <w:rsid w:val="004B2022"/>
    <w:rsid w:val="004B51A1"/>
    <w:rsid w:val="004C080B"/>
    <w:rsid w:val="004C0E31"/>
    <w:rsid w:val="004C15AE"/>
    <w:rsid w:val="004C4682"/>
    <w:rsid w:val="004C5C87"/>
    <w:rsid w:val="004C675D"/>
    <w:rsid w:val="004C76BA"/>
    <w:rsid w:val="004C7D79"/>
    <w:rsid w:val="004C7F38"/>
    <w:rsid w:val="004D090E"/>
    <w:rsid w:val="004D19D0"/>
    <w:rsid w:val="004D2D4B"/>
    <w:rsid w:val="004D3C83"/>
    <w:rsid w:val="004D3FDC"/>
    <w:rsid w:val="004D4E33"/>
    <w:rsid w:val="004D505F"/>
    <w:rsid w:val="004D5B0E"/>
    <w:rsid w:val="004E0E8F"/>
    <w:rsid w:val="004E1DB1"/>
    <w:rsid w:val="004E2616"/>
    <w:rsid w:val="004E4FB8"/>
    <w:rsid w:val="004E6797"/>
    <w:rsid w:val="004E711D"/>
    <w:rsid w:val="004E7B0F"/>
    <w:rsid w:val="004F017B"/>
    <w:rsid w:val="004F01C4"/>
    <w:rsid w:val="004F085A"/>
    <w:rsid w:val="004F1731"/>
    <w:rsid w:val="004F2936"/>
    <w:rsid w:val="004F2BDB"/>
    <w:rsid w:val="004F574C"/>
    <w:rsid w:val="004F5EC1"/>
    <w:rsid w:val="004F7147"/>
    <w:rsid w:val="004F737A"/>
    <w:rsid w:val="00501947"/>
    <w:rsid w:val="00503AA3"/>
    <w:rsid w:val="00504C59"/>
    <w:rsid w:val="00504E75"/>
    <w:rsid w:val="005068B8"/>
    <w:rsid w:val="00507997"/>
    <w:rsid w:val="00514C61"/>
    <w:rsid w:val="005167A8"/>
    <w:rsid w:val="00516D98"/>
    <w:rsid w:val="005204D3"/>
    <w:rsid w:val="005210BD"/>
    <w:rsid w:val="005211A7"/>
    <w:rsid w:val="005212FD"/>
    <w:rsid w:val="00521CB6"/>
    <w:rsid w:val="0052407D"/>
    <w:rsid w:val="00524C95"/>
    <w:rsid w:val="00525D19"/>
    <w:rsid w:val="00527B97"/>
    <w:rsid w:val="00530A40"/>
    <w:rsid w:val="00531235"/>
    <w:rsid w:val="00532449"/>
    <w:rsid w:val="00533DE9"/>
    <w:rsid w:val="00535540"/>
    <w:rsid w:val="00535912"/>
    <w:rsid w:val="00536DEE"/>
    <w:rsid w:val="00537671"/>
    <w:rsid w:val="00537C7B"/>
    <w:rsid w:val="005418C7"/>
    <w:rsid w:val="00542236"/>
    <w:rsid w:val="0054265C"/>
    <w:rsid w:val="005433AB"/>
    <w:rsid w:val="00543C09"/>
    <w:rsid w:val="00551BD8"/>
    <w:rsid w:val="005563B9"/>
    <w:rsid w:val="00556E8E"/>
    <w:rsid w:val="005607F6"/>
    <w:rsid w:val="00560B5E"/>
    <w:rsid w:val="00561032"/>
    <w:rsid w:val="0056190E"/>
    <w:rsid w:val="00562417"/>
    <w:rsid w:val="0056305A"/>
    <w:rsid w:val="00563199"/>
    <w:rsid w:val="00563489"/>
    <w:rsid w:val="00563DA6"/>
    <w:rsid w:val="0056625F"/>
    <w:rsid w:val="005700C2"/>
    <w:rsid w:val="00570DC7"/>
    <w:rsid w:val="0057247A"/>
    <w:rsid w:val="00572DF5"/>
    <w:rsid w:val="00572FBC"/>
    <w:rsid w:val="005734E6"/>
    <w:rsid w:val="005737AF"/>
    <w:rsid w:val="005750CE"/>
    <w:rsid w:val="00575FD3"/>
    <w:rsid w:val="00577528"/>
    <w:rsid w:val="00581E62"/>
    <w:rsid w:val="005828B2"/>
    <w:rsid w:val="00583403"/>
    <w:rsid w:val="00585BD6"/>
    <w:rsid w:val="00586332"/>
    <w:rsid w:val="00586F8E"/>
    <w:rsid w:val="00593654"/>
    <w:rsid w:val="005942E8"/>
    <w:rsid w:val="00595E27"/>
    <w:rsid w:val="00596D1F"/>
    <w:rsid w:val="00597C2F"/>
    <w:rsid w:val="00597CDE"/>
    <w:rsid w:val="00597E1D"/>
    <w:rsid w:val="005A0A5F"/>
    <w:rsid w:val="005A3D61"/>
    <w:rsid w:val="005A596F"/>
    <w:rsid w:val="005A7C52"/>
    <w:rsid w:val="005B12E8"/>
    <w:rsid w:val="005B17A2"/>
    <w:rsid w:val="005B3B1B"/>
    <w:rsid w:val="005B3F1D"/>
    <w:rsid w:val="005B5D39"/>
    <w:rsid w:val="005B6DEE"/>
    <w:rsid w:val="005C09B6"/>
    <w:rsid w:val="005C19D9"/>
    <w:rsid w:val="005C33C3"/>
    <w:rsid w:val="005C344A"/>
    <w:rsid w:val="005C50CE"/>
    <w:rsid w:val="005C69FF"/>
    <w:rsid w:val="005C749F"/>
    <w:rsid w:val="005C7B1E"/>
    <w:rsid w:val="005D514E"/>
    <w:rsid w:val="005D5957"/>
    <w:rsid w:val="005E1C03"/>
    <w:rsid w:val="005E2260"/>
    <w:rsid w:val="005E2E26"/>
    <w:rsid w:val="005E2FD6"/>
    <w:rsid w:val="005E4085"/>
    <w:rsid w:val="005E642B"/>
    <w:rsid w:val="005F0211"/>
    <w:rsid w:val="005F110C"/>
    <w:rsid w:val="005F28CC"/>
    <w:rsid w:val="005F435B"/>
    <w:rsid w:val="005F4C17"/>
    <w:rsid w:val="005F5B1E"/>
    <w:rsid w:val="0060115F"/>
    <w:rsid w:val="0060177A"/>
    <w:rsid w:val="00602EB5"/>
    <w:rsid w:val="0060358F"/>
    <w:rsid w:val="006053FA"/>
    <w:rsid w:val="00606DC6"/>
    <w:rsid w:val="00612250"/>
    <w:rsid w:val="006132B6"/>
    <w:rsid w:val="00613D1D"/>
    <w:rsid w:val="00614173"/>
    <w:rsid w:val="0062077B"/>
    <w:rsid w:val="006209B1"/>
    <w:rsid w:val="006219C1"/>
    <w:rsid w:val="0062307C"/>
    <w:rsid w:val="00624317"/>
    <w:rsid w:val="006257D2"/>
    <w:rsid w:val="00625A23"/>
    <w:rsid w:val="00630454"/>
    <w:rsid w:val="00631CFD"/>
    <w:rsid w:val="006335DE"/>
    <w:rsid w:val="006341A5"/>
    <w:rsid w:val="00634AD1"/>
    <w:rsid w:val="00634D5F"/>
    <w:rsid w:val="006360FA"/>
    <w:rsid w:val="00636203"/>
    <w:rsid w:val="0063630D"/>
    <w:rsid w:val="006369F7"/>
    <w:rsid w:val="00637842"/>
    <w:rsid w:val="00641056"/>
    <w:rsid w:val="006420CD"/>
    <w:rsid w:val="00644F4B"/>
    <w:rsid w:val="006473C3"/>
    <w:rsid w:val="00647CEF"/>
    <w:rsid w:val="006505E1"/>
    <w:rsid w:val="00650CA8"/>
    <w:rsid w:val="006536C9"/>
    <w:rsid w:val="006537CC"/>
    <w:rsid w:val="00654596"/>
    <w:rsid w:val="0066054F"/>
    <w:rsid w:val="006622CE"/>
    <w:rsid w:val="00662B35"/>
    <w:rsid w:val="00663A77"/>
    <w:rsid w:val="00664FF3"/>
    <w:rsid w:val="00667078"/>
    <w:rsid w:val="00667B96"/>
    <w:rsid w:val="006708A9"/>
    <w:rsid w:val="00670F13"/>
    <w:rsid w:val="00671267"/>
    <w:rsid w:val="00672F42"/>
    <w:rsid w:val="0067336A"/>
    <w:rsid w:val="00673C30"/>
    <w:rsid w:val="00673DC3"/>
    <w:rsid w:val="0067443A"/>
    <w:rsid w:val="00676A41"/>
    <w:rsid w:val="00677D07"/>
    <w:rsid w:val="00677EAC"/>
    <w:rsid w:val="00680A5C"/>
    <w:rsid w:val="00681C5D"/>
    <w:rsid w:val="006826B1"/>
    <w:rsid w:val="00683D1A"/>
    <w:rsid w:val="00684D3E"/>
    <w:rsid w:val="00685428"/>
    <w:rsid w:val="00686437"/>
    <w:rsid w:val="006909ED"/>
    <w:rsid w:val="00691314"/>
    <w:rsid w:val="00692092"/>
    <w:rsid w:val="006924BA"/>
    <w:rsid w:val="006925D6"/>
    <w:rsid w:val="00693245"/>
    <w:rsid w:val="00697516"/>
    <w:rsid w:val="006A01C8"/>
    <w:rsid w:val="006A3F73"/>
    <w:rsid w:val="006A6C06"/>
    <w:rsid w:val="006A7779"/>
    <w:rsid w:val="006B102E"/>
    <w:rsid w:val="006B1030"/>
    <w:rsid w:val="006B478F"/>
    <w:rsid w:val="006B6DD0"/>
    <w:rsid w:val="006C35B5"/>
    <w:rsid w:val="006C5185"/>
    <w:rsid w:val="006C51BC"/>
    <w:rsid w:val="006C554F"/>
    <w:rsid w:val="006C55CE"/>
    <w:rsid w:val="006C7893"/>
    <w:rsid w:val="006D05D0"/>
    <w:rsid w:val="006D268F"/>
    <w:rsid w:val="006D509F"/>
    <w:rsid w:val="006D6877"/>
    <w:rsid w:val="006E09B3"/>
    <w:rsid w:val="006E1204"/>
    <w:rsid w:val="006E396C"/>
    <w:rsid w:val="006E5BB7"/>
    <w:rsid w:val="006E611A"/>
    <w:rsid w:val="006E78E7"/>
    <w:rsid w:val="006F0B56"/>
    <w:rsid w:val="006F0E7E"/>
    <w:rsid w:val="006F1538"/>
    <w:rsid w:val="006F1978"/>
    <w:rsid w:val="006F361A"/>
    <w:rsid w:val="006F710C"/>
    <w:rsid w:val="0070003D"/>
    <w:rsid w:val="00701530"/>
    <w:rsid w:val="00701B21"/>
    <w:rsid w:val="0070202F"/>
    <w:rsid w:val="00703AAE"/>
    <w:rsid w:val="00703DA4"/>
    <w:rsid w:val="00704D03"/>
    <w:rsid w:val="00704E18"/>
    <w:rsid w:val="00705050"/>
    <w:rsid w:val="00705476"/>
    <w:rsid w:val="00707F00"/>
    <w:rsid w:val="0071042D"/>
    <w:rsid w:val="00711186"/>
    <w:rsid w:val="00712C71"/>
    <w:rsid w:val="00713E17"/>
    <w:rsid w:val="00714F3D"/>
    <w:rsid w:val="00715813"/>
    <w:rsid w:val="0071652B"/>
    <w:rsid w:val="00716E86"/>
    <w:rsid w:val="00717BA8"/>
    <w:rsid w:val="00720C46"/>
    <w:rsid w:val="00723F25"/>
    <w:rsid w:val="00726A54"/>
    <w:rsid w:val="0073138A"/>
    <w:rsid w:val="00731C32"/>
    <w:rsid w:val="00732B86"/>
    <w:rsid w:val="0073399E"/>
    <w:rsid w:val="00733BD2"/>
    <w:rsid w:val="00736012"/>
    <w:rsid w:val="007372FF"/>
    <w:rsid w:val="00740268"/>
    <w:rsid w:val="007407F3"/>
    <w:rsid w:val="00744348"/>
    <w:rsid w:val="007472C6"/>
    <w:rsid w:val="00750324"/>
    <w:rsid w:val="00750CD4"/>
    <w:rsid w:val="007542BE"/>
    <w:rsid w:val="00754B3D"/>
    <w:rsid w:val="0075542C"/>
    <w:rsid w:val="00755604"/>
    <w:rsid w:val="00757F09"/>
    <w:rsid w:val="0076252A"/>
    <w:rsid w:val="007665E2"/>
    <w:rsid w:val="00770739"/>
    <w:rsid w:val="00775921"/>
    <w:rsid w:val="00780ABC"/>
    <w:rsid w:val="00782E57"/>
    <w:rsid w:val="00783199"/>
    <w:rsid w:val="00784C4C"/>
    <w:rsid w:val="007855DC"/>
    <w:rsid w:val="00787F76"/>
    <w:rsid w:val="00792742"/>
    <w:rsid w:val="007936C8"/>
    <w:rsid w:val="0079782E"/>
    <w:rsid w:val="007A0D26"/>
    <w:rsid w:val="007A1C75"/>
    <w:rsid w:val="007A286D"/>
    <w:rsid w:val="007A3CB8"/>
    <w:rsid w:val="007A4D79"/>
    <w:rsid w:val="007A5467"/>
    <w:rsid w:val="007A675A"/>
    <w:rsid w:val="007A7F70"/>
    <w:rsid w:val="007B2A55"/>
    <w:rsid w:val="007B341E"/>
    <w:rsid w:val="007B75B1"/>
    <w:rsid w:val="007C084F"/>
    <w:rsid w:val="007C0B9E"/>
    <w:rsid w:val="007C0BC9"/>
    <w:rsid w:val="007C0E90"/>
    <w:rsid w:val="007C357D"/>
    <w:rsid w:val="007C4A9C"/>
    <w:rsid w:val="007C50B3"/>
    <w:rsid w:val="007C5785"/>
    <w:rsid w:val="007C58D1"/>
    <w:rsid w:val="007C6AB4"/>
    <w:rsid w:val="007C6CC8"/>
    <w:rsid w:val="007D16C2"/>
    <w:rsid w:val="007D2A4A"/>
    <w:rsid w:val="007D3B21"/>
    <w:rsid w:val="007D70C9"/>
    <w:rsid w:val="007D7FDE"/>
    <w:rsid w:val="007E0D4B"/>
    <w:rsid w:val="007E1668"/>
    <w:rsid w:val="007E2D4C"/>
    <w:rsid w:val="007E32F0"/>
    <w:rsid w:val="007E3CCA"/>
    <w:rsid w:val="007E4237"/>
    <w:rsid w:val="007E706F"/>
    <w:rsid w:val="007E795D"/>
    <w:rsid w:val="007F300A"/>
    <w:rsid w:val="007F31E8"/>
    <w:rsid w:val="007F3C97"/>
    <w:rsid w:val="007F3F66"/>
    <w:rsid w:val="007F5159"/>
    <w:rsid w:val="007F749A"/>
    <w:rsid w:val="007F7E62"/>
    <w:rsid w:val="008060E2"/>
    <w:rsid w:val="00812862"/>
    <w:rsid w:val="00812F74"/>
    <w:rsid w:val="008159AD"/>
    <w:rsid w:val="008232DC"/>
    <w:rsid w:val="00825447"/>
    <w:rsid w:val="008267B5"/>
    <w:rsid w:val="00831BB7"/>
    <w:rsid w:val="00833C21"/>
    <w:rsid w:val="008350A8"/>
    <w:rsid w:val="008359B0"/>
    <w:rsid w:val="00836661"/>
    <w:rsid w:val="00837784"/>
    <w:rsid w:val="00837BF4"/>
    <w:rsid w:val="00837CD6"/>
    <w:rsid w:val="0084064C"/>
    <w:rsid w:val="008416F2"/>
    <w:rsid w:val="00841F3A"/>
    <w:rsid w:val="0084416F"/>
    <w:rsid w:val="00850B6E"/>
    <w:rsid w:val="00853BF7"/>
    <w:rsid w:val="008549F4"/>
    <w:rsid w:val="00856F7F"/>
    <w:rsid w:val="008616B8"/>
    <w:rsid w:val="00862127"/>
    <w:rsid w:val="00862E9C"/>
    <w:rsid w:val="00863319"/>
    <w:rsid w:val="00863B64"/>
    <w:rsid w:val="0086471E"/>
    <w:rsid w:val="00872DDD"/>
    <w:rsid w:val="008770D2"/>
    <w:rsid w:val="00882D5A"/>
    <w:rsid w:val="00883DCC"/>
    <w:rsid w:val="008850E4"/>
    <w:rsid w:val="0088510B"/>
    <w:rsid w:val="00885756"/>
    <w:rsid w:val="00887B0A"/>
    <w:rsid w:val="00890269"/>
    <w:rsid w:val="00891887"/>
    <w:rsid w:val="00891A65"/>
    <w:rsid w:val="00892805"/>
    <w:rsid w:val="00893D46"/>
    <w:rsid w:val="0089462C"/>
    <w:rsid w:val="00894F94"/>
    <w:rsid w:val="008950CC"/>
    <w:rsid w:val="00895CD0"/>
    <w:rsid w:val="00896961"/>
    <w:rsid w:val="008A08AE"/>
    <w:rsid w:val="008A29D5"/>
    <w:rsid w:val="008A3A8A"/>
    <w:rsid w:val="008A4010"/>
    <w:rsid w:val="008A64B9"/>
    <w:rsid w:val="008B0086"/>
    <w:rsid w:val="008B1CB2"/>
    <w:rsid w:val="008B4526"/>
    <w:rsid w:val="008B50C7"/>
    <w:rsid w:val="008B7111"/>
    <w:rsid w:val="008C12BC"/>
    <w:rsid w:val="008C2C71"/>
    <w:rsid w:val="008C3670"/>
    <w:rsid w:val="008C3C2A"/>
    <w:rsid w:val="008C4FF7"/>
    <w:rsid w:val="008C52CC"/>
    <w:rsid w:val="008C574B"/>
    <w:rsid w:val="008C7271"/>
    <w:rsid w:val="008D1413"/>
    <w:rsid w:val="008D20CA"/>
    <w:rsid w:val="008D232E"/>
    <w:rsid w:val="008D2E9F"/>
    <w:rsid w:val="008D76E6"/>
    <w:rsid w:val="008E001F"/>
    <w:rsid w:val="008E58EA"/>
    <w:rsid w:val="008E5DDB"/>
    <w:rsid w:val="008E6339"/>
    <w:rsid w:val="008E71C3"/>
    <w:rsid w:val="008E7533"/>
    <w:rsid w:val="008E78A4"/>
    <w:rsid w:val="008F0F44"/>
    <w:rsid w:val="008F202D"/>
    <w:rsid w:val="008F2D93"/>
    <w:rsid w:val="008F3457"/>
    <w:rsid w:val="008F44BA"/>
    <w:rsid w:val="008F5EB5"/>
    <w:rsid w:val="008F5EC7"/>
    <w:rsid w:val="00900731"/>
    <w:rsid w:val="00900B71"/>
    <w:rsid w:val="00901A8E"/>
    <w:rsid w:val="009043C1"/>
    <w:rsid w:val="00905789"/>
    <w:rsid w:val="00905D98"/>
    <w:rsid w:val="00907B2A"/>
    <w:rsid w:val="00910A52"/>
    <w:rsid w:val="00913732"/>
    <w:rsid w:val="00914296"/>
    <w:rsid w:val="009161EB"/>
    <w:rsid w:val="00917313"/>
    <w:rsid w:val="00917D70"/>
    <w:rsid w:val="0092015D"/>
    <w:rsid w:val="009216CD"/>
    <w:rsid w:val="00921DAB"/>
    <w:rsid w:val="009234D2"/>
    <w:rsid w:val="0092393B"/>
    <w:rsid w:val="009251E3"/>
    <w:rsid w:val="009258B7"/>
    <w:rsid w:val="00927B2D"/>
    <w:rsid w:val="00930AAB"/>
    <w:rsid w:val="00930ED2"/>
    <w:rsid w:val="009314D0"/>
    <w:rsid w:val="00932AD5"/>
    <w:rsid w:val="0093608E"/>
    <w:rsid w:val="00937047"/>
    <w:rsid w:val="009371A3"/>
    <w:rsid w:val="009374FF"/>
    <w:rsid w:val="00942F3E"/>
    <w:rsid w:val="0094475E"/>
    <w:rsid w:val="0094671F"/>
    <w:rsid w:val="00946EF9"/>
    <w:rsid w:val="00947E51"/>
    <w:rsid w:val="009502C0"/>
    <w:rsid w:val="00952086"/>
    <w:rsid w:val="0095303D"/>
    <w:rsid w:val="0095498E"/>
    <w:rsid w:val="00960DF2"/>
    <w:rsid w:val="00963303"/>
    <w:rsid w:val="0096485C"/>
    <w:rsid w:val="009656A6"/>
    <w:rsid w:val="00965E15"/>
    <w:rsid w:val="00972C24"/>
    <w:rsid w:val="00973155"/>
    <w:rsid w:val="00973A55"/>
    <w:rsid w:val="00973AE7"/>
    <w:rsid w:val="0097613E"/>
    <w:rsid w:val="0097687A"/>
    <w:rsid w:val="009770ED"/>
    <w:rsid w:val="00977C7D"/>
    <w:rsid w:val="00981898"/>
    <w:rsid w:val="00987122"/>
    <w:rsid w:val="00990D9D"/>
    <w:rsid w:val="009931DC"/>
    <w:rsid w:val="00994A11"/>
    <w:rsid w:val="00994A2D"/>
    <w:rsid w:val="0099519A"/>
    <w:rsid w:val="0099542C"/>
    <w:rsid w:val="009979DF"/>
    <w:rsid w:val="00997C70"/>
    <w:rsid w:val="009A0BA3"/>
    <w:rsid w:val="009A39B0"/>
    <w:rsid w:val="009A6C85"/>
    <w:rsid w:val="009B1819"/>
    <w:rsid w:val="009B196F"/>
    <w:rsid w:val="009B2150"/>
    <w:rsid w:val="009B33B4"/>
    <w:rsid w:val="009B55D2"/>
    <w:rsid w:val="009B5B98"/>
    <w:rsid w:val="009B72D4"/>
    <w:rsid w:val="009B7E93"/>
    <w:rsid w:val="009C0F9F"/>
    <w:rsid w:val="009C1368"/>
    <w:rsid w:val="009C17ED"/>
    <w:rsid w:val="009C2644"/>
    <w:rsid w:val="009C3F80"/>
    <w:rsid w:val="009C4D4D"/>
    <w:rsid w:val="009C61BB"/>
    <w:rsid w:val="009C6DC6"/>
    <w:rsid w:val="009C718C"/>
    <w:rsid w:val="009C71F7"/>
    <w:rsid w:val="009D0AE7"/>
    <w:rsid w:val="009D2CEA"/>
    <w:rsid w:val="009D4F91"/>
    <w:rsid w:val="009E23E3"/>
    <w:rsid w:val="009E2A04"/>
    <w:rsid w:val="009E2A12"/>
    <w:rsid w:val="009E3F2E"/>
    <w:rsid w:val="009E5E32"/>
    <w:rsid w:val="009E6A8C"/>
    <w:rsid w:val="009F1DEE"/>
    <w:rsid w:val="009F4719"/>
    <w:rsid w:val="009F4CC1"/>
    <w:rsid w:val="009F4E03"/>
    <w:rsid w:val="009F53CD"/>
    <w:rsid w:val="009F53E9"/>
    <w:rsid w:val="009F651A"/>
    <w:rsid w:val="009F6E61"/>
    <w:rsid w:val="009F6F1D"/>
    <w:rsid w:val="00A01AAC"/>
    <w:rsid w:val="00A02A9C"/>
    <w:rsid w:val="00A03EA4"/>
    <w:rsid w:val="00A03F39"/>
    <w:rsid w:val="00A04F1D"/>
    <w:rsid w:val="00A05412"/>
    <w:rsid w:val="00A05C79"/>
    <w:rsid w:val="00A060BB"/>
    <w:rsid w:val="00A074CC"/>
    <w:rsid w:val="00A078A6"/>
    <w:rsid w:val="00A07975"/>
    <w:rsid w:val="00A10A01"/>
    <w:rsid w:val="00A13FD0"/>
    <w:rsid w:val="00A14563"/>
    <w:rsid w:val="00A170E1"/>
    <w:rsid w:val="00A177D3"/>
    <w:rsid w:val="00A20F88"/>
    <w:rsid w:val="00A21E81"/>
    <w:rsid w:val="00A22974"/>
    <w:rsid w:val="00A23847"/>
    <w:rsid w:val="00A31445"/>
    <w:rsid w:val="00A32337"/>
    <w:rsid w:val="00A34AA5"/>
    <w:rsid w:val="00A36225"/>
    <w:rsid w:val="00A36A55"/>
    <w:rsid w:val="00A44B3B"/>
    <w:rsid w:val="00A459A8"/>
    <w:rsid w:val="00A46501"/>
    <w:rsid w:val="00A47DCE"/>
    <w:rsid w:val="00A5102F"/>
    <w:rsid w:val="00A52D76"/>
    <w:rsid w:val="00A5495B"/>
    <w:rsid w:val="00A57B30"/>
    <w:rsid w:val="00A60B8C"/>
    <w:rsid w:val="00A62D47"/>
    <w:rsid w:val="00A634CF"/>
    <w:rsid w:val="00A63B78"/>
    <w:rsid w:val="00A65C7A"/>
    <w:rsid w:val="00A74ABD"/>
    <w:rsid w:val="00A7536D"/>
    <w:rsid w:val="00A7539D"/>
    <w:rsid w:val="00A77BE9"/>
    <w:rsid w:val="00A80ADC"/>
    <w:rsid w:val="00A80F59"/>
    <w:rsid w:val="00A815F5"/>
    <w:rsid w:val="00A838EB"/>
    <w:rsid w:val="00A840E3"/>
    <w:rsid w:val="00A87CC6"/>
    <w:rsid w:val="00A906D3"/>
    <w:rsid w:val="00A94B34"/>
    <w:rsid w:val="00A94FA9"/>
    <w:rsid w:val="00A952D5"/>
    <w:rsid w:val="00A97CBB"/>
    <w:rsid w:val="00AA27AA"/>
    <w:rsid w:val="00AA2973"/>
    <w:rsid w:val="00AA4DAF"/>
    <w:rsid w:val="00AA7AC7"/>
    <w:rsid w:val="00AA7B03"/>
    <w:rsid w:val="00AB2486"/>
    <w:rsid w:val="00AB3DC2"/>
    <w:rsid w:val="00AB3E1F"/>
    <w:rsid w:val="00AB6D2E"/>
    <w:rsid w:val="00AB7C70"/>
    <w:rsid w:val="00AC1CB7"/>
    <w:rsid w:val="00AC1E54"/>
    <w:rsid w:val="00AC35ED"/>
    <w:rsid w:val="00AC37C5"/>
    <w:rsid w:val="00AC558E"/>
    <w:rsid w:val="00AC75F4"/>
    <w:rsid w:val="00AC7D05"/>
    <w:rsid w:val="00AD009E"/>
    <w:rsid w:val="00AD1705"/>
    <w:rsid w:val="00AD1993"/>
    <w:rsid w:val="00AD21C7"/>
    <w:rsid w:val="00AD26E2"/>
    <w:rsid w:val="00AD3FBB"/>
    <w:rsid w:val="00AD61E7"/>
    <w:rsid w:val="00AD649F"/>
    <w:rsid w:val="00AE0421"/>
    <w:rsid w:val="00AE34B5"/>
    <w:rsid w:val="00AE3EF5"/>
    <w:rsid w:val="00AE4E0B"/>
    <w:rsid w:val="00AE5A8B"/>
    <w:rsid w:val="00AE7635"/>
    <w:rsid w:val="00AF12CA"/>
    <w:rsid w:val="00AF2BEC"/>
    <w:rsid w:val="00AF36E3"/>
    <w:rsid w:val="00AF71A7"/>
    <w:rsid w:val="00AF74C9"/>
    <w:rsid w:val="00B0363B"/>
    <w:rsid w:val="00B03863"/>
    <w:rsid w:val="00B058D5"/>
    <w:rsid w:val="00B06DB1"/>
    <w:rsid w:val="00B06FE4"/>
    <w:rsid w:val="00B070E7"/>
    <w:rsid w:val="00B07655"/>
    <w:rsid w:val="00B11352"/>
    <w:rsid w:val="00B11928"/>
    <w:rsid w:val="00B121C3"/>
    <w:rsid w:val="00B13866"/>
    <w:rsid w:val="00B13C1D"/>
    <w:rsid w:val="00B13C6E"/>
    <w:rsid w:val="00B13CEC"/>
    <w:rsid w:val="00B15B8D"/>
    <w:rsid w:val="00B17DB9"/>
    <w:rsid w:val="00B252EA"/>
    <w:rsid w:val="00B25694"/>
    <w:rsid w:val="00B26533"/>
    <w:rsid w:val="00B33450"/>
    <w:rsid w:val="00B34858"/>
    <w:rsid w:val="00B35CEC"/>
    <w:rsid w:val="00B361CE"/>
    <w:rsid w:val="00B374C4"/>
    <w:rsid w:val="00B37BB0"/>
    <w:rsid w:val="00B40C02"/>
    <w:rsid w:val="00B44319"/>
    <w:rsid w:val="00B47557"/>
    <w:rsid w:val="00B47E27"/>
    <w:rsid w:val="00B5071F"/>
    <w:rsid w:val="00B50C89"/>
    <w:rsid w:val="00B5154B"/>
    <w:rsid w:val="00B51959"/>
    <w:rsid w:val="00B51FF2"/>
    <w:rsid w:val="00B524B2"/>
    <w:rsid w:val="00B527A6"/>
    <w:rsid w:val="00B527B2"/>
    <w:rsid w:val="00B533CA"/>
    <w:rsid w:val="00B53749"/>
    <w:rsid w:val="00B567B7"/>
    <w:rsid w:val="00B63256"/>
    <w:rsid w:val="00B643BF"/>
    <w:rsid w:val="00B644F2"/>
    <w:rsid w:val="00B64FB2"/>
    <w:rsid w:val="00B66D38"/>
    <w:rsid w:val="00B66DEE"/>
    <w:rsid w:val="00B66E4C"/>
    <w:rsid w:val="00B700F1"/>
    <w:rsid w:val="00B7090C"/>
    <w:rsid w:val="00B72D83"/>
    <w:rsid w:val="00B753CC"/>
    <w:rsid w:val="00B767A6"/>
    <w:rsid w:val="00B76D84"/>
    <w:rsid w:val="00B76FC2"/>
    <w:rsid w:val="00B8089C"/>
    <w:rsid w:val="00B83A0E"/>
    <w:rsid w:val="00B86198"/>
    <w:rsid w:val="00B93B74"/>
    <w:rsid w:val="00B9643A"/>
    <w:rsid w:val="00B969B8"/>
    <w:rsid w:val="00BA01D3"/>
    <w:rsid w:val="00BA2B4E"/>
    <w:rsid w:val="00BA31B9"/>
    <w:rsid w:val="00BA3F20"/>
    <w:rsid w:val="00BA554A"/>
    <w:rsid w:val="00BA5C0E"/>
    <w:rsid w:val="00BA7847"/>
    <w:rsid w:val="00BB05AF"/>
    <w:rsid w:val="00BB0A2F"/>
    <w:rsid w:val="00BB0CB5"/>
    <w:rsid w:val="00BB299D"/>
    <w:rsid w:val="00BB3557"/>
    <w:rsid w:val="00BB3793"/>
    <w:rsid w:val="00BB5104"/>
    <w:rsid w:val="00BB72FA"/>
    <w:rsid w:val="00BC0508"/>
    <w:rsid w:val="00BC09FD"/>
    <w:rsid w:val="00BC131D"/>
    <w:rsid w:val="00BC27A7"/>
    <w:rsid w:val="00BC31CA"/>
    <w:rsid w:val="00BC37C4"/>
    <w:rsid w:val="00BC3F4A"/>
    <w:rsid w:val="00BD100A"/>
    <w:rsid w:val="00BD1E40"/>
    <w:rsid w:val="00BD2FA0"/>
    <w:rsid w:val="00BD5F0F"/>
    <w:rsid w:val="00BD68D6"/>
    <w:rsid w:val="00BD74F5"/>
    <w:rsid w:val="00BE1398"/>
    <w:rsid w:val="00BE1D64"/>
    <w:rsid w:val="00BE36FE"/>
    <w:rsid w:val="00BE4EAD"/>
    <w:rsid w:val="00BE5834"/>
    <w:rsid w:val="00BE58C3"/>
    <w:rsid w:val="00BE70E9"/>
    <w:rsid w:val="00BE7558"/>
    <w:rsid w:val="00BF2099"/>
    <w:rsid w:val="00BF350A"/>
    <w:rsid w:val="00BF47FF"/>
    <w:rsid w:val="00BF5E9E"/>
    <w:rsid w:val="00BF68C0"/>
    <w:rsid w:val="00C01236"/>
    <w:rsid w:val="00C018CE"/>
    <w:rsid w:val="00C03D04"/>
    <w:rsid w:val="00C049A0"/>
    <w:rsid w:val="00C04C6A"/>
    <w:rsid w:val="00C0643B"/>
    <w:rsid w:val="00C10951"/>
    <w:rsid w:val="00C11D0C"/>
    <w:rsid w:val="00C13F12"/>
    <w:rsid w:val="00C15B14"/>
    <w:rsid w:val="00C22D12"/>
    <w:rsid w:val="00C2312A"/>
    <w:rsid w:val="00C25D4F"/>
    <w:rsid w:val="00C2775A"/>
    <w:rsid w:val="00C30803"/>
    <w:rsid w:val="00C30F04"/>
    <w:rsid w:val="00C33132"/>
    <w:rsid w:val="00C33198"/>
    <w:rsid w:val="00C33770"/>
    <w:rsid w:val="00C339C9"/>
    <w:rsid w:val="00C34866"/>
    <w:rsid w:val="00C3678E"/>
    <w:rsid w:val="00C368E5"/>
    <w:rsid w:val="00C36C15"/>
    <w:rsid w:val="00C37918"/>
    <w:rsid w:val="00C40FD6"/>
    <w:rsid w:val="00C412A6"/>
    <w:rsid w:val="00C4458A"/>
    <w:rsid w:val="00C44905"/>
    <w:rsid w:val="00C46CF9"/>
    <w:rsid w:val="00C4799A"/>
    <w:rsid w:val="00C50496"/>
    <w:rsid w:val="00C53F68"/>
    <w:rsid w:val="00C61254"/>
    <w:rsid w:val="00C61377"/>
    <w:rsid w:val="00C620B6"/>
    <w:rsid w:val="00C621EC"/>
    <w:rsid w:val="00C6238F"/>
    <w:rsid w:val="00C63959"/>
    <w:rsid w:val="00C64CD2"/>
    <w:rsid w:val="00C66597"/>
    <w:rsid w:val="00C72BC9"/>
    <w:rsid w:val="00C731EC"/>
    <w:rsid w:val="00C74050"/>
    <w:rsid w:val="00C744B1"/>
    <w:rsid w:val="00C74D5B"/>
    <w:rsid w:val="00C75686"/>
    <w:rsid w:val="00C76CC0"/>
    <w:rsid w:val="00C76D49"/>
    <w:rsid w:val="00C77157"/>
    <w:rsid w:val="00C81986"/>
    <w:rsid w:val="00C83F6D"/>
    <w:rsid w:val="00C84CCF"/>
    <w:rsid w:val="00C858ED"/>
    <w:rsid w:val="00C86368"/>
    <w:rsid w:val="00C90B12"/>
    <w:rsid w:val="00C91BDB"/>
    <w:rsid w:val="00C9290F"/>
    <w:rsid w:val="00C92FEB"/>
    <w:rsid w:val="00C932A4"/>
    <w:rsid w:val="00C957D1"/>
    <w:rsid w:val="00C959AE"/>
    <w:rsid w:val="00C95B9A"/>
    <w:rsid w:val="00CA00E6"/>
    <w:rsid w:val="00CA05DA"/>
    <w:rsid w:val="00CA23FF"/>
    <w:rsid w:val="00CA3187"/>
    <w:rsid w:val="00CA3B76"/>
    <w:rsid w:val="00CA480F"/>
    <w:rsid w:val="00CB0A8B"/>
    <w:rsid w:val="00CB103C"/>
    <w:rsid w:val="00CB258F"/>
    <w:rsid w:val="00CB2707"/>
    <w:rsid w:val="00CB5898"/>
    <w:rsid w:val="00CB5912"/>
    <w:rsid w:val="00CB7E0D"/>
    <w:rsid w:val="00CC0623"/>
    <w:rsid w:val="00CC22F6"/>
    <w:rsid w:val="00CC2DE6"/>
    <w:rsid w:val="00CC49E3"/>
    <w:rsid w:val="00CC4D73"/>
    <w:rsid w:val="00CD1FDB"/>
    <w:rsid w:val="00CD30A4"/>
    <w:rsid w:val="00CD7465"/>
    <w:rsid w:val="00CE1EB2"/>
    <w:rsid w:val="00CE1FF4"/>
    <w:rsid w:val="00CE6593"/>
    <w:rsid w:val="00CE78FB"/>
    <w:rsid w:val="00CE7C59"/>
    <w:rsid w:val="00CF0935"/>
    <w:rsid w:val="00CF30F2"/>
    <w:rsid w:val="00CF40C3"/>
    <w:rsid w:val="00CF4C89"/>
    <w:rsid w:val="00D0167A"/>
    <w:rsid w:val="00D01D75"/>
    <w:rsid w:val="00D02198"/>
    <w:rsid w:val="00D03C67"/>
    <w:rsid w:val="00D0419A"/>
    <w:rsid w:val="00D05990"/>
    <w:rsid w:val="00D05BD2"/>
    <w:rsid w:val="00D05CEC"/>
    <w:rsid w:val="00D071F4"/>
    <w:rsid w:val="00D100D1"/>
    <w:rsid w:val="00D1017A"/>
    <w:rsid w:val="00D1030C"/>
    <w:rsid w:val="00D139B3"/>
    <w:rsid w:val="00D15970"/>
    <w:rsid w:val="00D163F2"/>
    <w:rsid w:val="00D20484"/>
    <w:rsid w:val="00D23F01"/>
    <w:rsid w:val="00D26010"/>
    <w:rsid w:val="00D26428"/>
    <w:rsid w:val="00D27FCC"/>
    <w:rsid w:val="00D3106D"/>
    <w:rsid w:val="00D31EBF"/>
    <w:rsid w:val="00D32AF2"/>
    <w:rsid w:val="00D32BA3"/>
    <w:rsid w:val="00D342B3"/>
    <w:rsid w:val="00D3584A"/>
    <w:rsid w:val="00D413F7"/>
    <w:rsid w:val="00D42D17"/>
    <w:rsid w:val="00D44BDA"/>
    <w:rsid w:val="00D46A07"/>
    <w:rsid w:val="00D50CCB"/>
    <w:rsid w:val="00D514D4"/>
    <w:rsid w:val="00D52429"/>
    <w:rsid w:val="00D52EC6"/>
    <w:rsid w:val="00D533CC"/>
    <w:rsid w:val="00D5366F"/>
    <w:rsid w:val="00D54CFD"/>
    <w:rsid w:val="00D55F13"/>
    <w:rsid w:val="00D567F5"/>
    <w:rsid w:val="00D60238"/>
    <w:rsid w:val="00D61758"/>
    <w:rsid w:val="00D654E0"/>
    <w:rsid w:val="00D658EE"/>
    <w:rsid w:val="00D65C2B"/>
    <w:rsid w:val="00D65C3F"/>
    <w:rsid w:val="00D662B6"/>
    <w:rsid w:val="00D666DF"/>
    <w:rsid w:val="00D7031D"/>
    <w:rsid w:val="00D70966"/>
    <w:rsid w:val="00D717DC"/>
    <w:rsid w:val="00D71FFA"/>
    <w:rsid w:val="00D73390"/>
    <w:rsid w:val="00D74C98"/>
    <w:rsid w:val="00D753ED"/>
    <w:rsid w:val="00D7700D"/>
    <w:rsid w:val="00D772C3"/>
    <w:rsid w:val="00D7769D"/>
    <w:rsid w:val="00D80745"/>
    <w:rsid w:val="00D81F2D"/>
    <w:rsid w:val="00D83E5A"/>
    <w:rsid w:val="00D86364"/>
    <w:rsid w:val="00D90339"/>
    <w:rsid w:val="00D910DB"/>
    <w:rsid w:val="00D91B42"/>
    <w:rsid w:val="00D948D1"/>
    <w:rsid w:val="00D971C1"/>
    <w:rsid w:val="00D97CF2"/>
    <w:rsid w:val="00DA02A4"/>
    <w:rsid w:val="00DA03DC"/>
    <w:rsid w:val="00DA0430"/>
    <w:rsid w:val="00DA0756"/>
    <w:rsid w:val="00DA1189"/>
    <w:rsid w:val="00DA1216"/>
    <w:rsid w:val="00DA247D"/>
    <w:rsid w:val="00DA37C1"/>
    <w:rsid w:val="00DA5BE6"/>
    <w:rsid w:val="00DA6EA9"/>
    <w:rsid w:val="00DA73DB"/>
    <w:rsid w:val="00DA7CE2"/>
    <w:rsid w:val="00DB086C"/>
    <w:rsid w:val="00DB2A11"/>
    <w:rsid w:val="00DB2BFE"/>
    <w:rsid w:val="00DB6491"/>
    <w:rsid w:val="00DB723B"/>
    <w:rsid w:val="00DC0011"/>
    <w:rsid w:val="00DC024A"/>
    <w:rsid w:val="00DC1E9E"/>
    <w:rsid w:val="00DC25E3"/>
    <w:rsid w:val="00DC3057"/>
    <w:rsid w:val="00DC4697"/>
    <w:rsid w:val="00DC5CD1"/>
    <w:rsid w:val="00DD0A12"/>
    <w:rsid w:val="00DD2BED"/>
    <w:rsid w:val="00DD651E"/>
    <w:rsid w:val="00DD699A"/>
    <w:rsid w:val="00DE1B1B"/>
    <w:rsid w:val="00DE20F4"/>
    <w:rsid w:val="00DE4FD9"/>
    <w:rsid w:val="00DE53FE"/>
    <w:rsid w:val="00DE6572"/>
    <w:rsid w:val="00DE76A9"/>
    <w:rsid w:val="00DF1297"/>
    <w:rsid w:val="00DF1F81"/>
    <w:rsid w:val="00DF1F97"/>
    <w:rsid w:val="00DF2786"/>
    <w:rsid w:val="00DF2922"/>
    <w:rsid w:val="00DF3D14"/>
    <w:rsid w:val="00DF55C8"/>
    <w:rsid w:val="00DF57F5"/>
    <w:rsid w:val="00DF7600"/>
    <w:rsid w:val="00DF7C38"/>
    <w:rsid w:val="00E009B5"/>
    <w:rsid w:val="00E00A1D"/>
    <w:rsid w:val="00E03E3C"/>
    <w:rsid w:val="00E05BA6"/>
    <w:rsid w:val="00E12CA7"/>
    <w:rsid w:val="00E134A3"/>
    <w:rsid w:val="00E163C7"/>
    <w:rsid w:val="00E22130"/>
    <w:rsid w:val="00E223CE"/>
    <w:rsid w:val="00E23497"/>
    <w:rsid w:val="00E243D9"/>
    <w:rsid w:val="00E2494E"/>
    <w:rsid w:val="00E24982"/>
    <w:rsid w:val="00E32F81"/>
    <w:rsid w:val="00E34CD2"/>
    <w:rsid w:val="00E35B09"/>
    <w:rsid w:val="00E41FD2"/>
    <w:rsid w:val="00E44432"/>
    <w:rsid w:val="00E46188"/>
    <w:rsid w:val="00E46FB8"/>
    <w:rsid w:val="00E479BC"/>
    <w:rsid w:val="00E56224"/>
    <w:rsid w:val="00E564FA"/>
    <w:rsid w:val="00E57EDA"/>
    <w:rsid w:val="00E6035F"/>
    <w:rsid w:val="00E61CE7"/>
    <w:rsid w:val="00E62C7F"/>
    <w:rsid w:val="00E62D62"/>
    <w:rsid w:val="00E645D1"/>
    <w:rsid w:val="00E66B83"/>
    <w:rsid w:val="00E6726D"/>
    <w:rsid w:val="00E70598"/>
    <w:rsid w:val="00E72D90"/>
    <w:rsid w:val="00E72FF8"/>
    <w:rsid w:val="00E74A76"/>
    <w:rsid w:val="00E753F4"/>
    <w:rsid w:val="00E769A3"/>
    <w:rsid w:val="00E76E97"/>
    <w:rsid w:val="00E802A8"/>
    <w:rsid w:val="00E80984"/>
    <w:rsid w:val="00E81BCB"/>
    <w:rsid w:val="00E82885"/>
    <w:rsid w:val="00E82D06"/>
    <w:rsid w:val="00E83297"/>
    <w:rsid w:val="00E8624F"/>
    <w:rsid w:val="00E8763E"/>
    <w:rsid w:val="00E91882"/>
    <w:rsid w:val="00E923A7"/>
    <w:rsid w:val="00E932A7"/>
    <w:rsid w:val="00E960C1"/>
    <w:rsid w:val="00E96BCE"/>
    <w:rsid w:val="00EA1E45"/>
    <w:rsid w:val="00EA2FA6"/>
    <w:rsid w:val="00EA3836"/>
    <w:rsid w:val="00EA512E"/>
    <w:rsid w:val="00EA6284"/>
    <w:rsid w:val="00EA6EC9"/>
    <w:rsid w:val="00EB01DF"/>
    <w:rsid w:val="00EB0956"/>
    <w:rsid w:val="00EB0FB2"/>
    <w:rsid w:val="00EB242D"/>
    <w:rsid w:val="00EB3491"/>
    <w:rsid w:val="00EB392B"/>
    <w:rsid w:val="00EB4DCD"/>
    <w:rsid w:val="00EB6B3E"/>
    <w:rsid w:val="00EC0F7F"/>
    <w:rsid w:val="00EC119D"/>
    <w:rsid w:val="00EC1669"/>
    <w:rsid w:val="00EC1CA1"/>
    <w:rsid w:val="00EC3759"/>
    <w:rsid w:val="00EC384D"/>
    <w:rsid w:val="00EC38D8"/>
    <w:rsid w:val="00EC4AEE"/>
    <w:rsid w:val="00EC5392"/>
    <w:rsid w:val="00EC54C3"/>
    <w:rsid w:val="00EC5C87"/>
    <w:rsid w:val="00EC5CF1"/>
    <w:rsid w:val="00EC62E4"/>
    <w:rsid w:val="00EC7AED"/>
    <w:rsid w:val="00ED01FF"/>
    <w:rsid w:val="00ED21C7"/>
    <w:rsid w:val="00ED5E4D"/>
    <w:rsid w:val="00ED65BD"/>
    <w:rsid w:val="00ED6791"/>
    <w:rsid w:val="00EE2F44"/>
    <w:rsid w:val="00EE3FC6"/>
    <w:rsid w:val="00EE76A2"/>
    <w:rsid w:val="00EF5671"/>
    <w:rsid w:val="00EF5FD3"/>
    <w:rsid w:val="00EF6411"/>
    <w:rsid w:val="00EF6B39"/>
    <w:rsid w:val="00F002B8"/>
    <w:rsid w:val="00F00F90"/>
    <w:rsid w:val="00F03ADB"/>
    <w:rsid w:val="00F06D44"/>
    <w:rsid w:val="00F071F9"/>
    <w:rsid w:val="00F110E1"/>
    <w:rsid w:val="00F11604"/>
    <w:rsid w:val="00F1286E"/>
    <w:rsid w:val="00F16AB4"/>
    <w:rsid w:val="00F20DBA"/>
    <w:rsid w:val="00F21CC9"/>
    <w:rsid w:val="00F23585"/>
    <w:rsid w:val="00F236D3"/>
    <w:rsid w:val="00F23CB0"/>
    <w:rsid w:val="00F3013D"/>
    <w:rsid w:val="00F30144"/>
    <w:rsid w:val="00F30B7C"/>
    <w:rsid w:val="00F30EE7"/>
    <w:rsid w:val="00F3251B"/>
    <w:rsid w:val="00F32C98"/>
    <w:rsid w:val="00F33A60"/>
    <w:rsid w:val="00F3438B"/>
    <w:rsid w:val="00F34446"/>
    <w:rsid w:val="00F40FDB"/>
    <w:rsid w:val="00F43315"/>
    <w:rsid w:val="00F43E9A"/>
    <w:rsid w:val="00F43F7F"/>
    <w:rsid w:val="00F441E1"/>
    <w:rsid w:val="00F44A86"/>
    <w:rsid w:val="00F44DAE"/>
    <w:rsid w:val="00F5026F"/>
    <w:rsid w:val="00F506B4"/>
    <w:rsid w:val="00F51552"/>
    <w:rsid w:val="00F51EFA"/>
    <w:rsid w:val="00F62F9A"/>
    <w:rsid w:val="00F6660F"/>
    <w:rsid w:val="00F71B23"/>
    <w:rsid w:val="00F728DD"/>
    <w:rsid w:val="00F73D62"/>
    <w:rsid w:val="00F7429B"/>
    <w:rsid w:val="00F76622"/>
    <w:rsid w:val="00F770B9"/>
    <w:rsid w:val="00F80063"/>
    <w:rsid w:val="00F80A16"/>
    <w:rsid w:val="00F81700"/>
    <w:rsid w:val="00F818B0"/>
    <w:rsid w:val="00F82313"/>
    <w:rsid w:val="00F8244C"/>
    <w:rsid w:val="00F83121"/>
    <w:rsid w:val="00F83771"/>
    <w:rsid w:val="00F94813"/>
    <w:rsid w:val="00F94BE1"/>
    <w:rsid w:val="00F96EDB"/>
    <w:rsid w:val="00F96FF3"/>
    <w:rsid w:val="00F97A60"/>
    <w:rsid w:val="00FA0064"/>
    <w:rsid w:val="00FA11E6"/>
    <w:rsid w:val="00FA2B7D"/>
    <w:rsid w:val="00FA40DD"/>
    <w:rsid w:val="00FA5495"/>
    <w:rsid w:val="00FA6A65"/>
    <w:rsid w:val="00FA71AC"/>
    <w:rsid w:val="00FB25B4"/>
    <w:rsid w:val="00FB4822"/>
    <w:rsid w:val="00FB545B"/>
    <w:rsid w:val="00FB5B3B"/>
    <w:rsid w:val="00FB7342"/>
    <w:rsid w:val="00FC2280"/>
    <w:rsid w:val="00FC2CB5"/>
    <w:rsid w:val="00FC418F"/>
    <w:rsid w:val="00FC5AC4"/>
    <w:rsid w:val="00FC6095"/>
    <w:rsid w:val="00FC6F90"/>
    <w:rsid w:val="00FC7856"/>
    <w:rsid w:val="00FD1C23"/>
    <w:rsid w:val="00FD2B96"/>
    <w:rsid w:val="00FD5D59"/>
    <w:rsid w:val="00FD5E7F"/>
    <w:rsid w:val="00FD7EF8"/>
    <w:rsid w:val="00FD7F24"/>
    <w:rsid w:val="00FE232F"/>
    <w:rsid w:val="00FE2528"/>
    <w:rsid w:val="00FE5372"/>
    <w:rsid w:val="00FE5B2B"/>
    <w:rsid w:val="00FE6326"/>
    <w:rsid w:val="00FF184E"/>
    <w:rsid w:val="00FF29DC"/>
    <w:rsid w:val="00FF2BD6"/>
    <w:rsid w:val="00FF2F89"/>
    <w:rsid w:val="00FF3B52"/>
    <w:rsid w:val="00FF4110"/>
    <w:rsid w:val="00FF4766"/>
    <w:rsid w:val="00FF49EE"/>
    <w:rsid w:val="00FF5786"/>
    <w:rsid w:val="00FF67FB"/>
    <w:rsid w:val="00FF6BFC"/>
    <w:rsid w:val="00FF799A"/>
    <w:rsid w:val="00FF7C62"/>
    <w:rsid w:val="017CB12D"/>
    <w:rsid w:val="0363905B"/>
    <w:rsid w:val="04BFE066"/>
    <w:rsid w:val="04ED42A3"/>
    <w:rsid w:val="05E98999"/>
    <w:rsid w:val="06382D9F"/>
    <w:rsid w:val="0759EA33"/>
    <w:rsid w:val="07B6693C"/>
    <w:rsid w:val="0919FC86"/>
    <w:rsid w:val="09CC591B"/>
    <w:rsid w:val="0A0BA2D3"/>
    <w:rsid w:val="0A740F34"/>
    <w:rsid w:val="0B3DC69E"/>
    <w:rsid w:val="0B4AC58A"/>
    <w:rsid w:val="0D928799"/>
    <w:rsid w:val="0EC71151"/>
    <w:rsid w:val="0F94A13A"/>
    <w:rsid w:val="10363141"/>
    <w:rsid w:val="11019900"/>
    <w:rsid w:val="1211EB7E"/>
    <w:rsid w:val="13DE659E"/>
    <w:rsid w:val="13E39C3B"/>
    <w:rsid w:val="14A08842"/>
    <w:rsid w:val="16A72454"/>
    <w:rsid w:val="1752923C"/>
    <w:rsid w:val="177D31DE"/>
    <w:rsid w:val="181457F2"/>
    <w:rsid w:val="1842F4B5"/>
    <w:rsid w:val="1A54AF15"/>
    <w:rsid w:val="200AD657"/>
    <w:rsid w:val="2183DCEE"/>
    <w:rsid w:val="221F847A"/>
    <w:rsid w:val="2B727F9C"/>
    <w:rsid w:val="2BAFACEE"/>
    <w:rsid w:val="2D9145C6"/>
    <w:rsid w:val="2F41E391"/>
    <w:rsid w:val="353DBBCE"/>
    <w:rsid w:val="386C7BAC"/>
    <w:rsid w:val="3BE592C6"/>
    <w:rsid w:val="3D64963A"/>
    <w:rsid w:val="3D93861E"/>
    <w:rsid w:val="3EB1D192"/>
    <w:rsid w:val="4310CB17"/>
    <w:rsid w:val="4657C424"/>
    <w:rsid w:val="4762A089"/>
    <w:rsid w:val="485EF4D1"/>
    <w:rsid w:val="4A0A245F"/>
    <w:rsid w:val="4BF08345"/>
    <w:rsid w:val="4CFA55EE"/>
    <w:rsid w:val="4D568D0A"/>
    <w:rsid w:val="4E03B23E"/>
    <w:rsid w:val="4F42B0B2"/>
    <w:rsid w:val="4F9F829F"/>
    <w:rsid w:val="53119699"/>
    <w:rsid w:val="56177AF7"/>
    <w:rsid w:val="566DF064"/>
    <w:rsid w:val="5A14962C"/>
    <w:rsid w:val="5CE34F8D"/>
    <w:rsid w:val="5CFC937A"/>
    <w:rsid w:val="5DF4B8BA"/>
    <w:rsid w:val="5E23ACDA"/>
    <w:rsid w:val="631A46AE"/>
    <w:rsid w:val="63D1F288"/>
    <w:rsid w:val="651C1CC6"/>
    <w:rsid w:val="6A372345"/>
    <w:rsid w:val="6A83C797"/>
    <w:rsid w:val="6AB4B690"/>
    <w:rsid w:val="6CEE49F4"/>
    <w:rsid w:val="6FBA100F"/>
    <w:rsid w:val="70DD08E7"/>
    <w:rsid w:val="724AEBFE"/>
    <w:rsid w:val="73E6BC5F"/>
    <w:rsid w:val="742DE51B"/>
    <w:rsid w:val="75470B1A"/>
    <w:rsid w:val="77712F68"/>
    <w:rsid w:val="7EC44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6711B"/>
  <w15:chartTrackingRefBased/>
  <w15:docId w15:val="{AC7AB24D-495C-4307-BD93-CEEA7D726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64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264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64E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64E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64E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64E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64E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64E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64E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4E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264E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64E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64E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64E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64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64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64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64ED"/>
    <w:rPr>
      <w:rFonts w:eastAsiaTheme="majorEastAsia" w:cstheme="majorBidi"/>
      <w:color w:val="272727" w:themeColor="text1" w:themeTint="D8"/>
    </w:rPr>
  </w:style>
  <w:style w:type="paragraph" w:styleId="Title">
    <w:name w:val="Title"/>
    <w:basedOn w:val="Normal"/>
    <w:next w:val="Normal"/>
    <w:link w:val="TitleChar"/>
    <w:uiPriority w:val="10"/>
    <w:qFormat/>
    <w:rsid w:val="001264E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64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64ED"/>
    <w:pPr>
      <w:numPr>
        <w:ilvl w:val="1"/>
      </w:numPr>
      <w:spacing w:after="160"/>
      <w:ind w:hanging="3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64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64E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264ED"/>
    <w:rPr>
      <w:i/>
      <w:iCs/>
      <w:color w:val="404040" w:themeColor="text1" w:themeTint="BF"/>
    </w:rPr>
  </w:style>
  <w:style w:type="paragraph" w:styleId="ListParagraph">
    <w:name w:val="List Paragraph"/>
    <w:basedOn w:val="Normal"/>
    <w:uiPriority w:val="1"/>
    <w:qFormat/>
    <w:rsid w:val="001264ED"/>
    <w:pPr>
      <w:ind w:left="720"/>
      <w:contextualSpacing/>
    </w:pPr>
  </w:style>
  <w:style w:type="character" w:styleId="IntenseEmphasis">
    <w:name w:val="Intense Emphasis"/>
    <w:basedOn w:val="DefaultParagraphFont"/>
    <w:uiPriority w:val="21"/>
    <w:qFormat/>
    <w:rsid w:val="001264ED"/>
    <w:rPr>
      <w:i/>
      <w:iCs/>
      <w:color w:val="0F4761" w:themeColor="accent1" w:themeShade="BF"/>
    </w:rPr>
  </w:style>
  <w:style w:type="paragraph" w:styleId="IntenseQuote">
    <w:name w:val="Intense Quote"/>
    <w:basedOn w:val="Normal"/>
    <w:next w:val="Normal"/>
    <w:link w:val="IntenseQuoteChar"/>
    <w:uiPriority w:val="30"/>
    <w:qFormat/>
    <w:rsid w:val="001264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264ED"/>
    <w:rPr>
      <w:i/>
      <w:iCs/>
      <w:color w:val="0F4761" w:themeColor="accent1" w:themeShade="BF"/>
    </w:rPr>
  </w:style>
  <w:style w:type="character" w:styleId="IntenseReference">
    <w:name w:val="Intense Reference"/>
    <w:basedOn w:val="DefaultParagraphFont"/>
    <w:uiPriority w:val="32"/>
    <w:qFormat/>
    <w:rsid w:val="001264ED"/>
    <w:rPr>
      <w:b/>
      <w:bCs/>
      <w:smallCaps/>
      <w:color w:val="0F4761" w:themeColor="accent1" w:themeShade="BF"/>
      <w:spacing w:val="5"/>
    </w:rPr>
  </w:style>
  <w:style w:type="character" w:styleId="Hyperlink">
    <w:name w:val="Hyperlink"/>
    <w:basedOn w:val="DefaultParagraphFont"/>
    <w:uiPriority w:val="99"/>
    <w:unhideWhenUsed/>
    <w:rsid w:val="001264ED"/>
    <w:rPr>
      <w:color w:val="467886" w:themeColor="hyperlink"/>
      <w:u w:val="single"/>
    </w:rPr>
  </w:style>
  <w:style w:type="character" w:styleId="UnresolvedMention">
    <w:name w:val="Unresolved Mention"/>
    <w:basedOn w:val="DefaultParagraphFont"/>
    <w:uiPriority w:val="99"/>
    <w:semiHidden/>
    <w:unhideWhenUsed/>
    <w:rsid w:val="001264ED"/>
    <w:rPr>
      <w:color w:val="605E5C"/>
      <w:shd w:val="clear" w:color="auto" w:fill="E1DFDD"/>
    </w:rPr>
  </w:style>
  <w:style w:type="character" w:styleId="CommentReference">
    <w:name w:val="annotation reference"/>
    <w:basedOn w:val="DefaultParagraphFont"/>
    <w:uiPriority w:val="99"/>
    <w:semiHidden/>
    <w:unhideWhenUsed/>
    <w:rsid w:val="00CB5898"/>
    <w:rPr>
      <w:sz w:val="16"/>
      <w:szCs w:val="16"/>
    </w:rPr>
  </w:style>
  <w:style w:type="paragraph" w:styleId="CommentText">
    <w:name w:val="annotation text"/>
    <w:basedOn w:val="Normal"/>
    <w:link w:val="CommentTextChar"/>
    <w:uiPriority w:val="99"/>
    <w:unhideWhenUsed/>
    <w:rsid w:val="00CB5898"/>
    <w:rPr>
      <w:sz w:val="20"/>
      <w:szCs w:val="20"/>
    </w:rPr>
  </w:style>
  <w:style w:type="character" w:customStyle="1" w:styleId="CommentTextChar">
    <w:name w:val="Comment Text Char"/>
    <w:basedOn w:val="DefaultParagraphFont"/>
    <w:link w:val="CommentText"/>
    <w:uiPriority w:val="99"/>
    <w:rsid w:val="00CB5898"/>
    <w:rPr>
      <w:sz w:val="20"/>
      <w:szCs w:val="20"/>
    </w:rPr>
  </w:style>
  <w:style w:type="paragraph" w:styleId="CommentSubject">
    <w:name w:val="annotation subject"/>
    <w:basedOn w:val="CommentText"/>
    <w:next w:val="CommentText"/>
    <w:link w:val="CommentSubjectChar"/>
    <w:uiPriority w:val="99"/>
    <w:semiHidden/>
    <w:unhideWhenUsed/>
    <w:rsid w:val="00CB5898"/>
    <w:rPr>
      <w:b/>
      <w:bCs/>
    </w:rPr>
  </w:style>
  <w:style w:type="character" w:customStyle="1" w:styleId="CommentSubjectChar">
    <w:name w:val="Comment Subject Char"/>
    <w:basedOn w:val="CommentTextChar"/>
    <w:link w:val="CommentSubject"/>
    <w:uiPriority w:val="99"/>
    <w:semiHidden/>
    <w:rsid w:val="00CB5898"/>
    <w:rPr>
      <w:b/>
      <w:bCs/>
      <w:sz w:val="20"/>
      <w:szCs w:val="20"/>
    </w:rPr>
  </w:style>
  <w:style w:type="paragraph" w:styleId="Revision">
    <w:name w:val="Revision"/>
    <w:hidden/>
    <w:uiPriority w:val="99"/>
    <w:semiHidden/>
    <w:rsid w:val="0026093E"/>
    <w:pPr>
      <w:spacing w:before="0"/>
    </w:pPr>
  </w:style>
  <w:style w:type="character" w:styleId="Mention">
    <w:name w:val="Mention"/>
    <w:basedOn w:val="DefaultParagraphFont"/>
    <w:uiPriority w:val="99"/>
    <w:unhideWhenUsed/>
    <w:rsid w:val="009F53CD"/>
    <w:rPr>
      <w:color w:val="2B579A"/>
      <w:shd w:val="clear" w:color="auto" w:fill="E1DFDD"/>
    </w:rPr>
  </w:style>
  <w:style w:type="paragraph" w:styleId="Caption">
    <w:name w:val="caption"/>
    <w:basedOn w:val="Normal"/>
    <w:next w:val="Normal"/>
    <w:uiPriority w:val="35"/>
    <w:unhideWhenUsed/>
    <w:qFormat/>
    <w:rsid w:val="000344AB"/>
    <w:pPr>
      <w:spacing w:before="0" w:after="200"/>
    </w:pPr>
    <w:rPr>
      <w:i/>
      <w:iCs/>
      <w:color w:val="0E2841" w:themeColor="text2"/>
      <w:sz w:val="18"/>
      <w:szCs w:val="18"/>
    </w:rPr>
  </w:style>
  <w:style w:type="character" w:customStyle="1" w:styleId="normaltextrun">
    <w:name w:val="normaltextrun"/>
    <w:basedOn w:val="DefaultParagraphFont"/>
    <w:rsid w:val="00FC418F"/>
  </w:style>
  <w:style w:type="character" w:customStyle="1" w:styleId="eop">
    <w:name w:val="eop"/>
    <w:basedOn w:val="DefaultParagraphFont"/>
    <w:rsid w:val="00FC418F"/>
  </w:style>
  <w:style w:type="paragraph" w:customStyle="1" w:styleId="Default">
    <w:name w:val="Default"/>
    <w:rsid w:val="007B2A55"/>
    <w:pPr>
      <w:autoSpaceDE w:val="0"/>
      <w:autoSpaceDN w:val="0"/>
      <w:adjustRightInd w:val="0"/>
      <w:spacing w:before="0"/>
    </w:pPr>
    <w:rPr>
      <w:rFonts w:ascii="Times New Roman" w:hAnsi="Times New Roman" w:cs="Times New Roman"/>
      <w:color w:val="000000"/>
      <w:kern w:val="0"/>
      <w:sz w:val="24"/>
      <w:szCs w:val="24"/>
    </w:rPr>
  </w:style>
  <w:style w:type="paragraph" w:styleId="Header">
    <w:name w:val="header"/>
    <w:basedOn w:val="Normal"/>
    <w:link w:val="HeaderChar"/>
    <w:uiPriority w:val="99"/>
    <w:unhideWhenUsed/>
    <w:rsid w:val="00EE2F44"/>
    <w:pPr>
      <w:tabs>
        <w:tab w:val="center" w:pos="4680"/>
        <w:tab w:val="right" w:pos="9360"/>
      </w:tabs>
      <w:spacing w:before="0"/>
    </w:pPr>
  </w:style>
  <w:style w:type="character" w:customStyle="1" w:styleId="HeaderChar">
    <w:name w:val="Header Char"/>
    <w:basedOn w:val="DefaultParagraphFont"/>
    <w:link w:val="Header"/>
    <w:uiPriority w:val="99"/>
    <w:rsid w:val="00EE2F44"/>
  </w:style>
  <w:style w:type="paragraph" w:styleId="Footer">
    <w:name w:val="footer"/>
    <w:basedOn w:val="Normal"/>
    <w:link w:val="FooterChar"/>
    <w:uiPriority w:val="99"/>
    <w:unhideWhenUsed/>
    <w:rsid w:val="00EE2F44"/>
    <w:pPr>
      <w:tabs>
        <w:tab w:val="center" w:pos="4680"/>
        <w:tab w:val="right" w:pos="9360"/>
      </w:tabs>
      <w:spacing w:before="0"/>
    </w:pPr>
  </w:style>
  <w:style w:type="character" w:customStyle="1" w:styleId="FooterChar">
    <w:name w:val="Footer Char"/>
    <w:basedOn w:val="DefaultParagraphFont"/>
    <w:link w:val="Footer"/>
    <w:uiPriority w:val="99"/>
    <w:rsid w:val="00EE2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436521">
      <w:bodyDiv w:val="1"/>
      <w:marLeft w:val="0"/>
      <w:marRight w:val="0"/>
      <w:marTop w:val="0"/>
      <w:marBottom w:val="0"/>
      <w:divBdr>
        <w:top w:val="none" w:sz="0" w:space="0" w:color="auto"/>
        <w:left w:val="none" w:sz="0" w:space="0" w:color="auto"/>
        <w:bottom w:val="none" w:sz="0" w:space="0" w:color="auto"/>
        <w:right w:val="none" w:sz="0" w:space="0" w:color="auto"/>
      </w:divBdr>
    </w:div>
    <w:div w:id="107045463">
      <w:bodyDiv w:val="1"/>
      <w:marLeft w:val="0"/>
      <w:marRight w:val="0"/>
      <w:marTop w:val="0"/>
      <w:marBottom w:val="0"/>
      <w:divBdr>
        <w:top w:val="none" w:sz="0" w:space="0" w:color="auto"/>
        <w:left w:val="none" w:sz="0" w:space="0" w:color="auto"/>
        <w:bottom w:val="none" w:sz="0" w:space="0" w:color="auto"/>
        <w:right w:val="none" w:sz="0" w:space="0" w:color="auto"/>
      </w:divBdr>
    </w:div>
    <w:div w:id="243800880">
      <w:bodyDiv w:val="1"/>
      <w:marLeft w:val="0"/>
      <w:marRight w:val="0"/>
      <w:marTop w:val="0"/>
      <w:marBottom w:val="0"/>
      <w:divBdr>
        <w:top w:val="none" w:sz="0" w:space="0" w:color="auto"/>
        <w:left w:val="none" w:sz="0" w:space="0" w:color="auto"/>
        <w:bottom w:val="none" w:sz="0" w:space="0" w:color="auto"/>
        <w:right w:val="none" w:sz="0" w:space="0" w:color="auto"/>
      </w:divBdr>
    </w:div>
    <w:div w:id="255284185">
      <w:bodyDiv w:val="1"/>
      <w:marLeft w:val="0"/>
      <w:marRight w:val="0"/>
      <w:marTop w:val="0"/>
      <w:marBottom w:val="0"/>
      <w:divBdr>
        <w:top w:val="none" w:sz="0" w:space="0" w:color="auto"/>
        <w:left w:val="none" w:sz="0" w:space="0" w:color="auto"/>
        <w:bottom w:val="none" w:sz="0" w:space="0" w:color="auto"/>
        <w:right w:val="none" w:sz="0" w:space="0" w:color="auto"/>
      </w:divBdr>
    </w:div>
    <w:div w:id="310985172">
      <w:bodyDiv w:val="1"/>
      <w:marLeft w:val="0"/>
      <w:marRight w:val="0"/>
      <w:marTop w:val="0"/>
      <w:marBottom w:val="0"/>
      <w:divBdr>
        <w:top w:val="none" w:sz="0" w:space="0" w:color="auto"/>
        <w:left w:val="none" w:sz="0" w:space="0" w:color="auto"/>
        <w:bottom w:val="none" w:sz="0" w:space="0" w:color="auto"/>
        <w:right w:val="none" w:sz="0" w:space="0" w:color="auto"/>
      </w:divBdr>
    </w:div>
    <w:div w:id="317802684">
      <w:bodyDiv w:val="1"/>
      <w:marLeft w:val="0"/>
      <w:marRight w:val="0"/>
      <w:marTop w:val="0"/>
      <w:marBottom w:val="0"/>
      <w:divBdr>
        <w:top w:val="none" w:sz="0" w:space="0" w:color="auto"/>
        <w:left w:val="none" w:sz="0" w:space="0" w:color="auto"/>
        <w:bottom w:val="none" w:sz="0" w:space="0" w:color="auto"/>
        <w:right w:val="none" w:sz="0" w:space="0" w:color="auto"/>
      </w:divBdr>
    </w:div>
    <w:div w:id="349573970">
      <w:bodyDiv w:val="1"/>
      <w:marLeft w:val="0"/>
      <w:marRight w:val="0"/>
      <w:marTop w:val="0"/>
      <w:marBottom w:val="0"/>
      <w:divBdr>
        <w:top w:val="none" w:sz="0" w:space="0" w:color="auto"/>
        <w:left w:val="none" w:sz="0" w:space="0" w:color="auto"/>
        <w:bottom w:val="none" w:sz="0" w:space="0" w:color="auto"/>
        <w:right w:val="none" w:sz="0" w:space="0" w:color="auto"/>
      </w:divBdr>
    </w:div>
    <w:div w:id="358972297">
      <w:bodyDiv w:val="1"/>
      <w:marLeft w:val="0"/>
      <w:marRight w:val="0"/>
      <w:marTop w:val="0"/>
      <w:marBottom w:val="0"/>
      <w:divBdr>
        <w:top w:val="none" w:sz="0" w:space="0" w:color="auto"/>
        <w:left w:val="none" w:sz="0" w:space="0" w:color="auto"/>
        <w:bottom w:val="none" w:sz="0" w:space="0" w:color="auto"/>
        <w:right w:val="none" w:sz="0" w:space="0" w:color="auto"/>
      </w:divBdr>
    </w:div>
    <w:div w:id="421728460">
      <w:bodyDiv w:val="1"/>
      <w:marLeft w:val="0"/>
      <w:marRight w:val="0"/>
      <w:marTop w:val="0"/>
      <w:marBottom w:val="0"/>
      <w:divBdr>
        <w:top w:val="none" w:sz="0" w:space="0" w:color="auto"/>
        <w:left w:val="none" w:sz="0" w:space="0" w:color="auto"/>
        <w:bottom w:val="none" w:sz="0" w:space="0" w:color="auto"/>
        <w:right w:val="none" w:sz="0" w:space="0" w:color="auto"/>
      </w:divBdr>
    </w:div>
    <w:div w:id="465860423">
      <w:bodyDiv w:val="1"/>
      <w:marLeft w:val="0"/>
      <w:marRight w:val="0"/>
      <w:marTop w:val="0"/>
      <w:marBottom w:val="0"/>
      <w:divBdr>
        <w:top w:val="none" w:sz="0" w:space="0" w:color="auto"/>
        <w:left w:val="none" w:sz="0" w:space="0" w:color="auto"/>
        <w:bottom w:val="none" w:sz="0" w:space="0" w:color="auto"/>
        <w:right w:val="none" w:sz="0" w:space="0" w:color="auto"/>
      </w:divBdr>
    </w:div>
    <w:div w:id="539320434">
      <w:bodyDiv w:val="1"/>
      <w:marLeft w:val="0"/>
      <w:marRight w:val="0"/>
      <w:marTop w:val="0"/>
      <w:marBottom w:val="0"/>
      <w:divBdr>
        <w:top w:val="none" w:sz="0" w:space="0" w:color="auto"/>
        <w:left w:val="none" w:sz="0" w:space="0" w:color="auto"/>
        <w:bottom w:val="none" w:sz="0" w:space="0" w:color="auto"/>
        <w:right w:val="none" w:sz="0" w:space="0" w:color="auto"/>
      </w:divBdr>
    </w:div>
    <w:div w:id="545946287">
      <w:bodyDiv w:val="1"/>
      <w:marLeft w:val="0"/>
      <w:marRight w:val="0"/>
      <w:marTop w:val="0"/>
      <w:marBottom w:val="0"/>
      <w:divBdr>
        <w:top w:val="none" w:sz="0" w:space="0" w:color="auto"/>
        <w:left w:val="none" w:sz="0" w:space="0" w:color="auto"/>
        <w:bottom w:val="none" w:sz="0" w:space="0" w:color="auto"/>
        <w:right w:val="none" w:sz="0" w:space="0" w:color="auto"/>
      </w:divBdr>
    </w:div>
    <w:div w:id="669213613">
      <w:bodyDiv w:val="1"/>
      <w:marLeft w:val="0"/>
      <w:marRight w:val="0"/>
      <w:marTop w:val="0"/>
      <w:marBottom w:val="0"/>
      <w:divBdr>
        <w:top w:val="none" w:sz="0" w:space="0" w:color="auto"/>
        <w:left w:val="none" w:sz="0" w:space="0" w:color="auto"/>
        <w:bottom w:val="none" w:sz="0" w:space="0" w:color="auto"/>
        <w:right w:val="none" w:sz="0" w:space="0" w:color="auto"/>
      </w:divBdr>
    </w:div>
    <w:div w:id="681784752">
      <w:bodyDiv w:val="1"/>
      <w:marLeft w:val="0"/>
      <w:marRight w:val="0"/>
      <w:marTop w:val="0"/>
      <w:marBottom w:val="0"/>
      <w:divBdr>
        <w:top w:val="none" w:sz="0" w:space="0" w:color="auto"/>
        <w:left w:val="none" w:sz="0" w:space="0" w:color="auto"/>
        <w:bottom w:val="none" w:sz="0" w:space="0" w:color="auto"/>
        <w:right w:val="none" w:sz="0" w:space="0" w:color="auto"/>
      </w:divBdr>
    </w:div>
    <w:div w:id="690762494">
      <w:bodyDiv w:val="1"/>
      <w:marLeft w:val="0"/>
      <w:marRight w:val="0"/>
      <w:marTop w:val="0"/>
      <w:marBottom w:val="0"/>
      <w:divBdr>
        <w:top w:val="none" w:sz="0" w:space="0" w:color="auto"/>
        <w:left w:val="none" w:sz="0" w:space="0" w:color="auto"/>
        <w:bottom w:val="none" w:sz="0" w:space="0" w:color="auto"/>
        <w:right w:val="none" w:sz="0" w:space="0" w:color="auto"/>
      </w:divBdr>
    </w:div>
    <w:div w:id="730663887">
      <w:bodyDiv w:val="1"/>
      <w:marLeft w:val="0"/>
      <w:marRight w:val="0"/>
      <w:marTop w:val="0"/>
      <w:marBottom w:val="0"/>
      <w:divBdr>
        <w:top w:val="none" w:sz="0" w:space="0" w:color="auto"/>
        <w:left w:val="none" w:sz="0" w:space="0" w:color="auto"/>
        <w:bottom w:val="none" w:sz="0" w:space="0" w:color="auto"/>
        <w:right w:val="none" w:sz="0" w:space="0" w:color="auto"/>
      </w:divBdr>
    </w:div>
    <w:div w:id="839582660">
      <w:bodyDiv w:val="1"/>
      <w:marLeft w:val="0"/>
      <w:marRight w:val="0"/>
      <w:marTop w:val="0"/>
      <w:marBottom w:val="0"/>
      <w:divBdr>
        <w:top w:val="none" w:sz="0" w:space="0" w:color="auto"/>
        <w:left w:val="none" w:sz="0" w:space="0" w:color="auto"/>
        <w:bottom w:val="none" w:sz="0" w:space="0" w:color="auto"/>
        <w:right w:val="none" w:sz="0" w:space="0" w:color="auto"/>
      </w:divBdr>
    </w:div>
    <w:div w:id="914313906">
      <w:bodyDiv w:val="1"/>
      <w:marLeft w:val="0"/>
      <w:marRight w:val="0"/>
      <w:marTop w:val="0"/>
      <w:marBottom w:val="0"/>
      <w:divBdr>
        <w:top w:val="none" w:sz="0" w:space="0" w:color="auto"/>
        <w:left w:val="none" w:sz="0" w:space="0" w:color="auto"/>
        <w:bottom w:val="none" w:sz="0" w:space="0" w:color="auto"/>
        <w:right w:val="none" w:sz="0" w:space="0" w:color="auto"/>
      </w:divBdr>
    </w:div>
    <w:div w:id="982854563">
      <w:bodyDiv w:val="1"/>
      <w:marLeft w:val="0"/>
      <w:marRight w:val="0"/>
      <w:marTop w:val="0"/>
      <w:marBottom w:val="0"/>
      <w:divBdr>
        <w:top w:val="none" w:sz="0" w:space="0" w:color="auto"/>
        <w:left w:val="none" w:sz="0" w:space="0" w:color="auto"/>
        <w:bottom w:val="none" w:sz="0" w:space="0" w:color="auto"/>
        <w:right w:val="none" w:sz="0" w:space="0" w:color="auto"/>
      </w:divBdr>
    </w:div>
    <w:div w:id="1050760743">
      <w:bodyDiv w:val="1"/>
      <w:marLeft w:val="0"/>
      <w:marRight w:val="0"/>
      <w:marTop w:val="0"/>
      <w:marBottom w:val="0"/>
      <w:divBdr>
        <w:top w:val="none" w:sz="0" w:space="0" w:color="auto"/>
        <w:left w:val="none" w:sz="0" w:space="0" w:color="auto"/>
        <w:bottom w:val="none" w:sz="0" w:space="0" w:color="auto"/>
        <w:right w:val="none" w:sz="0" w:space="0" w:color="auto"/>
      </w:divBdr>
    </w:div>
    <w:div w:id="1053038637">
      <w:bodyDiv w:val="1"/>
      <w:marLeft w:val="0"/>
      <w:marRight w:val="0"/>
      <w:marTop w:val="0"/>
      <w:marBottom w:val="0"/>
      <w:divBdr>
        <w:top w:val="none" w:sz="0" w:space="0" w:color="auto"/>
        <w:left w:val="none" w:sz="0" w:space="0" w:color="auto"/>
        <w:bottom w:val="none" w:sz="0" w:space="0" w:color="auto"/>
        <w:right w:val="none" w:sz="0" w:space="0" w:color="auto"/>
      </w:divBdr>
    </w:div>
    <w:div w:id="1141341339">
      <w:bodyDiv w:val="1"/>
      <w:marLeft w:val="0"/>
      <w:marRight w:val="0"/>
      <w:marTop w:val="0"/>
      <w:marBottom w:val="0"/>
      <w:divBdr>
        <w:top w:val="none" w:sz="0" w:space="0" w:color="auto"/>
        <w:left w:val="none" w:sz="0" w:space="0" w:color="auto"/>
        <w:bottom w:val="none" w:sz="0" w:space="0" w:color="auto"/>
        <w:right w:val="none" w:sz="0" w:space="0" w:color="auto"/>
      </w:divBdr>
    </w:div>
    <w:div w:id="1153833263">
      <w:bodyDiv w:val="1"/>
      <w:marLeft w:val="0"/>
      <w:marRight w:val="0"/>
      <w:marTop w:val="0"/>
      <w:marBottom w:val="0"/>
      <w:divBdr>
        <w:top w:val="none" w:sz="0" w:space="0" w:color="auto"/>
        <w:left w:val="none" w:sz="0" w:space="0" w:color="auto"/>
        <w:bottom w:val="none" w:sz="0" w:space="0" w:color="auto"/>
        <w:right w:val="none" w:sz="0" w:space="0" w:color="auto"/>
      </w:divBdr>
    </w:div>
    <w:div w:id="1258517554">
      <w:bodyDiv w:val="1"/>
      <w:marLeft w:val="0"/>
      <w:marRight w:val="0"/>
      <w:marTop w:val="0"/>
      <w:marBottom w:val="0"/>
      <w:divBdr>
        <w:top w:val="none" w:sz="0" w:space="0" w:color="auto"/>
        <w:left w:val="none" w:sz="0" w:space="0" w:color="auto"/>
        <w:bottom w:val="none" w:sz="0" w:space="0" w:color="auto"/>
        <w:right w:val="none" w:sz="0" w:space="0" w:color="auto"/>
      </w:divBdr>
    </w:div>
    <w:div w:id="1295018856">
      <w:bodyDiv w:val="1"/>
      <w:marLeft w:val="0"/>
      <w:marRight w:val="0"/>
      <w:marTop w:val="0"/>
      <w:marBottom w:val="0"/>
      <w:divBdr>
        <w:top w:val="none" w:sz="0" w:space="0" w:color="auto"/>
        <w:left w:val="none" w:sz="0" w:space="0" w:color="auto"/>
        <w:bottom w:val="none" w:sz="0" w:space="0" w:color="auto"/>
        <w:right w:val="none" w:sz="0" w:space="0" w:color="auto"/>
      </w:divBdr>
    </w:div>
    <w:div w:id="1314023382">
      <w:bodyDiv w:val="1"/>
      <w:marLeft w:val="0"/>
      <w:marRight w:val="0"/>
      <w:marTop w:val="0"/>
      <w:marBottom w:val="0"/>
      <w:divBdr>
        <w:top w:val="none" w:sz="0" w:space="0" w:color="auto"/>
        <w:left w:val="none" w:sz="0" w:space="0" w:color="auto"/>
        <w:bottom w:val="none" w:sz="0" w:space="0" w:color="auto"/>
        <w:right w:val="none" w:sz="0" w:space="0" w:color="auto"/>
      </w:divBdr>
    </w:div>
    <w:div w:id="1389719533">
      <w:bodyDiv w:val="1"/>
      <w:marLeft w:val="0"/>
      <w:marRight w:val="0"/>
      <w:marTop w:val="0"/>
      <w:marBottom w:val="0"/>
      <w:divBdr>
        <w:top w:val="none" w:sz="0" w:space="0" w:color="auto"/>
        <w:left w:val="none" w:sz="0" w:space="0" w:color="auto"/>
        <w:bottom w:val="none" w:sz="0" w:space="0" w:color="auto"/>
        <w:right w:val="none" w:sz="0" w:space="0" w:color="auto"/>
      </w:divBdr>
    </w:div>
    <w:div w:id="1413307669">
      <w:bodyDiv w:val="1"/>
      <w:marLeft w:val="0"/>
      <w:marRight w:val="0"/>
      <w:marTop w:val="0"/>
      <w:marBottom w:val="0"/>
      <w:divBdr>
        <w:top w:val="none" w:sz="0" w:space="0" w:color="auto"/>
        <w:left w:val="none" w:sz="0" w:space="0" w:color="auto"/>
        <w:bottom w:val="none" w:sz="0" w:space="0" w:color="auto"/>
        <w:right w:val="none" w:sz="0" w:space="0" w:color="auto"/>
      </w:divBdr>
    </w:div>
    <w:div w:id="1521816072">
      <w:bodyDiv w:val="1"/>
      <w:marLeft w:val="0"/>
      <w:marRight w:val="0"/>
      <w:marTop w:val="0"/>
      <w:marBottom w:val="0"/>
      <w:divBdr>
        <w:top w:val="none" w:sz="0" w:space="0" w:color="auto"/>
        <w:left w:val="none" w:sz="0" w:space="0" w:color="auto"/>
        <w:bottom w:val="none" w:sz="0" w:space="0" w:color="auto"/>
        <w:right w:val="none" w:sz="0" w:space="0" w:color="auto"/>
      </w:divBdr>
    </w:div>
    <w:div w:id="1549492141">
      <w:bodyDiv w:val="1"/>
      <w:marLeft w:val="0"/>
      <w:marRight w:val="0"/>
      <w:marTop w:val="0"/>
      <w:marBottom w:val="0"/>
      <w:divBdr>
        <w:top w:val="none" w:sz="0" w:space="0" w:color="auto"/>
        <w:left w:val="none" w:sz="0" w:space="0" w:color="auto"/>
        <w:bottom w:val="none" w:sz="0" w:space="0" w:color="auto"/>
        <w:right w:val="none" w:sz="0" w:space="0" w:color="auto"/>
      </w:divBdr>
    </w:div>
    <w:div w:id="1619331188">
      <w:bodyDiv w:val="1"/>
      <w:marLeft w:val="0"/>
      <w:marRight w:val="0"/>
      <w:marTop w:val="0"/>
      <w:marBottom w:val="0"/>
      <w:divBdr>
        <w:top w:val="none" w:sz="0" w:space="0" w:color="auto"/>
        <w:left w:val="none" w:sz="0" w:space="0" w:color="auto"/>
        <w:bottom w:val="none" w:sz="0" w:space="0" w:color="auto"/>
        <w:right w:val="none" w:sz="0" w:space="0" w:color="auto"/>
      </w:divBdr>
    </w:div>
    <w:div w:id="1635327412">
      <w:bodyDiv w:val="1"/>
      <w:marLeft w:val="0"/>
      <w:marRight w:val="0"/>
      <w:marTop w:val="0"/>
      <w:marBottom w:val="0"/>
      <w:divBdr>
        <w:top w:val="none" w:sz="0" w:space="0" w:color="auto"/>
        <w:left w:val="none" w:sz="0" w:space="0" w:color="auto"/>
        <w:bottom w:val="none" w:sz="0" w:space="0" w:color="auto"/>
        <w:right w:val="none" w:sz="0" w:space="0" w:color="auto"/>
      </w:divBdr>
    </w:div>
    <w:div w:id="1675110030">
      <w:bodyDiv w:val="1"/>
      <w:marLeft w:val="0"/>
      <w:marRight w:val="0"/>
      <w:marTop w:val="0"/>
      <w:marBottom w:val="0"/>
      <w:divBdr>
        <w:top w:val="none" w:sz="0" w:space="0" w:color="auto"/>
        <w:left w:val="none" w:sz="0" w:space="0" w:color="auto"/>
        <w:bottom w:val="none" w:sz="0" w:space="0" w:color="auto"/>
        <w:right w:val="none" w:sz="0" w:space="0" w:color="auto"/>
      </w:divBdr>
    </w:div>
    <w:div w:id="1727529838">
      <w:bodyDiv w:val="1"/>
      <w:marLeft w:val="0"/>
      <w:marRight w:val="0"/>
      <w:marTop w:val="0"/>
      <w:marBottom w:val="0"/>
      <w:divBdr>
        <w:top w:val="none" w:sz="0" w:space="0" w:color="auto"/>
        <w:left w:val="none" w:sz="0" w:space="0" w:color="auto"/>
        <w:bottom w:val="none" w:sz="0" w:space="0" w:color="auto"/>
        <w:right w:val="none" w:sz="0" w:space="0" w:color="auto"/>
      </w:divBdr>
    </w:div>
    <w:div w:id="1744991194">
      <w:bodyDiv w:val="1"/>
      <w:marLeft w:val="0"/>
      <w:marRight w:val="0"/>
      <w:marTop w:val="0"/>
      <w:marBottom w:val="0"/>
      <w:divBdr>
        <w:top w:val="none" w:sz="0" w:space="0" w:color="auto"/>
        <w:left w:val="none" w:sz="0" w:space="0" w:color="auto"/>
        <w:bottom w:val="none" w:sz="0" w:space="0" w:color="auto"/>
        <w:right w:val="none" w:sz="0" w:space="0" w:color="auto"/>
      </w:divBdr>
    </w:div>
    <w:div w:id="1763063875">
      <w:bodyDiv w:val="1"/>
      <w:marLeft w:val="0"/>
      <w:marRight w:val="0"/>
      <w:marTop w:val="0"/>
      <w:marBottom w:val="0"/>
      <w:divBdr>
        <w:top w:val="none" w:sz="0" w:space="0" w:color="auto"/>
        <w:left w:val="none" w:sz="0" w:space="0" w:color="auto"/>
        <w:bottom w:val="none" w:sz="0" w:space="0" w:color="auto"/>
        <w:right w:val="none" w:sz="0" w:space="0" w:color="auto"/>
      </w:divBdr>
    </w:div>
    <w:div w:id="1795059723">
      <w:bodyDiv w:val="1"/>
      <w:marLeft w:val="0"/>
      <w:marRight w:val="0"/>
      <w:marTop w:val="0"/>
      <w:marBottom w:val="0"/>
      <w:divBdr>
        <w:top w:val="none" w:sz="0" w:space="0" w:color="auto"/>
        <w:left w:val="none" w:sz="0" w:space="0" w:color="auto"/>
        <w:bottom w:val="none" w:sz="0" w:space="0" w:color="auto"/>
        <w:right w:val="none" w:sz="0" w:space="0" w:color="auto"/>
      </w:divBdr>
    </w:div>
    <w:div w:id="1815488132">
      <w:bodyDiv w:val="1"/>
      <w:marLeft w:val="0"/>
      <w:marRight w:val="0"/>
      <w:marTop w:val="0"/>
      <w:marBottom w:val="0"/>
      <w:divBdr>
        <w:top w:val="none" w:sz="0" w:space="0" w:color="auto"/>
        <w:left w:val="none" w:sz="0" w:space="0" w:color="auto"/>
        <w:bottom w:val="none" w:sz="0" w:space="0" w:color="auto"/>
        <w:right w:val="none" w:sz="0" w:space="0" w:color="auto"/>
      </w:divBdr>
    </w:div>
    <w:div w:id="1843934556">
      <w:bodyDiv w:val="1"/>
      <w:marLeft w:val="0"/>
      <w:marRight w:val="0"/>
      <w:marTop w:val="0"/>
      <w:marBottom w:val="0"/>
      <w:divBdr>
        <w:top w:val="none" w:sz="0" w:space="0" w:color="auto"/>
        <w:left w:val="none" w:sz="0" w:space="0" w:color="auto"/>
        <w:bottom w:val="none" w:sz="0" w:space="0" w:color="auto"/>
        <w:right w:val="none" w:sz="0" w:space="0" w:color="auto"/>
      </w:divBdr>
    </w:div>
    <w:div w:id="1899777920">
      <w:bodyDiv w:val="1"/>
      <w:marLeft w:val="0"/>
      <w:marRight w:val="0"/>
      <w:marTop w:val="0"/>
      <w:marBottom w:val="0"/>
      <w:divBdr>
        <w:top w:val="none" w:sz="0" w:space="0" w:color="auto"/>
        <w:left w:val="none" w:sz="0" w:space="0" w:color="auto"/>
        <w:bottom w:val="none" w:sz="0" w:space="0" w:color="auto"/>
        <w:right w:val="none" w:sz="0" w:space="0" w:color="auto"/>
      </w:divBdr>
    </w:div>
    <w:div w:id="1928928275">
      <w:bodyDiv w:val="1"/>
      <w:marLeft w:val="0"/>
      <w:marRight w:val="0"/>
      <w:marTop w:val="0"/>
      <w:marBottom w:val="0"/>
      <w:divBdr>
        <w:top w:val="none" w:sz="0" w:space="0" w:color="auto"/>
        <w:left w:val="none" w:sz="0" w:space="0" w:color="auto"/>
        <w:bottom w:val="none" w:sz="0" w:space="0" w:color="auto"/>
        <w:right w:val="none" w:sz="0" w:space="0" w:color="auto"/>
      </w:divBdr>
    </w:div>
    <w:div w:id="1947807975">
      <w:bodyDiv w:val="1"/>
      <w:marLeft w:val="0"/>
      <w:marRight w:val="0"/>
      <w:marTop w:val="0"/>
      <w:marBottom w:val="0"/>
      <w:divBdr>
        <w:top w:val="none" w:sz="0" w:space="0" w:color="auto"/>
        <w:left w:val="none" w:sz="0" w:space="0" w:color="auto"/>
        <w:bottom w:val="none" w:sz="0" w:space="0" w:color="auto"/>
        <w:right w:val="none" w:sz="0" w:space="0" w:color="auto"/>
      </w:divBdr>
    </w:div>
    <w:div w:id="1971933013">
      <w:bodyDiv w:val="1"/>
      <w:marLeft w:val="0"/>
      <w:marRight w:val="0"/>
      <w:marTop w:val="0"/>
      <w:marBottom w:val="0"/>
      <w:divBdr>
        <w:top w:val="none" w:sz="0" w:space="0" w:color="auto"/>
        <w:left w:val="none" w:sz="0" w:space="0" w:color="auto"/>
        <w:bottom w:val="none" w:sz="0" w:space="0" w:color="auto"/>
        <w:right w:val="none" w:sz="0" w:space="0" w:color="auto"/>
      </w:divBdr>
    </w:div>
    <w:div w:id="2096055172">
      <w:bodyDiv w:val="1"/>
      <w:marLeft w:val="0"/>
      <w:marRight w:val="0"/>
      <w:marTop w:val="0"/>
      <w:marBottom w:val="0"/>
      <w:divBdr>
        <w:top w:val="none" w:sz="0" w:space="0" w:color="auto"/>
        <w:left w:val="none" w:sz="0" w:space="0" w:color="auto"/>
        <w:bottom w:val="none" w:sz="0" w:space="0" w:color="auto"/>
        <w:right w:val="none" w:sz="0" w:space="0" w:color="auto"/>
      </w:divBdr>
    </w:div>
    <w:div w:id="2115978985">
      <w:bodyDiv w:val="1"/>
      <w:marLeft w:val="0"/>
      <w:marRight w:val="0"/>
      <w:marTop w:val="0"/>
      <w:marBottom w:val="0"/>
      <w:divBdr>
        <w:top w:val="none" w:sz="0" w:space="0" w:color="auto"/>
        <w:left w:val="none" w:sz="0" w:space="0" w:color="auto"/>
        <w:bottom w:val="none" w:sz="0" w:space="0" w:color="auto"/>
        <w:right w:val="none" w:sz="0" w:space="0" w:color="auto"/>
      </w:divBdr>
    </w:div>
    <w:div w:id="211736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98d7bf1-b930-4a4c-a63f-5ff795a48fa3" xsi:nil="true"/>
    <lcf76f155ced4ddcb4097134ff3c332f xmlns="d1f42e46-fe38-485b-84ca-15e2e4992553">
      <Terms xmlns="http://schemas.microsoft.com/office/infopath/2007/PartnerControls"/>
    </lcf76f155ced4ddcb4097134ff3c332f>
    <SharedWithUsers xmlns="298d7bf1-b930-4a4c-a63f-5ff795a48fa3">
      <UserInfo>
        <DisplayName>Dupre, Jocelyn</DisplayName>
        <AccountId>854</AccountId>
        <AccountType/>
      </UserInfo>
      <UserInfo>
        <DisplayName>Fischman, Rebecca</DisplayName>
        <AccountId>419</AccountId>
        <AccountType/>
      </UserInfo>
      <UserInfo>
        <DisplayName>NYCGrants Members</DisplayName>
        <AccountId>19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B8C78FC3AAEC24EA1DDA286E27A2C18" ma:contentTypeVersion="15" ma:contentTypeDescription="Create a new document." ma:contentTypeScope="" ma:versionID="6d82ba5d32b6dfec21bfd22126d08581">
  <xsd:schema xmlns:xsd="http://www.w3.org/2001/XMLSchema" xmlns:xs="http://www.w3.org/2001/XMLSchema" xmlns:p="http://schemas.microsoft.com/office/2006/metadata/properties" xmlns:ns2="d1f42e46-fe38-485b-84ca-15e2e4992553" xmlns:ns3="298d7bf1-b930-4a4c-a63f-5ff795a48fa3" targetNamespace="http://schemas.microsoft.com/office/2006/metadata/properties" ma:root="true" ma:fieldsID="0d2edbb43691e14adb5f4f6f0268583b" ns2:_="" ns3:_="">
    <xsd:import namespace="d1f42e46-fe38-485b-84ca-15e2e4992553"/>
    <xsd:import namespace="298d7bf1-b930-4a4c-a63f-5ff795a48f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f42e46-fe38-485b-84ca-15e2e49925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35aeea7-e848-442f-a6c3-04e7a31ee3d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8d7bf1-b930-4a4c-a63f-5ff795a48fa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76084a4-3931-45d9-9f01-2b4b1fc88215}" ma:internalName="TaxCatchAll" ma:showField="CatchAllData" ma:web="298d7bf1-b930-4a4c-a63f-5ff795a48f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DF7903-5A78-4E95-8DA3-9EB238E1861F}">
  <ds:schemaRefs>
    <ds:schemaRef ds:uri="http://schemas.microsoft.com/office/2006/metadata/properties"/>
    <ds:schemaRef ds:uri="http://schemas.microsoft.com/office/infopath/2007/PartnerControls"/>
    <ds:schemaRef ds:uri="298d7bf1-b930-4a4c-a63f-5ff795a48fa3"/>
    <ds:schemaRef ds:uri="d1f42e46-fe38-485b-84ca-15e2e4992553"/>
  </ds:schemaRefs>
</ds:datastoreItem>
</file>

<file path=customXml/itemProps2.xml><?xml version="1.0" encoding="utf-8"?>
<ds:datastoreItem xmlns:ds="http://schemas.openxmlformats.org/officeDocument/2006/customXml" ds:itemID="{811DCE84-5ACE-4CCB-9B5A-4D1DC3A11986}">
  <ds:schemaRefs>
    <ds:schemaRef ds:uri="http://schemas.microsoft.com/sharepoint/v3/contenttype/forms"/>
  </ds:schemaRefs>
</ds:datastoreItem>
</file>

<file path=customXml/itemProps3.xml><?xml version="1.0" encoding="utf-8"?>
<ds:datastoreItem xmlns:ds="http://schemas.openxmlformats.org/officeDocument/2006/customXml" ds:itemID="{18DA4E96-CCAB-4484-8717-87B0847FA146}">
  <ds:schemaRefs>
    <ds:schemaRef ds:uri="http://schemas.openxmlformats.org/officeDocument/2006/bibliography"/>
  </ds:schemaRefs>
</ds:datastoreItem>
</file>

<file path=customXml/itemProps4.xml><?xml version="1.0" encoding="utf-8"?>
<ds:datastoreItem xmlns:ds="http://schemas.openxmlformats.org/officeDocument/2006/customXml" ds:itemID="{AE9A4BDA-55ED-4DB7-96DA-7235811983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f42e46-fe38-485b-84ca-15e2e4992553"/>
    <ds:schemaRef ds:uri="298d7bf1-b930-4a4c-a63f-5ff795a48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Pages>
  <Words>4300</Words>
  <Characters>24513</Characters>
  <Application>Microsoft Office Word</Application>
  <DocSecurity>4</DocSecurity>
  <Lines>204</Lines>
  <Paragraphs>57</Paragraphs>
  <ScaleCrop>false</ScaleCrop>
  <Company/>
  <LinksUpToDate>false</LinksUpToDate>
  <CharactersWithSpaces>28756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Loewen, David</dc:creator>
  <cp:keywords/>
  <dc:description/>
  <cp:lastModifiedBy>Loewen, David</cp:lastModifiedBy>
  <cp:revision>825</cp:revision>
  <dcterms:created xsi:type="dcterms:W3CDTF">2024-03-14T05:52:00Z</dcterms:created>
  <dcterms:modified xsi:type="dcterms:W3CDTF">2024-04-01T20:29:00Z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0x010100AB8C78FC3AAEC24EA1DDA286E27A2C18</vt:lpwstr>
  </property>
  <property fmtid="{D5CDD505-2E9C-101B-9397-08002B2CF9AE}" pid="3" name="MediaServiceImageTags">
    <vt:lpwstr/>
  </property>
</Properties>
</file>