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0CAF6" w14:textId="1B5D06C3" w:rsidR="005E7583" w:rsidRPr="0085573E" w:rsidRDefault="005E7583" w:rsidP="00A34FF4">
      <w:pPr>
        <w:pStyle w:val="Title"/>
        <w:jc w:val="center"/>
        <w:rPr>
          <w:b/>
          <w:bCs/>
        </w:rPr>
      </w:pPr>
      <w:r w:rsidRPr="0085573E">
        <w:rPr>
          <w:b/>
          <w:bCs/>
        </w:rPr>
        <w:t xml:space="preserve">Nez Perce Tribe CPRG </w:t>
      </w:r>
      <w:r w:rsidR="583391FD" w:rsidRPr="1FEFF983">
        <w:rPr>
          <w:b/>
          <w:bCs/>
        </w:rPr>
        <w:t xml:space="preserve">Implementation </w:t>
      </w:r>
      <w:r w:rsidR="583391FD" w:rsidRPr="0F52DD33">
        <w:rPr>
          <w:b/>
          <w:bCs/>
        </w:rPr>
        <w:t xml:space="preserve">Grant </w:t>
      </w:r>
      <w:r w:rsidRPr="0F52DD33">
        <w:rPr>
          <w:b/>
          <w:bCs/>
        </w:rPr>
        <w:t>Budget</w:t>
      </w:r>
      <w:r w:rsidR="0085573E" w:rsidRPr="0085573E">
        <w:rPr>
          <w:b/>
          <w:bCs/>
        </w:rPr>
        <w:t xml:space="preserve"> Narrative</w:t>
      </w:r>
      <w:r w:rsidR="385D7C2F" w:rsidRPr="0F52DD33">
        <w:rPr>
          <w:b/>
          <w:bCs/>
        </w:rPr>
        <w:t xml:space="preserve"> </w:t>
      </w:r>
      <w:r w:rsidR="385D7C2F" w:rsidRPr="6C00C72B">
        <w:rPr>
          <w:b/>
          <w:bCs/>
        </w:rPr>
        <w:t>– General Competition</w:t>
      </w:r>
    </w:p>
    <w:p w14:paraId="1B85CFA3" w14:textId="304FA6DB" w:rsidR="34848B9A" w:rsidRDefault="34848B9A" w:rsidP="00A34FF4">
      <w:pPr>
        <w:pStyle w:val="Heading1"/>
        <w:rPr>
          <w:sz w:val="28"/>
          <w:szCs w:val="28"/>
        </w:rPr>
      </w:pPr>
    </w:p>
    <w:p w14:paraId="7F4C341F" w14:textId="48438BE2" w:rsidR="0099361E" w:rsidRPr="0099361E" w:rsidRDefault="0099361E" w:rsidP="00A34FF4">
      <w:pPr>
        <w:pStyle w:val="Heading1"/>
        <w:rPr>
          <w:sz w:val="26"/>
          <w:szCs w:val="26"/>
          <w:u w:val="single"/>
        </w:rPr>
      </w:pPr>
      <w:r w:rsidRPr="58D283F0">
        <w:rPr>
          <w:sz w:val="26"/>
          <w:szCs w:val="26"/>
          <w:u w:val="single"/>
        </w:rPr>
        <w:t>Budget Detail</w:t>
      </w:r>
      <w:r w:rsidR="4D8A9614" w:rsidRPr="58D283F0">
        <w:rPr>
          <w:sz w:val="26"/>
          <w:szCs w:val="26"/>
          <w:u w:val="single"/>
        </w:rPr>
        <w:t xml:space="preserve"> </w:t>
      </w:r>
      <w:r w:rsidR="4D8A9614" w:rsidRPr="627F8D54">
        <w:rPr>
          <w:sz w:val="26"/>
          <w:szCs w:val="26"/>
          <w:u w:val="single"/>
        </w:rPr>
        <w:t>and</w:t>
      </w:r>
      <w:r w:rsidR="4D8A9614" w:rsidRPr="58D283F0">
        <w:rPr>
          <w:sz w:val="26"/>
          <w:szCs w:val="26"/>
          <w:u w:val="single"/>
        </w:rPr>
        <w:t xml:space="preserve"> Reasonableness of Costs</w:t>
      </w:r>
    </w:p>
    <w:p w14:paraId="7ABA286F" w14:textId="24EE9D9C" w:rsidR="43CD5F29" w:rsidRDefault="43CD5F29" w:rsidP="00A34FF4">
      <w:pPr>
        <w:pStyle w:val="Heading1"/>
      </w:pPr>
    </w:p>
    <w:p w14:paraId="36ED623D" w14:textId="68F22E5B" w:rsidR="00D22D9B" w:rsidRPr="00EB13F8" w:rsidRDefault="79370F71" w:rsidP="00A34FF4">
      <w:pPr>
        <w:pStyle w:val="Heading1"/>
      </w:pPr>
      <w:r w:rsidRPr="04997142">
        <w:t xml:space="preserve">CPRG Project Administration </w:t>
      </w:r>
      <w:r w:rsidR="002D2B02">
        <w:t>for All Measures</w:t>
      </w:r>
      <w:r w:rsidRPr="04997142">
        <w:t xml:space="preserve"> </w:t>
      </w:r>
    </w:p>
    <w:tbl>
      <w:tblPr>
        <w:tblW w:w="9926" w:type="dxa"/>
        <w:tblLayout w:type="fixed"/>
        <w:tblLook w:val="04A0" w:firstRow="1" w:lastRow="0" w:firstColumn="1" w:lastColumn="0" w:noHBand="0" w:noVBand="1"/>
      </w:tblPr>
      <w:tblGrid>
        <w:gridCol w:w="2415"/>
        <w:gridCol w:w="1020"/>
        <w:gridCol w:w="855"/>
        <w:gridCol w:w="925"/>
        <w:gridCol w:w="990"/>
        <w:gridCol w:w="900"/>
        <w:gridCol w:w="900"/>
        <w:gridCol w:w="900"/>
        <w:gridCol w:w="1021"/>
      </w:tblGrid>
      <w:tr w:rsidR="0000783C" w:rsidRPr="00785800" w14:paraId="0025F15F" w14:textId="77777777" w:rsidTr="6504384A">
        <w:trPr>
          <w:trHeight w:val="255"/>
        </w:trPr>
        <w:tc>
          <w:tcPr>
            <w:tcW w:w="2415" w:type="dxa"/>
            <w:tcBorders>
              <w:top w:val="nil"/>
              <w:left w:val="single" w:sz="4" w:space="0" w:color="auto"/>
              <w:bottom w:val="single" w:sz="4" w:space="0" w:color="auto"/>
              <w:right w:val="single" w:sz="4" w:space="0" w:color="000000" w:themeColor="text1"/>
            </w:tcBorders>
            <w:shd w:val="clear" w:color="auto" w:fill="E2EFDA"/>
            <w:vAlign w:val="center"/>
            <w:hideMark/>
          </w:tcPr>
          <w:p w14:paraId="3F2DFDDE"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CATEGORY</w:t>
            </w:r>
          </w:p>
        </w:tc>
        <w:tc>
          <w:tcPr>
            <w:tcW w:w="1020" w:type="dxa"/>
            <w:tcBorders>
              <w:top w:val="nil"/>
              <w:left w:val="nil"/>
              <w:bottom w:val="single" w:sz="4" w:space="0" w:color="auto"/>
              <w:right w:val="single" w:sz="4" w:space="0" w:color="000000" w:themeColor="text1"/>
            </w:tcBorders>
            <w:shd w:val="clear" w:color="auto" w:fill="E2EFDA"/>
            <w:vAlign w:val="center"/>
            <w:hideMark/>
          </w:tcPr>
          <w:p w14:paraId="6270FF65" w14:textId="77777777" w:rsidR="00785800" w:rsidRPr="005E7583" w:rsidRDefault="00785800" w:rsidP="00A34FF4">
            <w:pPr>
              <w:jc w:val="center"/>
              <w:rPr>
                <w:rFonts w:eastAsia="Times New Roman"/>
                <w:b/>
                <w:color w:val="000000"/>
                <w:sz w:val="18"/>
                <w:szCs w:val="18"/>
              </w:rPr>
            </w:pPr>
            <w:r w:rsidRPr="005E7583">
              <w:rPr>
                <w:rFonts w:eastAsia="Times New Roman"/>
                <w:b/>
                <w:color w:val="000000" w:themeColor="text1"/>
                <w:sz w:val="18"/>
                <w:szCs w:val="18"/>
              </w:rPr>
              <w:t> </w:t>
            </w:r>
          </w:p>
        </w:tc>
        <w:tc>
          <w:tcPr>
            <w:tcW w:w="855" w:type="dxa"/>
            <w:tcBorders>
              <w:top w:val="nil"/>
              <w:left w:val="nil"/>
              <w:bottom w:val="single" w:sz="4" w:space="0" w:color="auto"/>
              <w:right w:val="single" w:sz="4" w:space="0" w:color="000000" w:themeColor="text1"/>
            </w:tcBorders>
            <w:shd w:val="clear" w:color="auto" w:fill="E2EFDA"/>
            <w:vAlign w:val="center"/>
            <w:hideMark/>
          </w:tcPr>
          <w:p w14:paraId="2402A60D"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w:t>
            </w:r>
          </w:p>
        </w:tc>
        <w:tc>
          <w:tcPr>
            <w:tcW w:w="925" w:type="dxa"/>
            <w:tcBorders>
              <w:top w:val="nil"/>
              <w:left w:val="nil"/>
              <w:bottom w:val="single" w:sz="4" w:space="0" w:color="auto"/>
              <w:right w:val="single" w:sz="4" w:space="0" w:color="000000" w:themeColor="text1"/>
            </w:tcBorders>
            <w:shd w:val="clear" w:color="auto" w:fill="E2EFDA"/>
            <w:vAlign w:val="center"/>
            <w:hideMark/>
          </w:tcPr>
          <w:p w14:paraId="14A90AD4"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YEAR 1</w:t>
            </w:r>
          </w:p>
        </w:tc>
        <w:tc>
          <w:tcPr>
            <w:tcW w:w="990" w:type="dxa"/>
            <w:tcBorders>
              <w:top w:val="nil"/>
              <w:left w:val="nil"/>
              <w:bottom w:val="single" w:sz="4" w:space="0" w:color="auto"/>
              <w:right w:val="single" w:sz="4" w:space="0" w:color="000000" w:themeColor="text1"/>
            </w:tcBorders>
            <w:shd w:val="clear" w:color="auto" w:fill="E2EFDA"/>
            <w:vAlign w:val="center"/>
            <w:hideMark/>
          </w:tcPr>
          <w:p w14:paraId="34113325"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YEAR 2</w:t>
            </w:r>
          </w:p>
        </w:tc>
        <w:tc>
          <w:tcPr>
            <w:tcW w:w="900" w:type="dxa"/>
            <w:tcBorders>
              <w:top w:val="nil"/>
              <w:left w:val="nil"/>
              <w:bottom w:val="single" w:sz="4" w:space="0" w:color="auto"/>
              <w:right w:val="single" w:sz="4" w:space="0" w:color="000000" w:themeColor="text1"/>
            </w:tcBorders>
            <w:shd w:val="clear" w:color="auto" w:fill="E2EFDA"/>
            <w:vAlign w:val="center"/>
            <w:hideMark/>
          </w:tcPr>
          <w:p w14:paraId="12E3DAE6"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YEAR 3</w:t>
            </w:r>
          </w:p>
        </w:tc>
        <w:tc>
          <w:tcPr>
            <w:tcW w:w="900" w:type="dxa"/>
            <w:tcBorders>
              <w:top w:val="nil"/>
              <w:left w:val="nil"/>
              <w:bottom w:val="single" w:sz="4" w:space="0" w:color="auto"/>
              <w:right w:val="single" w:sz="4" w:space="0" w:color="000000" w:themeColor="text1"/>
            </w:tcBorders>
            <w:shd w:val="clear" w:color="auto" w:fill="E2EFDA"/>
            <w:vAlign w:val="center"/>
            <w:hideMark/>
          </w:tcPr>
          <w:p w14:paraId="4A5175D5"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YEAR 4</w:t>
            </w:r>
          </w:p>
        </w:tc>
        <w:tc>
          <w:tcPr>
            <w:tcW w:w="900" w:type="dxa"/>
            <w:tcBorders>
              <w:top w:val="nil"/>
              <w:left w:val="nil"/>
              <w:bottom w:val="single" w:sz="4" w:space="0" w:color="auto"/>
              <w:right w:val="single" w:sz="4" w:space="0" w:color="auto"/>
            </w:tcBorders>
            <w:shd w:val="clear" w:color="auto" w:fill="E2EFDA"/>
            <w:vAlign w:val="center"/>
            <w:hideMark/>
          </w:tcPr>
          <w:p w14:paraId="322242C6"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YEAR 5</w:t>
            </w:r>
          </w:p>
        </w:tc>
        <w:tc>
          <w:tcPr>
            <w:tcW w:w="1021" w:type="dxa"/>
            <w:tcBorders>
              <w:top w:val="nil"/>
              <w:left w:val="single" w:sz="4" w:space="0" w:color="auto"/>
              <w:bottom w:val="single" w:sz="4" w:space="0" w:color="auto"/>
              <w:right w:val="single" w:sz="4" w:space="0" w:color="auto"/>
            </w:tcBorders>
            <w:shd w:val="clear" w:color="auto" w:fill="E2EFDA"/>
            <w:noWrap/>
            <w:vAlign w:val="center"/>
            <w:hideMark/>
          </w:tcPr>
          <w:p w14:paraId="2BB5FFE0"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TOTAL</w:t>
            </w:r>
          </w:p>
        </w:tc>
      </w:tr>
      <w:tr w:rsidR="00EB4313" w:rsidRPr="00785800" w14:paraId="5FD85455" w14:textId="77777777" w:rsidTr="6504384A">
        <w:trPr>
          <w:trHeight w:val="255"/>
        </w:trPr>
        <w:tc>
          <w:tcPr>
            <w:tcW w:w="2415" w:type="dxa"/>
            <w:tcBorders>
              <w:top w:val="nil"/>
              <w:left w:val="single" w:sz="4" w:space="0" w:color="auto"/>
              <w:bottom w:val="single" w:sz="4" w:space="0" w:color="auto"/>
              <w:right w:val="single" w:sz="4" w:space="0" w:color="auto"/>
            </w:tcBorders>
            <w:shd w:val="clear" w:color="auto" w:fill="auto"/>
            <w:noWrap/>
            <w:vAlign w:val="center"/>
            <w:hideMark/>
          </w:tcPr>
          <w:p w14:paraId="4AA97771"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Personnel</w:t>
            </w:r>
          </w:p>
        </w:tc>
        <w:tc>
          <w:tcPr>
            <w:tcW w:w="1020" w:type="dxa"/>
            <w:tcBorders>
              <w:top w:val="nil"/>
              <w:left w:val="nil"/>
              <w:bottom w:val="single" w:sz="4" w:space="0" w:color="auto"/>
              <w:right w:val="single" w:sz="4" w:space="0" w:color="auto"/>
            </w:tcBorders>
            <w:shd w:val="clear" w:color="auto" w:fill="auto"/>
            <w:noWrap/>
            <w:vAlign w:val="center"/>
            <w:hideMark/>
          </w:tcPr>
          <w:p w14:paraId="62581127" w14:textId="77777777" w:rsidR="00785800" w:rsidRPr="005E7583" w:rsidRDefault="00785800" w:rsidP="00A34FF4">
            <w:pPr>
              <w:jc w:val="center"/>
              <w:rPr>
                <w:rFonts w:eastAsia="Times New Roman"/>
                <w:b/>
                <w:color w:val="000000"/>
                <w:sz w:val="18"/>
                <w:szCs w:val="18"/>
              </w:rPr>
            </w:pPr>
            <w:r w:rsidRPr="005E7583">
              <w:rPr>
                <w:rFonts w:eastAsia="Times New Roman"/>
                <w:b/>
                <w:color w:val="000000" w:themeColor="text1"/>
                <w:sz w:val="18"/>
                <w:szCs w:val="18"/>
              </w:rPr>
              <w:t>FTE</w:t>
            </w:r>
          </w:p>
        </w:tc>
        <w:tc>
          <w:tcPr>
            <w:tcW w:w="855" w:type="dxa"/>
            <w:tcBorders>
              <w:top w:val="nil"/>
              <w:left w:val="nil"/>
              <w:bottom w:val="single" w:sz="4" w:space="0" w:color="auto"/>
              <w:right w:val="single" w:sz="4" w:space="0" w:color="auto"/>
            </w:tcBorders>
            <w:shd w:val="clear" w:color="auto" w:fill="auto"/>
            <w:noWrap/>
            <w:vAlign w:val="center"/>
            <w:hideMark/>
          </w:tcPr>
          <w:p w14:paraId="6796EAFE"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Salary</w:t>
            </w:r>
          </w:p>
        </w:tc>
        <w:tc>
          <w:tcPr>
            <w:tcW w:w="925" w:type="dxa"/>
            <w:tcBorders>
              <w:top w:val="nil"/>
              <w:left w:val="nil"/>
              <w:bottom w:val="single" w:sz="4" w:space="0" w:color="auto"/>
              <w:right w:val="single" w:sz="4" w:space="0" w:color="auto"/>
            </w:tcBorders>
            <w:shd w:val="clear" w:color="auto" w:fill="auto"/>
            <w:vAlign w:val="center"/>
            <w:hideMark/>
          </w:tcPr>
          <w:p w14:paraId="23C20CB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90" w:type="dxa"/>
            <w:tcBorders>
              <w:top w:val="nil"/>
              <w:left w:val="nil"/>
              <w:bottom w:val="single" w:sz="4" w:space="0" w:color="auto"/>
              <w:right w:val="single" w:sz="4" w:space="0" w:color="auto"/>
            </w:tcBorders>
            <w:shd w:val="clear" w:color="auto" w:fill="auto"/>
            <w:vAlign w:val="center"/>
            <w:hideMark/>
          </w:tcPr>
          <w:p w14:paraId="666E4DF3"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14:paraId="30B1471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14:paraId="1C00C85F"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14:paraId="6513B2E3"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24EE2A4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r>
      <w:tr w:rsidR="00EB4313" w:rsidRPr="00785800" w14:paraId="365F7D24" w14:textId="77777777" w:rsidTr="009C2BE9">
        <w:trPr>
          <w:trHeight w:val="233"/>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092834B9" w14:textId="77777777" w:rsidR="00785800" w:rsidRPr="009C2BE9" w:rsidRDefault="00785800" w:rsidP="00A34FF4">
            <w:pPr>
              <w:jc w:val="center"/>
              <w:rPr>
                <w:rFonts w:eastAsia="Times New Roman"/>
                <w:sz w:val="18"/>
                <w:szCs w:val="18"/>
              </w:rPr>
            </w:pPr>
            <w:r w:rsidRPr="009C2BE9">
              <w:rPr>
                <w:rFonts w:eastAsia="Times New Roman"/>
                <w:sz w:val="18"/>
                <w:szCs w:val="18"/>
              </w:rPr>
              <w:t>Project Manager</w:t>
            </w:r>
          </w:p>
        </w:tc>
        <w:tc>
          <w:tcPr>
            <w:tcW w:w="1020" w:type="dxa"/>
            <w:tcBorders>
              <w:top w:val="nil"/>
              <w:left w:val="nil"/>
              <w:bottom w:val="single" w:sz="4" w:space="0" w:color="auto"/>
              <w:right w:val="single" w:sz="4" w:space="0" w:color="auto"/>
            </w:tcBorders>
            <w:shd w:val="clear" w:color="auto" w:fill="auto"/>
            <w:vAlign w:val="center"/>
            <w:hideMark/>
          </w:tcPr>
          <w:p w14:paraId="667B49A3" w14:textId="77777777" w:rsidR="00785800" w:rsidRPr="005E7583" w:rsidRDefault="00785800" w:rsidP="00A34FF4">
            <w:pPr>
              <w:jc w:val="center"/>
              <w:rPr>
                <w:rFonts w:eastAsia="Times New Roman"/>
                <w:color w:val="000000"/>
                <w:sz w:val="18"/>
                <w:szCs w:val="18"/>
              </w:rPr>
            </w:pPr>
            <w:r w:rsidRPr="005E7583">
              <w:rPr>
                <w:rFonts w:eastAsia="Times New Roman"/>
                <w:color w:val="000000" w:themeColor="text1"/>
                <w:sz w:val="18"/>
                <w:szCs w:val="18"/>
              </w:rPr>
              <w:t>0.1000</w:t>
            </w:r>
          </w:p>
        </w:tc>
        <w:tc>
          <w:tcPr>
            <w:tcW w:w="855" w:type="dxa"/>
            <w:tcBorders>
              <w:top w:val="nil"/>
              <w:left w:val="nil"/>
              <w:bottom w:val="single" w:sz="4" w:space="0" w:color="auto"/>
              <w:right w:val="single" w:sz="4" w:space="0" w:color="auto"/>
            </w:tcBorders>
            <w:shd w:val="clear" w:color="auto" w:fill="auto"/>
            <w:vAlign w:val="center"/>
            <w:hideMark/>
          </w:tcPr>
          <w:p w14:paraId="012F6330" w14:textId="187F297A" w:rsidR="00785800" w:rsidRPr="005E7583" w:rsidRDefault="00785800" w:rsidP="00A34FF4">
            <w:pPr>
              <w:jc w:val="center"/>
              <w:rPr>
                <w:rFonts w:eastAsia="Times New Roman"/>
                <w:sz w:val="18"/>
                <w:szCs w:val="18"/>
              </w:rPr>
            </w:pPr>
          </w:p>
          <w:p w14:paraId="22C4E768" w14:textId="447FD90C" w:rsidR="00785800" w:rsidRPr="005E7583" w:rsidRDefault="00785800" w:rsidP="00A34FF4">
            <w:pPr>
              <w:jc w:val="center"/>
              <w:rPr>
                <w:rFonts w:eastAsia="Times New Roman"/>
                <w:sz w:val="18"/>
                <w:szCs w:val="18"/>
              </w:rPr>
            </w:pPr>
            <w:r w:rsidRPr="005E7583">
              <w:rPr>
                <w:rFonts w:eastAsia="Times New Roman"/>
                <w:sz w:val="18"/>
                <w:szCs w:val="18"/>
              </w:rPr>
              <w:t xml:space="preserve">$97,573 </w:t>
            </w:r>
          </w:p>
        </w:tc>
        <w:tc>
          <w:tcPr>
            <w:tcW w:w="925" w:type="dxa"/>
            <w:tcBorders>
              <w:top w:val="nil"/>
              <w:left w:val="nil"/>
              <w:bottom w:val="single" w:sz="4" w:space="0" w:color="auto"/>
              <w:right w:val="single" w:sz="4" w:space="0" w:color="auto"/>
            </w:tcBorders>
            <w:shd w:val="clear" w:color="auto" w:fill="auto"/>
            <w:vAlign w:val="center"/>
            <w:hideMark/>
          </w:tcPr>
          <w:p w14:paraId="76EE378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$9,758 </w:t>
            </w:r>
          </w:p>
        </w:tc>
        <w:tc>
          <w:tcPr>
            <w:tcW w:w="990" w:type="dxa"/>
            <w:tcBorders>
              <w:top w:val="nil"/>
              <w:left w:val="nil"/>
              <w:bottom w:val="single" w:sz="4" w:space="0" w:color="auto"/>
              <w:right w:val="single" w:sz="4" w:space="0" w:color="auto"/>
            </w:tcBorders>
            <w:shd w:val="clear" w:color="auto" w:fill="auto"/>
            <w:vAlign w:val="center"/>
            <w:hideMark/>
          </w:tcPr>
          <w:p w14:paraId="2BD613F6"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$9,758 </w:t>
            </w:r>
          </w:p>
        </w:tc>
        <w:tc>
          <w:tcPr>
            <w:tcW w:w="900" w:type="dxa"/>
            <w:tcBorders>
              <w:top w:val="nil"/>
              <w:left w:val="nil"/>
              <w:bottom w:val="single" w:sz="4" w:space="0" w:color="auto"/>
              <w:right w:val="single" w:sz="4" w:space="0" w:color="auto"/>
            </w:tcBorders>
            <w:shd w:val="clear" w:color="auto" w:fill="auto"/>
            <w:vAlign w:val="center"/>
            <w:hideMark/>
          </w:tcPr>
          <w:p w14:paraId="4EC88208"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$9,758 </w:t>
            </w:r>
          </w:p>
        </w:tc>
        <w:tc>
          <w:tcPr>
            <w:tcW w:w="900" w:type="dxa"/>
            <w:tcBorders>
              <w:top w:val="nil"/>
              <w:left w:val="nil"/>
              <w:bottom w:val="single" w:sz="4" w:space="0" w:color="auto"/>
              <w:right w:val="single" w:sz="4" w:space="0" w:color="auto"/>
            </w:tcBorders>
            <w:shd w:val="clear" w:color="auto" w:fill="auto"/>
            <w:vAlign w:val="center"/>
            <w:hideMark/>
          </w:tcPr>
          <w:p w14:paraId="7D31598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$9,758 </w:t>
            </w:r>
          </w:p>
        </w:tc>
        <w:tc>
          <w:tcPr>
            <w:tcW w:w="900" w:type="dxa"/>
            <w:tcBorders>
              <w:top w:val="nil"/>
              <w:left w:val="nil"/>
              <w:bottom w:val="single" w:sz="4" w:space="0" w:color="auto"/>
              <w:right w:val="single" w:sz="4" w:space="0" w:color="auto"/>
            </w:tcBorders>
            <w:shd w:val="clear" w:color="auto" w:fill="auto"/>
            <w:vAlign w:val="center"/>
            <w:hideMark/>
          </w:tcPr>
          <w:p w14:paraId="69455E98"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$9,758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46AB5818"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$48,790 </w:t>
            </w:r>
          </w:p>
        </w:tc>
      </w:tr>
      <w:tr w:rsidR="00EB4313" w:rsidRPr="00785800" w14:paraId="0197ADC8" w14:textId="77777777" w:rsidTr="6504384A">
        <w:trPr>
          <w:trHeight w:val="215"/>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0850A18D" w14:textId="77777777" w:rsidR="00785800" w:rsidRPr="009C2BE9" w:rsidRDefault="00785800" w:rsidP="00A34FF4">
            <w:pPr>
              <w:jc w:val="center"/>
              <w:rPr>
                <w:rFonts w:eastAsia="Times New Roman"/>
                <w:sz w:val="18"/>
                <w:szCs w:val="18"/>
              </w:rPr>
            </w:pPr>
            <w:r w:rsidRPr="009C2BE9">
              <w:rPr>
                <w:rFonts w:eastAsia="Times New Roman"/>
                <w:sz w:val="18"/>
                <w:szCs w:val="18"/>
              </w:rPr>
              <w:t>Administrative Assistant</w:t>
            </w:r>
          </w:p>
        </w:tc>
        <w:tc>
          <w:tcPr>
            <w:tcW w:w="1020" w:type="dxa"/>
            <w:tcBorders>
              <w:top w:val="nil"/>
              <w:left w:val="nil"/>
              <w:bottom w:val="single" w:sz="4" w:space="0" w:color="auto"/>
              <w:right w:val="single" w:sz="4" w:space="0" w:color="auto"/>
            </w:tcBorders>
            <w:shd w:val="clear" w:color="auto" w:fill="auto"/>
            <w:vAlign w:val="center"/>
            <w:hideMark/>
          </w:tcPr>
          <w:p w14:paraId="18525F0A" w14:textId="77777777" w:rsidR="00785800" w:rsidRPr="005E7583" w:rsidRDefault="00785800" w:rsidP="00A34FF4">
            <w:pPr>
              <w:jc w:val="center"/>
              <w:rPr>
                <w:rFonts w:eastAsia="Times New Roman"/>
                <w:color w:val="000000"/>
                <w:sz w:val="18"/>
                <w:szCs w:val="18"/>
              </w:rPr>
            </w:pPr>
            <w:r w:rsidRPr="005E7583">
              <w:rPr>
                <w:rFonts w:eastAsia="Times New Roman"/>
                <w:color w:val="000000" w:themeColor="text1"/>
                <w:sz w:val="18"/>
                <w:szCs w:val="18"/>
              </w:rPr>
              <w:t>0.1000</w:t>
            </w:r>
          </w:p>
        </w:tc>
        <w:tc>
          <w:tcPr>
            <w:tcW w:w="855" w:type="dxa"/>
            <w:tcBorders>
              <w:top w:val="nil"/>
              <w:left w:val="nil"/>
              <w:bottom w:val="single" w:sz="4" w:space="0" w:color="auto"/>
              <w:right w:val="single" w:sz="4" w:space="0" w:color="auto"/>
            </w:tcBorders>
            <w:shd w:val="clear" w:color="auto" w:fill="auto"/>
            <w:vAlign w:val="center"/>
            <w:hideMark/>
          </w:tcPr>
          <w:p w14:paraId="5621A530" w14:textId="5357EB82" w:rsidR="7CDF0AB1" w:rsidRDefault="7CDF0AB1" w:rsidP="00A34FF4">
            <w:pPr>
              <w:jc w:val="center"/>
              <w:rPr>
                <w:rFonts w:eastAsia="Times New Roman"/>
                <w:sz w:val="18"/>
                <w:szCs w:val="18"/>
              </w:rPr>
            </w:pPr>
          </w:p>
          <w:p w14:paraId="2B14BAAE" w14:textId="77777777" w:rsidR="00785800" w:rsidRPr="005E7583" w:rsidRDefault="00785800" w:rsidP="00A34FF4">
            <w:pPr>
              <w:jc w:val="center"/>
              <w:rPr>
                <w:rFonts w:eastAsia="Times New Roman" w:cstheme="minorHAnsi"/>
                <w:sz w:val="18"/>
                <w:szCs w:val="18"/>
              </w:rPr>
            </w:pPr>
            <w:r w:rsidRPr="005E7583">
              <w:rPr>
                <w:rFonts w:eastAsia="Times New Roman" w:cstheme="minorHAnsi"/>
                <w:sz w:val="18"/>
                <w:szCs w:val="18"/>
              </w:rPr>
              <w:t xml:space="preserve">$58,365 </w:t>
            </w:r>
          </w:p>
        </w:tc>
        <w:tc>
          <w:tcPr>
            <w:tcW w:w="925" w:type="dxa"/>
            <w:tcBorders>
              <w:top w:val="nil"/>
              <w:left w:val="nil"/>
              <w:bottom w:val="single" w:sz="4" w:space="0" w:color="auto"/>
              <w:right w:val="single" w:sz="4" w:space="0" w:color="auto"/>
            </w:tcBorders>
            <w:shd w:val="clear" w:color="auto" w:fill="auto"/>
            <w:vAlign w:val="center"/>
            <w:hideMark/>
          </w:tcPr>
          <w:p w14:paraId="554A79F4"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$5,837 </w:t>
            </w:r>
          </w:p>
        </w:tc>
        <w:tc>
          <w:tcPr>
            <w:tcW w:w="990" w:type="dxa"/>
            <w:tcBorders>
              <w:top w:val="nil"/>
              <w:left w:val="nil"/>
              <w:bottom w:val="single" w:sz="4" w:space="0" w:color="auto"/>
              <w:right w:val="single" w:sz="4" w:space="0" w:color="auto"/>
            </w:tcBorders>
            <w:shd w:val="clear" w:color="auto" w:fill="auto"/>
            <w:vAlign w:val="center"/>
            <w:hideMark/>
          </w:tcPr>
          <w:p w14:paraId="25357031"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$5,837 </w:t>
            </w:r>
          </w:p>
        </w:tc>
        <w:tc>
          <w:tcPr>
            <w:tcW w:w="900" w:type="dxa"/>
            <w:tcBorders>
              <w:top w:val="nil"/>
              <w:left w:val="nil"/>
              <w:bottom w:val="single" w:sz="4" w:space="0" w:color="auto"/>
              <w:right w:val="single" w:sz="4" w:space="0" w:color="auto"/>
            </w:tcBorders>
            <w:shd w:val="clear" w:color="auto" w:fill="auto"/>
            <w:vAlign w:val="center"/>
            <w:hideMark/>
          </w:tcPr>
          <w:p w14:paraId="0E1DC68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$5,837 </w:t>
            </w:r>
          </w:p>
        </w:tc>
        <w:tc>
          <w:tcPr>
            <w:tcW w:w="900" w:type="dxa"/>
            <w:tcBorders>
              <w:top w:val="nil"/>
              <w:left w:val="nil"/>
              <w:bottom w:val="single" w:sz="4" w:space="0" w:color="auto"/>
              <w:right w:val="single" w:sz="4" w:space="0" w:color="auto"/>
            </w:tcBorders>
            <w:shd w:val="clear" w:color="auto" w:fill="auto"/>
            <w:vAlign w:val="center"/>
            <w:hideMark/>
          </w:tcPr>
          <w:p w14:paraId="27559111"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$5,837 </w:t>
            </w:r>
          </w:p>
        </w:tc>
        <w:tc>
          <w:tcPr>
            <w:tcW w:w="900" w:type="dxa"/>
            <w:tcBorders>
              <w:top w:val="nil"/>
              <w:left w:val="nil"/>
              <w:bottom w:val="single" w:sz="4" w:space="0" w:color="auto"/>
              <w:right w:val="single" w:sz="4" w:space="0" w:color="auto"/>
            </w:tcBorders>
            <w:shd w:val="clear" w:color="auto" w:fill="auto"/>
            <w:vAlign w:val="center"/>
            <w:hideMark/>
          </w:tcPr>
          <w:p w14:paraId="18AB0E39"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$5,837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3391F603"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$29,185 </w:t>
            </w:r>
          </w:p>
        </w:tc>
      </w:tr>
      <w:tr w:rsidR="00EB4313" w:rsidRPr="00785800" w14:paraId="510ACD97" w14:textId="77777777" w:rsidTr="6504384A">
        <w:trPr>
          <w:trHeight w:val="134"/>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2F27938" w14:textId="77777777" w:rsidR="00785800" w:rsidRPr="009C2BE9" w:rsidRDefault="00785800" w:rsidP="00A34FF4">
            <w:pPr>
              <w:jc w:val="center"/>
              <w:rPr>
                <w:rFonts w:eastAsia="Times New Roman"/>
                <w:sz w:val="18"/>
                <w:szCs w:val="18"/>
              </w:rPr>
            </w:pPr>
            <w:r w:rsidRPr="009C2BE9">
              <w:rPr>
                <w:rFonts w:eastAsia="Times New Roman"/>
                <w:sz w:val="18"/>
                <w:szCs w:val="18"/>
              </w:rPr>
              <w:t>Technical Staff</w:t>
            </w:r>
          </w:p>
        </w:tc>
        <w:tc>
          <w:tcPr>
            <w:tcW w:w="1020" w:type="dxa"/>
            <w:tcBorders>
              <w:top w:val="nil"/>
              <w:left w:val="nil"/>
              <w:bottom w:val="single" w:sz="4" w:space="0" w:color="auto"/>
              <w:right w:val="single" w:sz="4" w:space="0" w:color="auto"/>
            </w:tcBorders>
            <w:shd w:val="clear" w:color="auto" w:fill="auto"/>
            <w:vAlign w:val="center"/>
            <w:hideMark/>
          </w:tcPr>
          <w:p w14:paraId="1B212F97" w14:textId="77777777" w:rsidR="00785800" w:rsidRPr="005E7583" w:rsidRDefault="00785800" w:rsidP="00A34FF4">
            <w:pPr>
              <w:jc w:val="center"/>
              <w:rPr>
                <w:rFonts w:eastAsia="Times New Roman"/>
                <w:color w:val="000000"/>
                <w:sz w:val="18"/>
                <w:szCs w:val="18"/>
              </w:rPr>
            </w:pPr>
            <w:r w:rsidRPr="005E7583">
              <w:rPr>
                <w:rFonts w:eastAsia="Times New Roman"/>
                <w:color w:val="000000" w:themeColor="text1"/>
                <w:sz w:val="18"/>
                <w:szCs w:val="18"/>
              </w:rPr>
              <w:t>0.1000</w:t>
            </w:r>
          </w:p>
        </w:tc>
        <w:tc>
          <w:tcPr>
            <w:tcW w:w="855" w:type="dxa"/>
            <w:tcBorders>
              <w:top w:val="nil"/>
              <w:left w:val="nil"/>
              <w:bottom w:val="single" w:sz="4" w:space="0" w:color="auto"/>
              <w:right w:val="single" w:sz="4" w:space="0" w:color="auto"/>
            </w:tcBorders>
            <w:shd w:val="clear" w:color="auto" w:fill="auto"/>
            <w:vAlign w:val="center"/>
            <w:hideMark/>
          </w:tcPr>
          <w:p w14:paraId="0B3F99AC" w14:textId="02329C0A" w:rsidR="7CDF0AB1" w:rsidRDefault="7CDF0AB1" w:rsidP="00A34FF4">
            <w:pPr>
              <w:jc w:val="center"/>
              <w:rPr>
                <w:rFonts w:eastAsia="Times New Roman"/>
                <w:sz w:val="18"/>
                <w:szCs w:val="18"/>
              </w:rPr>
            </w:pPr>
          </w:p>
          <w:p w14:paraId="632B7574" w14:textId="77777777" w:rsidR="00785800" w:rsidRPr="005E7583" w:rsidRDefault="00785800" w:rsidP="00A34FF4">
            <w:pPr>
              <w:jc w:val="center"/>
              <w:rPr>
                <w:rFonts w:eastAsia="Times New Roman" w:cstheme="minorHAnsi"/>
                <w:sz w:val="18"/>
                <w:szCs w:val="18"/>
              </w:rPr>
            </w:pPr>
            <w:r w:rsidRPr="005E7583">
              <w:rPr>
                <w:rFonts w:eastAsia="Times New Roman" w:cstheme="minorHAnsi"/>
                <w:sz w:val="18"/>
                <w:szCs w:val="18"/>
              </w:rPr>
              <w:t xml:space="preserve">$62,691 </w:t>
            </w:r>
          </w:p>
        </w:tc>
        <w:tc>
          <w:tcPr>
            <w:tcW w:w="925" w:type="dxa"/>
            <w:tcBorders>
              <w:top w:val="nil"/>
              <w:left w:val="nil"/>
              <w:bottom w:val="single" w:sz="4" w:space="0" w:color="auto"/>
              <w:right w:val="single" w:sz="4" w:space="0" w:color="auto"/>
            </w:tcBorders>
            <w:shd w:val="clear" w:color="auto" w:fill="auto"/>
            <w:vAlign w:val="center"/>
            <w:hideMark/>
          </w:tcPr>
          <w:p w14:paraId="1545D12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$6,270 </w:t>
            </w:r>
          </w:p>
        </w:tc>
        <w:tc>
          <w:tcPr>
            <w:tcW w:w="990" w:type="dxa"/>
            <w:tcBorders>
              <w:top w:val="nil"/>
              <w:left w:val="nil"/>
              <w:bottom w:val="single" w:sz="4" w:space="0" w:color="auto"/>
              <w:right w:val="single" w:sz="4" w:space="0" w:color="auto"/>
            </w:tcBorders>
            <w:shd w:val="clear" w:color="auto" w:fill="auto"/>
            <w:vAlign w:val="center"/>
            <w:hideMark/>
          </w:tcPr>
          <w:p w14:paraId="3276680A"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$6,270 </w:t>
            </w:r>
          </w:p>
        </w:tc>
        <w:tc>
          <w:tcPr>
            <w:tcW w:w="900" w:type="dxa"/>
            <w:tcBorders>
              <w:top w:val="nil"/>
              <w:left w:val="nil"/>
              <w:bottom w:val="single" w:sz="4" w:space="0" w:color="auto"/>
              <w:right w:val="single" w:sz="4" w:space="0" w:color="auto"/>
            </w:tcBorders>
            <w:shd w:val="clear" w:color="auto" w:fill="auto"/>
            <w:vAlign w:val="center"/>
            <w:hideMark/>
          </w:tcPr>
          <w:p w14:paraId="0382266C"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$6,270 </w:t>
            </w:r>
          </w:p>
        </w:tc>
        <w:tc>
          <w:tcPr>
            <w:tcW w:w="900" w:type="dxa"/>
            <w:tcBorders>
              <w:top w:val="nil"/>
              <w:left w:val="nil"/>
              <w:bottom w:val="single" w:sz="4" w:space="0" w:color="auto"/>
              <w:right w:val="single" w:sz="4" w:space="0" w:color="auto"/>
            </w:tcBorders>
            <w:shd w:val="clear" w:color="auto" w:fill="auto"/>
            <w:vAlign w:val="center"/>
            <w:hideMark/>
          </w:tcPr>
          <w:p w14:paraId="3308A818"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$6,270 </w:t>
            </w:r>
          </w:p>
        </w:tc>
        <w:tc>
          <w:tcPr>
            <w:tcW w:w="900" w:type="dxa"/>
            <w:tcBorders>
              <w:top w:val="nil"/>
              <w:left w:val="nil"/>
              <w:bottom w:val="single" w:sz="4" w:space="0" w:color="auto"/>
              <w:right w:val="single" w:sz="4" w:space="0" w:color="auto"/>
            </w:tcBorders>
            <w:shd w:val="clear" w:color="auto" w:fill="auto"/>
            <w:vAlign w:val="center"/>
            <w:hideMark/>
          </w:tcPr>
          <w:p w14:paraId="6E2576A9"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$6,270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5220D7FC"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$31,350 </w:t>
            </w:r>
          </w:p>
        </w:tc>
      </w:tr>
      <w:tr w:rsidR="0000783C" w:rsidRPr="00785800" w14:paraId="6E5C8A5A" w14:textId="77777777" w:rsidTr="6504384A">
        <w:trPr>
          <w:trHeight w:val="62"/>
        </w:trPr>
        <w:tc>
          <w:tcPr>
            <w:tcW w:w="2415" w:type="dxa"/>
            <w:tcBorders>
              <w:top w:val="nil"/>
              <w:left w:val="single" w:sz="4" w:space="0" w:color="auto"/>
              <w:bottom w:val="single" w:sz="4" w:space="0" w:color="auto"/>
              <w:right w:val="single" w:sz="4" w:space="0" w:color="auto"/>
            </w:tcBorders>
            <w:shd w:val="clear" w:color="auto" w:fill="E6E6E6"/>
            <w:vAlign w:val="center"/>
            <w:hideMark/>
          </w:tcPr>
          <w:p w14:paraId="267DFB0A"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TOTAL PERSONNEL </w:t>
            </w:r>
          </w:p>
        </w:tc>
        <w:tc>
          <w:tcPr>
            <w:tcW w:w="1020" w:type="dxa"/>
            <w:tcBorders>
              <w:top w:val="nil"/>
              <w:left w:val="nil"/>
              <w:bottom w:val="single" w:sz="4" w:space="0" w:color="auto"/>
              <w:right w:val="single" w:sz="4" w:space="0" w:color="auto"/>
            </w:tcBorders>
            <w:shd w:val="clear" w:color="auto" w:fill="E6E6E6"/>
            <w:vAlign w:val="center"/>
            <w:hideMark/>
          </w:tcPr>
          <w:p w14:paraId="4A1478A9" w14:textId="77777777" w:rsidR="00785800" w:rsidRPr="005E7583" w:rsidRDefault="00785800" w:rsidP="00A34FF4">
            <w:pPr>
              <w:jc w:val="center"/>
              <w:rPr>
                <w:rFonts w:eastAsia="Times New Roman"/>
                <w:color w:val="000000"/>
                <w:sz w:val="18"/>
                <w:szCs w:val="18"/>
              </w:rPr>
            </w:pPr>
            <w:r w:rsidRPr="005E7583">
              <w:rPr>
                <w:rFonts w:eastAsia="Times New Roman"/>
                <w:color w:val="000000" w:themeColor="text1"/>
                <w:sz w:val="18"/>
                <w:szCs w:val="18"/>
              </w:rPr>
              <w:t> </w:t>
            </w:r>
          </w:p>
        </w:tc>
        <w:tc>
          <w:tcPr>
            <w:tcW w:w="855" w:type="dxa"/>
            <w:tcBorders>
              <w:top w:val="nil"/>
              <w:left w:val="nil"/>
              <w:bottom w:val="single" w:sz="4" w:space="0" w:color="auto"/>
              <w:right w:val="single" w:sz="4" w:space="0" w:color="auto"/>
            </w:tcBorders>
            <w:shd w:val="clear" w:color="auto" w:fill="E6E6E6"/>
            <w:vAlign w:val="center"/>
            <w:hideMark/>
          </w:tcPr>
          <w:p w14:paraId="0E65D6EC"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25" w:type="dxa"/>
            <w:tcBorders>
              <w:top w:val="nil"/>
              <w:left w:val="nil"/>
              <w:bottom w:val="single" w:sz="4" w:space="0" w:color="auto"/>
              <w:right w:val="single" w:sz="4" w:space="0" w:color="auto"/>
            </w:tcBorders>
            <w:shd w:val="clear" w:color="auto" w:fill="E6E6E6"/>
            <w:vAlign w:val="center"/>
            <w:hideMark/>
          </w:tcPr>
          <w:p w14:paraId="73F2C1F2"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$21,865 </w:t>
            </w:r>
          </w:p>
        </w:tc>
        <w:tc>
          <w:tcPr>
            <w:tcW w:w="990" w:type="dxa"/>
            <w:tcBorders>
              <w:top w:val="nil"/>
              <w:left w:val="nil"/>
              <w:bottom w:val="single" w:sz="4" w:space="0" w:color="auto"/>
              <w:right w:val="single" w:sz="4" w:space="0" w:color="auto"/>
            </w:tcBorders>
            <w:shd w:val="clear" w:color="auto" w:fill="E6E6E6"/>
            <w:vAlign w:val="center"/>
            <w:hideMark/>
          </w:tcPr>
          <w:p w14:paraId="4307532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$21,865 </w:t>
            </w:r>
          </w:p>
        </w:tc>
        <w:tc>
          <w:tcPr>
            <w:tcW w:w="900" w:type="dxa"/>
            <w:tcBorders>
              <w:top w:val="nil"/>
              <w:left w:val="nil"/>
              <w:bottom w:val="single" w:sz="4" w:space="0" w:color="auto"/>
              <w:right w:val="single" w:sz="4" w:space="0" w:color="auto"/>
            </w:tcBorders>
            <w:shd w:val="clear" w:color="auto" w:fill="E6E6E6"/>
            <w:vAlign w:val="center"/>
            <w:hideMark/>
          </w:tcPr>
          <w:p w14:paraId="03474AFB" w14:textId="1B8E238C" w:rsidR="7CDF0AB1" w:rsidRDefault="7CDF0AB1" w:rsidP="00A34FF4">
            <w:pPr>
              <w:jc w:val="center"/>
              <w:rPr>
                <w:rFonts w:eastAsia="Times New Roman"/>
                <w:color w:val="000000" w:themeColor="text1"/>
                <w:sz w:val="20"/>
                <w:szCs w:val="20"/>
              </w:rPr>
            </w:pPr>
          </w:p>
          <w:p w14:paraId="0B0EE5B4"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$21,865 </w:t>
            </w:r>
          </w:p>
        </w:tc>
        <w:tc>
          <w:tcPr>
            <w:tcW w:w="900" w:type="dxa"/>
            <w:tcBorders>
              <w:top w:val="nil"/>
              <w:left w:val="nil"/>
              <w:bottom w:val="single" w:sz="4" w:space="0" w:color="auto"/>
              <w:right w:val="single" w:sz="4" w:space="0" w:color="auto"/>
            </w:tcBorders>
            <w:shd w:val="clear" w:color="auto" w:fill="E6E6E6"/>
            <w:vAlign w:val="center"/>
            <w:hideMark/>
          </w:tcPr>
          <w:p w14:paraId="183C27FB" w14:textId="1B2F10E1" w:rsidR="7CDF0AB1" w:rsidRDefault="7CDF0AB1" w:rsidP="00A34FF4">
            <w:pPr>
              <w:jc w:val="center"/>
              <w:rPr>
                <w:rFonts w:eastAsia="Times New Roman"/>
                <w:color w:val="000000" w:themeColor="text1"/>
                <w:sz w:val="20"/>
                <w:szCs w:val="20"/>
              </w:rPr>
            </w:pPr>
          </w:p>
          <w:p w14:paraId="558EE3A3"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$21,865 </w:t>
            </w:r>
          </w:p>
        </w:tc>
        <w:tc>
          <w:tcPr>
            <w:tcW w:w="900" w:type="dxa"/>
            <w:tcBorders>
              <w:top w:val="nil"/>
              <w:left w:val="nil"/>
              <w:bottom w:val="single" w:sz="4" w:space="0" w:color="auto"/>
              <w:right w:val="single" w:sz="4" w:space="0" w:color="auto"/>
            </w:tcBorders>
            <w:shd w:val="clear" w:color="auto" w:fill="E6E6E6"/>
            <w:vAlign w:val="center"/>
            <w:hideMark/>
          </w:tcPr>
          <w:p w14:paraId="798B14B8" w14:textId="63FFF31B" w:rsidR="7CDF0AB1" w:rsidRDefault="7CDF0AB1" w:rsidP="00A34FF4">
            <w:pPr>
              <w:jc w:val="center"/>
              <w:rPr>
                <w:rFonts w:eastAsia="Times New Roman"/>
                <w:color w:val="000000" w:themeColor="text1"/>
                <w:sz w:val="20"/>
                <w:szCs w:val="20"/>
              </w:rPr>
            </w:pPr>
          </w:p>
          <w:p w14:paraId="65BFB55C"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$21,865 </w:t>
            </w:r>
          </w:p>
        </w:tc>
        <w:tc>
          <w:tcPr>
            <w:tcW w:w="1021" w:type="dxa"/>
            <w:tcBorders>
              <w:top w:val="nil"/>
              <w:left w:val="single" w:sz="4" w:space="0" w:color="auto"/>
              <w:bottom w:val="single" w:sz="4" w:space="0" w:color="auto"/>
              <w:right w:val="single" w:sz="4" w:space="0" w:color="auto"/>
            </w:tcBorders>
            <w:shd w:val="clear" w:color="auto" w:fill="E6E6E6"/>
            <w:vAlign w:val="center"/>
            <w:hideMark/>
          </w:tcPr>
          <w:p w14:paraId="33DD6BD9" w14:textId="40E3B05C" w:rsidR="7CDF0AB1" w:rsidRDefault="7CDF0AB1" w:rsidP="00A34FF4">
            <w:pPr>
              <w:jc w:val="center"/>
              <w:rPr>
                <w:rFonts w:eastAsia="Times New Roman"/>
                <w:color w:val="000000" w:themeColor="text1"/>
                <w:sz w:val="20"/>
                <w:szCs w:val="20"/>
              </w:rPr>
            </w:pPr>
          </w:p>
          <w:p w14:paraId="633B208C"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$109,325 </w:t>
            </w:r>
          </w:p>
        </w:tc>
      </w:tr>
      <w:tr w:rsidR="00EB4313" w:rsidRPr="00785800" w14:paraId="6D925CF7" w14:textId="77777777" w:rsidTr="6504384A">
        <w:trPr>
          <w:trHeight w:val="170"/>
        </w:trPr>
        <w:tc>
          <w:tcPr>
            <w:tcW w:w="2415" w:type="dxa"/>
            <w:tcBorders>
              <w:top w:val="nil"/>
              <w:left w:val="single" w:sz="4" w:space="0" w:color="auto"/>
              <w:bottom w:val="single" w:sz="4" w:space="0" w:color="auto"/>
              <w:right w:val="single" w:sz="4" w:space="0" w:color="auto"/>
            </w:tcBorders>
            <w:shd w:val="clear" w:color="auto" w:fill="auto"/>
            <w:noWrap/>
            <w:vAlign w:val="center"/>
            <w:hideMark/>
          </w:tcPr>
          <w:p w14:paraId="6F348352"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Fringe Benefits </w:t>
            </w:r>
          </w:p>
        </w:tc>
        <w:tc>
          <w:tcPr>
            <w:tcW w:w="1020" w:type="dxa"/>
            <w:tcBorders>
              <w:top w:val="nil"/>
              <w:left w:val="nil"/>
              <w:bottom w:val="single" w:sz="4" w:space="0" w:color="auto"/>
              <w:right w:val="single" w:sz="4" w:space="0" w:color="auto"/>
            </w:tcBorders>
            <w:shd w:val="clear" w:color="auto" w:fill="auto"/>
            <w:vAlign w:val="center"/>
            <w:hideMark/>
          </w:tcPr>
          <w:p w14:paraId="4C9EDEE5" w14:textId="77777777" w:rsidR="00785800" w:rsidRPr="005E7583" w:rsidRDefault="00785800" w:rsidP="00A34FF4">
            <w:pPr>
              <w:jc w:val="center"/>
              <w:rPr>
                <w:rFonts w:eastAsia="Times New Roman"/>
                <w:b/>
                <w:color w:val="000000"/>
                <w:sz w:val="18"/>
                <w:szCs w:val="18"/>
              </w:rPr>
            </w:pPr>
            <w:r w:rsidRPr="005E7583">
              <w:rPr>
                <w:rFonts w:eastAsia="Times New Roman"/>
                <w:b/>
                <w:color w:val="000000" w:themeColor="text1"/>
                <w:sz w:val="18"/>
                <w:szCs w:val="18"/>
              </w:rPr>
              <w:t>Rate</w:t>
            </w:r>
          </w:p>
        </w:tc>
        <w:tc>
          <w:tcPr>
            <w:tcW w:w="855" w:type="dxa"/>
            <w:tcBorders>
              <w:top w:val="nil"/>
              <w:left w:val="nil"/>
              <w:bottom w:val="single" w:sz="4" w:space="0" w:color="auto"/>
              <w:right w:val="single" w:sz="4" w:space="0" w:color="auto"/>
            </w:tcBorders>
            <w:shd w:val="clear" w:color="auto" w:fill="auto"/>
            <w:vAlign w:val="center"/>
            <w:hideMark/>
          </w:tcPr>
          <w:p w14:paraId="05D9C5A5"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0E80053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90" w:type="dxa"/>
            <w:tcBorders>
              <w:top w:val="nil"/>
              <w:left w:val="nil"/>
              <w:bottom w:val="single" w:sz="4" w:space="0" w:color="auto"/>
              <w:right w:val="single" w:sz="4" w:space="0" w:color="auto"/>
            </w:tcBorders>
            <w:shd w:val="clear" w:color="auto" w:fill="auto"/>
            <w:vAlign w:val="center"/>
            <w:hideMark/>
          </w:tcPr>
          <w:p w14:paraId="6055B4C6"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14:paraId="5304F1EF"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14:paraId="7FC24E23"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vAlign w:val="center"/>
            <w:hideMark/>
          </w:tcPr>
          <w:p w14:paraId="5C3C9FA1"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4706DE7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r>
      <w:tr w:rsidR="00EB4313" w:rsidRPr="00785800" w14:paraId="02E96BBF" w14:textId="77777777" w:rsidTr="6504384A">
        <w:trPr>
          <w:trHeight w:val="179"/>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23055DBA" w14:textId="77777777" w:rsidR="00785800" w:rsidRPr="009C2BE9" w:rsidRDefault="00785800" w:rsidP="00A34FF4">
            <w:pPr>
              <w:jc w:val="center"/>
              <w:rPr>
                <w:rFonts w:eastAsia="Times New Roman"/>
                <w:sz w:val="18"/>
                <w:szCs w:val="18"/>
              </w:rPr>
            </w:pPr>
            <w:r w:rsidRPr="009C2BE9">
              <w:rPr>
                <w:rFonts w:eastAsia="Times New Roman"/>
                <w:sz w:val="18"/>
                <w:szCs w:val="18"/>
              </w:rPr>
              <w:t>FICA &amp; FICA-Med</w:t>
            </w:r>
          </w:p>
        </w:tc>
        <w:tc>
          <w:tcPr>
            <w:tcW w:w="1020" w:type="dxa"/>
            <w:tcBorders>
              <w:top w:val="nil"/>
              <w:left w:val="nil"/>
              <w:bottom w:val="single" w:sz="4" w:space="0" w:color="auto"/>
              <w:right w:val="single" w:sz="4" w:space="0" w:color="auto"/>
            </w:tcBorders>
            <w:shd w:val="clear" w:color="auto" w:fill="auto"/>
            <w:noWrap/>
            <w:vAlign w:val="center"/>
            <w:hideMark/>
          </w:tcPr>
          <w:p w14:paraId="1FE974ED" w14:textId="77777777" w:rsidR="00785800" w:rsidRPr="005E7583" w:rsidRDefault="00785800" w:rsidP="00A34FF4">
            <w:pPr>
              <w:jc w:val="center"/>
              <w:rPr>
                <w:rFonts w:eastAsia="Times New Roman"/>
                <w:sz w:val="18"/>
                <w:szCs w:val="18"/>
              </w:rPr>
            </w:pPr>
            <w:r w:rsidRPr="005E7583">
              <w:rPr>
                <w:rFonts w:eastAsia="Times New Roman"/>
                <w:sz w:val="18"/>
                <w:szCs w:val="18"/>
              </w:rPr>
              <w:t>7.65%</w:t>
            </w:r>
          </w:p>
        </w:tc>
        <w:tc>
          <w:tcPr>
            <w:tcW w:w="855" w:type="dxa"/>
            <w:tcBorders>
              <w:top w:val="nil"/>
              <w:left w:val="nil"/>
              <w:bottom w:val="single" w:sz="4" w:space="0" w:color="auto"/>
              <w:right w:val="single" w:sz="4" w:space="0" w:color="auto"/>
            </w:tcBorders>
            <w:shd w:val="clear" w:color="auto" w:fill="auto"/>
            <w:vAlign w:val="center"/>
            <w:hideMark/>
          </w:tcPr>
          <w:p w14:paraId="5A375F18" w14:textId="77777777" w:rsidR="00785800" w:rsidRPr="005E7583" w:rsidRDefault="00785800" w:rsidP="00A34FF4">
            <w:pPr>
              <w:jc w:val="center"/>
              <w:rPr>
                <w:rFonts w:eastAsia="Times New Roman"/>
                <w:b/>
                <w:sz w:val="20"/>
                <w:szCs w:val="20"/>
              </w:rPr>
            </w:pPr>
            <w:r w:rsidRPr="005E7583">
              <w:rPr>
                <w:rFonts w:eastAsia="Times New Roman"/>
                <w:b/>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19480200"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$1,673 </w:t>
            </w:r>
          </w:p>
        </w:tc>
        <w:tc>
          <w:tcPr>
            <w:tcW w:w="990" w:type="dxa"/>
            <w:tcBorders>
              <w:top w:val="nil"/>
              <w:left w:val="nil"/>
              <w:bottom w:val="single" w:sz="4" w:space="0" w:color="auto"/>
              <w:right w:val="single" w:sz="4" w:space="0" w:color="auto"/>
            </w:tcBorders>
            <w:shd w:val="clear" w:color="auto" w:fill="auto"/>
            <w:vAlign w:val="center"/>
            <w:hideMark/>
          </w:tcPr>
          <w:p w14:paraId="7A816B26"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$1,673 </w:t>
            </w:r>
          </w:p>
        </w:tc>
        <w:tc>
          <w:tcPr>
            <w:tcW w:w="900" w:type="dxa"/>
            <w:tcBorders>
              <w:top w:val="nil"/>
              <w:left w:val="nil"/>
              <w:bottom w:val="single" w:sz="4" w:space="0" w:color="auto"/>
              <w:right w:val="single" w:sz="4" w:space="0" w:color="auto"/>
            </w:tcBorders>
            <w:shd w:val="clear" w:color="auto" w:fill="auto"/>
            <w:vAlign w:val="center"/>
            <w:hideMark/>
          </w:tcPr>
          <w:p w14:paraId="51F89700"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$1,673 </w:t>
            </w:r>
          </w:p>
        </w:tc>
        <w:tc>
          <w:tcPr>
            <w:tcW w:w="900" w:type="dxa"/>
            <w:tcBorders>
              <w:top w:val="nil"/>
              <w:left w:val="nil"/>
              <w:bottom w:val="single" w:sz="4" w:space="0" w:color="auto"/>
              <w:right w:val="single" w:sz="4" w:space="0" w:color="auto"/>
            </w:tcBorders>
            <w:shd w:val="clear" w:color="auto" w:fill="auto"/>
            <w:vAlign w:val="center"/>
            <w:hideMark/>
          </w:tcPr>
          <w:p w14:paraId="48C5C121"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$1,673 </w:t>
            </w:r>
          </w:p>
        </w:tc>
        <w:tc>
          <w:tcPr>
            <w:tcW w:w="900" w:type="dxa"/>
            <w:tcBorders>
              <w:top w:val="nil"/>
              <w:left w:val="nil"/>
              <w:bottom w:val="single" w:sz="4" w:space="0" w:color="auto"/>
              <w:right w:val="single" w:sz="4" w:space="0" w:color="auto"/>
            </w:tcBorders>
            <w:shd w:val="clear" w:color="auto" w:fill="auto"/>
            <w:vAlign w:val="center"/>
            <w:hideMark/>
          </w:tcPr>
          <w:p w14:paraId="658ED891"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$1,673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756A1D0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$8,365 </w:t>
            </w:r>
          </w:p>
        </w:tc>
      </w:tr>
      <w:tr w:rsidR="00EB4313" w:rsidRPr="00785800" w14:paraId="441FD404" w14:textId="77777777" w:rsidTr="6504384A">
        <w:trPr>
          <w:trHeight w:val="206"/>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4FD720C7" w14:textId="77777777" w:rsidR="00785800" w:rsidRPr="009C2BE9" w:rsidRDefault="00785800" w:rsidP="00A34FF4">
            <w:pPr>
              <w:jc w:val="center"/>
              <w:rPr>
                <w:rFonts w:eastAsia="Times New Roman"/>
                <w:sz w:val="18"/>
                <w:szCs w:val="18"/>
              </w:rPr>
            </w:pPr>
            <w:r w:rsidRPr="009C2BE9">
              <w:rPr>
                <w:rFonts w:eastAsia="Times New Roman"/>
                <w:sz w:val="18"/>
                <w:szCs w:val="18"/>
              </w:rPr>
              <w:t>SUTA (on first $53,500/FTE)</w:t>
            </w:r>
          </w:p>
        </w:tc>
        <w:tc>
          <w:tcPr>
            <w:tcW w:w="1020" w:type="dxa"/>
            <w:tcBorders>
              <w:top w:val="nil"/>
              <w:left w:val="nil"/>
              <w:bottom w:val="single" w:sz="4" w:space="0" w:color="auto"/>
              <w:right w:val="single" w:sz="4" w:space="0" w:color="auto"/>
            </w:tcBorders>
            <w:shd w:val="clear" w:color="auto" w:fill="auto"/>
            <w:noWrap/>
            <w:vAlign w:val="center"/>
            <w:hideMark/>
          </w:tcPr>
          <w:p w14:paraId="0B115A73" w14:textId="77777777" w:rsidR="00785800" w:rsidRPr="005E7583" w:rsidRDefault="00785800" w:rsidP="00A34FF4">
            <w:pPr>
              <w:jc w:val="center"/>
              <w:rPr>
                <w:rFonts w:eastAsia="Times New Roman"/>
                <w:sz w:val="18"/>
                <w:szCs w:val="18"/>
              </w:rPr>
            </w:pPr>
            <w:r w:rsidRPr="005E7583">
              <w:rPr>
                <w:rFonts w:eastAsia="Times New Roman"/>
                <w:sz w:val="18"/>
                <w:szCs w:val="18"/>
              </w:rPr>
              <w:t>0.821%</w:t>
            </w:r>
          </w:p>
        </w:tc>
        <w:tc>
          <w:tcPr>
            <w:tcW w:w="855" w:type="dxa"/>
            <w:tcBorders>
              <w:top w:val="nil"/>
              <w:left w:val="nil"/>
              <w:bottom w:val="single" w:sz="4" w:space="0" w:color="auto"/>
              <w:right w:val="single" w:sz="4" w:space="0" w:color="auto"/>
            </w:tcBorders>
            <w:shd w:val="clear" w:color="auto" w:fill="auto"/>
            <w:vAlign w:val="center"/>
            <w:hideMark/>
          </w:tcPr>
          <w:p w14:paraId="33C7A454" w14:textId="77777777" w:rsidR="00785800" w:rsidRPr="005E7583" w:rsidRDefault="00785800" w:rsidP="00A34FF4">
            <w:pPr>
              <w:jc w:val="center"/>
              <w:rPr>
                <w:rFonts w:eastAsia="Times New Roman"/>
                <w:b/>
                <w:sz w:val="20"/>
                <w:szCs w:val="20"/>
              </w:rPr>
            </w:pPr>
            <w:r w:rsidRPr="005E7583">
              <w:rPr>
                <w:rFonts w:eastAsia="Times New Roman"/>
                <w:b/>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0CF7E6FC"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$132 </w:t>
            </w:r>
          </w:p>
        </w:tc>
        <w:tc>
          <w:tcPr>
            <w:tcW w:w="990" w:type="dxa"/>
            <w:tcBorders>
              <w:top w:val="nil"/>
              <w:left w:val="nil"/>
              <w:bottom w:val="single" w:sz="4" w:space="0" w:color="auto"/>
              <w:right w:val="single" w:sz="4" w:space="0" w:color="auto"/>
            </w:tcBorders>
            <w:shd w:val="clear" w:color="auto" w:fill="auto"/>
            <w:vAlign w:val="center"/>
            <w:hideMark/>
          </w:tcPr>
          <w:p w14:paraId="1D651B6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$132 </w:t>
            </w:r>
          </w:p>
        </w:tc>
        <w:tc>
          <w:tcPr>
            <w:tcW w:w="900" w:type="dxa"/>
            <w:tcBorders>
              <w:top w:val="nil"/>
              <w:left w:val="nil"/>
              <w:bottom w:val="single" w:sz="4" w:space="0" w:color="auto"/>
              <w:right w:val="single" w:sz="4" w:space="0" w:color="auto"/>
            </w:tcBorders>
            <w:shd w:val="clear" w:color="auto" w:fill="auto"/>
            <w:vAlign w:val="center"/>
            <w:hideMark/>
          </w:tcPr>
          <w:p w14:paraId="4ADA022F"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$132 </w:t>
            </w:r>
          </w:p>
        </w:tc>
        <w:tc>
          <w:tcPr>
            <w:tcW w:w="900" w:type="dxa"/>
            <w:tcBorders>
              <w:top w:val="nil"/>
              <w:left w:val="nil"/>
              <w:bottom w:val="single" w:sz="4" w:space="0" w:color="auto"/>
              <w:right w:val="single" w:sz="4" w:space="0" w:color="auto"/>
            </w:tcBorders>
            <w:shd w:val="clear" w:color="auto" w:fill="auto"/>
            <w:vAlign w:val="center"/>
            <w:hideMark/>
          </w:tcPr>
          <w:p w14:paraId="289299E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$132 </w:t>
            </w:r>
          </w:p>
        </w:tc>
        <w:tc>
          <w:tcPr>
            <w:tcW w:w="900" w:type="dxa"/>
            <w:tcBorders>
              <w:top w:val="nil"/>
              <w:left w:val="nil"/>
              <w:bottom w:val="single" w:sz="4" w:space="0" w:color="auto"/>
              <w:right w:val="single" w:sz="4" w:space="0" w:color="auto"/>
            </w:tcBorders>
            <w:shd w:val="clear" w:color="auto" w:fill="auto"/>
            <w:vAlign w:val="center"/>
            <w:hideMark/>
          </w:tcPr>
          <w:p w14:paraId="1B26B159"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$132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43162896"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$660 </w:t>
            </w:r>
          </w:p>
        </w:tc>
      </w:tr>
      <w:tr w:rsidR="00EB4313" w:rsidRPr="00785800" w14:paraId="06703474" w14:textId="77777777" w:rsidTr="6504384A">
        <w:trPr>
          <w:trHeight w:val="125"/>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41568E9" w14:textId="2FD326AE" w:rsidR="00785800" w:rsidRPr="009C2BE9" w:rsidRDefault="17A62C04" w:rsidP="00A34FF4">
            <w:pPr>
              <w:jc w:val="center"/>
              <w:rPr>
                <w:rFonts w:eastAsia="Times New Roman"/>
                <w:sz w:val="18"/>
                <w:szCs w:val="18"/>
              </w:rPr>
            </w:pPr>
            <w:r w:rsidRPr="009C2BE9">
              <w:rPr>
                <w:rFonts w:eastAsia="Times New Roman"/>
                <w:sz w:val="18"/>
                <w:szCs w:val="18"/>
              </w:rPr>
              <w:t>Work</w:t>
            </w:r>
            <w:r w:rsidR="45F18E57" w:rsidRPr="009C2BE9">
              <w:rPr>
                <w:rFonts w:eastAsia="Times New Roman"/>
                <w:sz w:val="18"/>
                <w:szCs w:val="18"/>
              </w:rPr>
              <w:t>er</w:t>
            </w:r>
            <w:r w:rsidRPr="009C2BE9">
              <w:rPr>
                <w:rFonts w:eastAsia="Times New Roman"/>
                <w:sz w:val="18"/>
                <w:szCs w:val="18"/>
              </w:rPr>
              <w:t>s</w:t>
            </w:r>
            <w:r w:rsidR="13EAC06A" w:rsidRPr="009C2BE9">
              <w:rPr>
                <w:rFonts w:eastAsia="Times New Roman"/>
                <w:sz w:val="18"/>
                <w:szCs w:val="18"/>
              </w:rPr>
              <w:t>’</w:t>
            </w:r>
            <w:r w:rsidR="00785800" w:rsidRPr="009C2BE9">
              <w:rPr>
                <w:rFonts w:eastAsia="Times New Roman"/>
                <w:sz w:val="18"/>
                <w:szCs w:val="18"/>
              </w:rPr>
              <w:t xml:space="preserve"> Comp. </w:t>
            </w:r>
          </w:p>
        </w:tc>
        <w:tc>
          <w:tcPr>
            <w:tcW w:w="1020" w:type="dxa"/>
            <w:tcBorders>
              <w:top w:val="nil"/>
              <w:left w:val="nil"/>
              <w:bottom w:val="single" w:sz="4" w:space="0" w:color="auto"/>
              <w:right w:val="single" w:sz="4" w:space="0" w:color="auto"/>
            </w:tcBorders>
            <w:shd w:val="clear" w:color="auto" w:fill="auto"/>
            <w:noWrap/>
            <w:vAlign w:val="center"/>
            <w:hideMark/>
          </w:tcPr>
          <w:p w14:paraId="146662C0" w14:textId="77777777" w:rsidR="00785800" w:rsidRPr="005E7583" w:rsidRDefault="00785800" w:rsidP="00A34FF4">
            <w:pPr>
              <w:jc w:val="center"/>
              <w:rPr>
                <w:rFonts w:eastAsia="Times New Roman"/>
                <w:sz w:val="18"/>
                <w:szCs w:val="18"/>
              </w:rPr>
            </w:pPr>
            <w:r w:rsidRPr="005E7583">
              <w:rPr>
                <w:rFonts w:eastAsia="Times New Roman"/>
                <w:sz w:val="18"/>
                <w:szCs w:val="18"/>
              </w:rPr>
              <w:t>3.00%</w:t>
            </w:r>
          </w:p>
        </w:tc>
        <w:tc>
          <w:tcPr>
            <w:tcW w:w="855" w:type="dxa"/>
            <w:tcBorders>
              <w:top w:val="nil"/>
              <w:left w:val="nil"/>
              <w:bottom w:val="single" w:sz="4" w:space="0" w:color="auto"/>
              <w:right w:val="single" w:sz="4" w:space="0" w:color="auto"/>
            </w:tcBorders>
            <w:shd w:val="clear" w:color="auto" w:fill="auto"/>
            <w:vAlign w:val="center"/>
            <w:hideMark/>
          </w:tcPr>
          <w:p w14:paraId="36E72AC1" w14:textId="77777777" w:rsidR="00785800" w:rsidRPr="005E7583" w:rsidRDefault="00785800" w:rsidP="00A34FF4">
            <w:pPr>
              <w:jc w:val="center"/>
              <w:rPr>
                <w:rFonts w:eastAsia="Times New Roman"/>
                <w:b/>
                <w:sz w:val="20"/>
                <w:szCs w:val="20"/>
              </w:rPr>
            </w:pPr>
            <w:r w:rsidRPr="005E7583">
              <w:rPr>
                <w:rFonts w:eastAsia="Times New Roman"/>
                <w:b/>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5D600122"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$656 </w:t>
            </w:r>
          </w:p>
        </w:tc>
        <w:tc>
          <w:tcPr>
            <w:tcW w:w="990" w:type="dxa"/>
            <w:tcBorders>
              <w:top w:val="nil"/>
              <w:left w:val="nil"/>
              <w:bottom w:val="single" w:sz="4" w:space="0" w:color="auto"/>
              <w:right w:val="single" w:sz="4" w:space="0" w:color="auto"/>
            </w:tcBorders>
            <w:shd w:val="clear" w:color="auto" w:fill="auto"/>
            <w:vAlign w:val="center"/>
            <w:hideMark/>
          </w:tcPr>
          <w:p w14:paraId="4718591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$656 </w:t>
            </w:r>
          </w:p>
        </w:tc>
        <w:tc>
          <w:tcPr>
            <w:tcW w:w="900" w:type="dxa"/>
            <w:tcBorders>
              <w:top w:val="nil"/>
              <w:left w:val="nil"/>
              <w:bottom w:val="single" w:sz="4" w:space="0" w:color="auto"/>
              <w:right w:val="single" w:sz="4" w:space="0" w:color="auto"/>
            </w:tcBorders>
            <w:shd w:val="clear" w:color="auto" w:fill="auto"/>
            <w:vAlign w:val="center"/>
            <w:hideMark/>
          </w:tcPr>
          <w:p w14:paraId="0C1E4B68"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$656 </w:t>
            </w:r>
          </w:p>
        </w:tc>
        <w:tc>
          <w:tcPr>
            <w:tcW w:w="900" w:type="dxa"/>
            <w:tcBorders>
              <w:top w:val="nil"/>
              <w:left w:val="nil"/>
              <w:bottom w:val="single" w:sz="4" w:space="0" w:color="auto"/>
              <w:right w:val="single" w:sz="4" w:space="0" w:color="auto"/>
            </w:tcBorders>
            <w:shd w:val="clear" w:color="auto" w:fill="auto"/>
            <w:vAlign w:val="center"/>
            <w:hideMark/>
          </w:tcPr>
          <w:p w14:paraId="013F80EB"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$656 </w:t>
            </w:r>
          </w:p>
        </w:tc>
        <w:tc>
          <w:tcPr>
            <w:tcW w:w="900" w:type="dxa"/>
            <w:tcBorders>
              <w:top w:val="nil"/>
              <w:left w:val="nil"/>
              <w:bottom w:val="single" w:sz="4" w:space="0" w:color="auto"/>
              <w:right w:val="single" w:sz="4" w:space="0" w:color="auto"/>
            </w:tcBorders>
            <w:shd w:val="clear" w:color="auto" w:fill="auto"/>
            <w:vAlign w:val="center"/>
            <w:hideMark/>
          </w:tcPr>
          <w:p w14:paraId="7C416A52"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$656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220DCCA2"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$3,280 </w:t>
            </w:r>
          </w:p>
        </w:tc>
      </w:tr>
      <w:tr w:rsidR="00EB4313" w:rsidRPr="00785800" w14:paraId="7E8DA4EC" w14:textId="77777777" w:rsidTr="6504384A">
        <w:trPr>
          <w:trHeight w:val="314"/>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998F233" w14:textId="1F9A0491" w:rsidR="00785800" w:rsidRPr="009C2BE9" w:rsidRDefault="00785800" w:rsidP="00A34FF4">
            <w:pPr>
              <w:jc w:val="center"/>
              <w:rPr>
                <w:rFonts w:eastAsia="Times New Roman"/>
                <w:sz w:val="18"/>
                <w:szCs w:val="18"/>
              </w:rPr>
            </w:pPr>
            <w:r w:rsidRPr="009C2BE9">
              <w:rPr>
                <w:rFonts w:eastAsia="Times New Roman"/>
                <w:sz w:val="18"/>
                <w:szCs w:val="18"/>
              </w:rPr>
              <w:t xml:space="preserve">Retirement </w:t>
            </w:r>
            <w:r w:rsidRPr="005E7583">
              <w:rPr>
                <w:rFonts w:eastAsia="Times New Roman"/>
                <w:sz w:val="18"/>
                <w:szCs w:val="18"/>
              </w:rPr>
              <w:t>(401(k)match/</w:t>
            </w:r>
            <w:proofErr w:type="spellStart"/>
            <w:r w:rsidRPr="005E7583">
              <w:rPr>
                <w:rFonts w:eastAsia="Times New Roman"/>
                <w:sz w:val="18"/>
                <w:szCs w:val="18"/>
              </w:rPr>
              <w:t>yr</w:t>
            </w:r>
            <w:proofErr w:type="spellEnd"/>
            <w:r w:rsidRPr="005E7583">
              <w:rPr>
                <w:rFonts w:eastAsia="Times New Roman"/>
                <w:sz w:val="18"/>
                <w:szCs w:val="18"/>
              </w:rPr>
              <w:t>/FTE)</w:t>
            </w:r>
          </w:p>
        </w:tc>
        <w:tc>
          <w:tcPr>
            <w:tcW w:w="1020" w:type="dxa"/>
            <w:tcBorders>
              <w:top w:val="nil"/>
              <w:left w:val="nil"/>
              <w:bottom w:val="single" w:sz="4" w:space="0" w:color="auto"/>
              <w:right w:val="single" w:sz="4" w:space="0" w:color="auto"/>
            </w:tcBorders>
            <w:shd w:val="clear" w:color="auto" w:fill="auto"/>
            <w:noWrap/>
            <w:vAlign w:val="center"/>
            <w:hideMark/>
          </w:tcPr>
          <w:p w14:paraId="1B9060E0" w14:textId="77777777" w:rsidR="00785800" w:rsidRPr="005E7583" w:rsidRDefault="00785800" w:rsidP="00A34FF4">
            <w:pPr>
              <w:jc w:val="center"/>
              <w:rPr>
                <w:rFonts w:eastAsia="Times New Roman"/>
                <w:sz w:val="18"/>
                <w:szCs w:val="18"/>
              </w:rPr>
            </w:pPr>
            <w:r w:rsidRPr="005E7583">
              <w:rPr>
                <w:rFonts w:eastAsia="Times New Roman"/>
                <w:sz w:val="18"/>
                <w:szCs w:val="18"/>
              </w:rPr>
              <w:t>$3,150</w:t>
            </w:r>
          </w:p>
        </w:tc>
        <w:tc>
          <w:tcPr>
            <w:tcW w:w="855" w:type="dxa"/>
            <w:tcBorders>
              <w:top w:val="nil"/>
              <w:left w:val="nil"/>
              <w:bottom w:val="single" w:sz="4" w:space="0" w:color="auto"/>
              <w:right w:val="single" w:sz="4" w:space="0" w:color="auto"/>
            </w:tcBorders>
            <w:shd w:val="clear" w:color="auto" w:fill="auto"/>
            <w:vAlign w:val="center"/>
            <w:hideMark/>
          </w:tcPr>
          <w:p w14:paraId="0CE13CC2" w14:textId="77777777" w:rsidR="00785800" w:rsidRPr="005E7583" w:rsidRDefault="00785800" w:rsidP="00A34FF4">
            <w:pPr>
              <w:jc w:val="center"/>
              <w:rPr>
                <w:rFonts w:eastAsia="Times New Roman"/>
                <w:b/>
                <w:sz w:val="20"/>
                <w:szCs w:val="20"/>
              </w:rPr>
            </w:pPr>
            <w:r w:rsidRPr="005E7583">
              <w:rPr>
                <w:rFonts w:eastAsia="Times New Roman"/>
                <w:b/>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37E4879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$945 </w:t>
            </w:r>
          </w:p>
        </w:tc>
        <w:tc>
          <w:tcPr>
            <w:tcW w:w="990" w:type="dxa"/>
            <w:tcBorders>
              <w:top w:val="nil"/>
              <w:left w:val="nil"/>
              <w:bottom w:val="single" w:sz="4" w:space="0" w:color="auto"/>
              <w:right w:val="single" w:sz="4" w:space="0" w:color="auto"/>
            </w:tcBorders>
            <w:shd w:val="clear" w:color="auto" w:fill="auto"/>
            <w:vAlign w:val="center"/>
            <w:hideMark/>
          </w:tcPr>
          <w:p w14:paraId="55336129"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$945 </w:t>
            </w:r>
          </w:p>
        </w:tc>
        <w:tc>
          <w:tcPr>
            <w:tcW w:w="900" w:type="dxa"/>
            <w:tcBorders>
              <w:top w:val="nil"/>
              <w:left w:val="nil"/>
              <w:bottom w:val="single" w:sz="4" w:space="0" w:color="auto"/>
              <w:right w:val="single" w:sz="4" w:space="0" w:color="auto"/>
            </w:tcBorders>
            <w:shd w:val="clear" w:color="auto" w:fill="auto"/>
            <w:vAlign w:val="center"/>
            <w:hideMark/>
          </w:tcPr>
          <w:p w14:paraId="2F23348B"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$945 </w:t>
            </w:r>
          </w:p>
        </w:tc>
        <w:tc>
          <w:tcPr>
            <w:tcW w:w="900" w:type="dxa"/>
            <w:tcBorders>
              <w:top w:val="nil"/>
              <w:left w:val="nil"/>
              <w:bottom w:val="single" w:sz="4" w:space="0" w:color="auto"/>
              <w:right w:val="single" w:sz="4" w:space="0" w:color="auto"/>
            </w:tcBorders>
            <w:shd w:val="clear" w:color="auto" w:fill="auto"/>
            <w:vAlign w:val="center"/>
            <w:hideMark/>
          </w:tcPr>
          <w:p w14:paraId="74A37962"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$945 </w:t>
            </w:r>
          </w:p>
        </w:tc>
        <w:tc>
          <w:tcPr>
            <w:tcW w:w="900" w:type="dxa"/>
            <w:tcBorders>
              <w:top w:val="nil"/>
              <w:left w:val="nil"/>
              <w:bottom w:val="single" w:sz="4" w:space="0" w:color="auto"/>
              <w:right w:val="single" w:sz="4" w:space="0" w:color="auto"/>
            </w:tcBorders>
            <w:shd w:val="clear" w:color="auto" w:fill="auto"/>
            <w:vAlign w:val="center"/>
            <w:hideMark/>
          </w:tcPr>
          <w:p w14:paraId="3E7489FB"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$945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4252D3A1"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$4,725 </w:t>
            </w:r>
          </w:p>
        </w:tc>
      </w:tr>
      <w:tr w:rsidR="00EB4313" w:rsidRPr="00785800" w14:paraId="59B612AC" w14:textId="77777777" w:rsidTr="6504384A">
        <w:trPr>
          <w:trHeight w:val="116"/>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AFCDEFC" w14:textId="06CD46F6" w:rsidR="00785800" w:rsidRPr="009C2BE9" w:rsidRDefault="00785800" w:rsidP="00A34FF4">
            <w:pPr>
              <w:jc w:val="center"/>
              <w:rPr>
                <w:rFonts w:eastAsia="Times New Roman"/>
                <w:sz w:val="18"/>
                <w:szCs w:val="18"/>
              </w:rPr>
            </w:pPr>
            <w:r w:rsidRPr="009C2BE9">
              <w:rPr>
                <w:rFonts w:eastAsia="Times New Roman"/>
                <w:sz w:val="18"/>
                <w:szCs w:val="18"/>
              </w:rPr>
              <w:t>Life Insurance (month/FTE)</w:t>
            </w:r>
          </w:p>
        </w:tc>
        <w:tc>
          <w:tcPr>
            <w:tcW w:w="1020" w:type="dxa"/>
            <w:tcBorders>
              <w:top w:val="nil"/>
              <w:left w:val="nil"/>
              <w:bottom w:val="single" w:sz="4" w:space="0" w:color="auto"/>
              <w:right w:val="single" w:sz="4" w:space="0" w:color="auto"/>
            </w:tcBorders>
            <w:shd w:val="clear" w:color="auto" w:fill="auto"/>
            <w:noWrap/>
            <w:vAlign w:val="center"/>
            <w:hideMark/>
          </w:tcPr>
          <w:p w14:paraId="720316BA" w14:textId="77777777" w:rsidR="00785800" w:rsidRPr="005E7583" w:rsidRDefault="00785800" w:rsidP="00A34FF4">
            <w:pPr>
              <w:jc w:val="center"/>
              <w:rPr>
                <w:rFonts w:eastAsia="Times New Roman"/>
                <w:sz w:val="18"/>
                <w:szCs w:val="18"/>
              </w:rPr>
            </w:pPr>
            <w:r w:rsidRPr="005E7583">
              <w:rPr>
                <w:rFonts w:eastAsia="Times New Roman"/>
                <w:sz w:val="18"/>
                <w:szCs w:val="18"/>
              </w:rPr>
              <w:t>$5.05</w:t>
            </w:r>
          </w:p>
        </w:tc>
        <w:tc>
          <w:tcPr>
            <w:tcW w:w="855" w:type="dxa"/>
            <w:tcBorders>
              <w:top w:val="nil"/>
              <w:left w:val="nil"/>
              <w:bottom w:val="single" w:sz="4" w:space="0" w:color="auto"/>
              <w:right w:val="single" w:sz="4" w:space="0" w:color="auto"/>
            </w:tcBorders>
            <w:shd w:val="clear" w:color="auto" w:fill="auto"/>
            <w:vAlign w:val="center"/>
            <w:hideMark/>
          </w:tcPr>
          <w:p w14:paraId="7B8BCBB6" w14:textId="77777777" w:rsidR="00785800" w:rsidRPr="005E7583" w:rsidRDefault="00785800" w:rsidP="00A34FF4">
            <w:pPr>
              <w:ind w:firstLineChars="200" w:firstLine="400"/>
              <w:jc w:val="center"/>
              <w:rPr>
                <w:rFonts w:eastAsia="Times New Roman"/>
                <w:sz w:val="20"/>
                <w:szCs w:val="20"/>
              </w:rPr>
            </w:pPr>
            <w:r w:rsidRPr="005E7583">
              <w:rPr>
                <w:rFonts w:eastAsia="Times New Roman"/>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3D1305EB"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$19 </w:t>
            </w:r>
          </w:p>
        </w:tc>
        <w:tc>
          <w:tcPr>
            <w:tcW w:w="990" w:type="dxa"/>
            <w:tcBorders>
              <w:top w:val="nil"/>
              <w:left w:val="nil"/>
              <w:bottom w:val="single" w:sz="4" w:space="0" w:color="auto"/>
              <w:right w:val="single" w:sz="4" w:space="0" w:color="auto"/>
            </w:tcBorders>
            <w:shd w:val="clear" w:color="auto" w:fill="auto"/>
            <w:vAlign w:val="center"/>
            <w:hideMark/>
          </w:tcPr>
          <w:p w14:paraId="1DD6EB81"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$19 </w:t>
            </w:r>
          </w:p>
        </w:tc>
        <w:tc>
          <w:tcPr>
            <w:tcW w:w="900" w:type="dxa"/>
            <w:tcBorders>
              <w:top w:val="nil"/>
              <w:left w:val="nil"/>
              <w:bottom w:val="single" w:sz="4" w:space="0" w:color="auto"/>
              <w:right w:val="single" w:sz="4" w:space="0" w:color="auto"/>
            </w:tcBorders>
            <w:shd w:val="clear" w:color="auto" w:fill="auto"/>
            <w:vAlign w:val="center"/>
            <w:hideMark/>
          </w:tcPr>
          <w:p w14:paraId="59157340"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$19 </w:t>
            </w:r>
          </w:p>
        </w:tc>
        <w:tc>
          <w:tcPr>
            <w:tcW w:w="900" w:type="dxa"/>
            <w:tcBorders>
              <w:top w:val="nil"/>
              <w:left w:val="nil"/>
              <w:bottom w:val="single" w:sz="4" w:space="0" w:color="auto"/>
              <w:right w:val="single" w:sz="4" w:space="0" w:color="auto"/>
            </w:tcBorders>
            <w:shd w:val="clear" w:color="auto" w:fill="auto"/>
            <w:vAlign w:val="center"/>
            <w:hideMark/>
          </w:tcPr>
          <w:p w14:paraId="26F351B7"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$19 </w:t>
            </w:r>
          </w:p>
        </w:tc>
        <w:tc>
          <w:tcPr>
            <w:tcW w:w="900" w:type="dxa"/>
            <w:tcBorders>
              <w:top w:val="nil"/>
              <w:left w:val="nil"/>
              <w:bottom w:val="single" w:sz="4" w:space="0" w:color="auto"/>
              <w:right w:val="single" w:sz="4" w:space="0" w:color="auto"/>
            </w:tcBorders>
            <w:shd w:val="clear" w:color="auto" w:fill="auto"/>
            <w:vAlign w:val="center"/>
            <w:hideMark/>
          </w:tcPr>
          <w:p w14:paraId="5F92AFCC"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$19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53A7716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$95 </w:t>
            </w:r>
          </w:p>
        </w:tc>
      </w:tr>
      <w:tr w:rsidR="00EB4313" w:rsidRPr="00785800" w14:paraId="51F9EC5F" w14:textId="77777777" w:rsidTr="6504384A">
        <w:trPr>
          <w:trHeight w:val="134"/>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38F7284D" w14:textId="77777777" w:rsidR="00785800" w:rsidRPr="009C2BE9" w:rsidRDefault="00785800" w:rsidP="00A34FF4">
            <w:pPr>
              <w:jc w:val="center"/>
              <w:rPr>
                <w:rFonts w:eastAsia="Times New Roman"/>
                <w:sz w:val="18"/>
                <w:szCs w:val="18"/>
              </w:rPr>
            </w:pPr>
            <w:r w:rsidRPr="009C2BE9">
              <w:rPr>
                <w:rFonts w:eastAsia="Times New Roman"/>
                <w:sz w:val="18"/>
                <w:szCs w:val="18"/>
              </w:rPr>
              <w:t>Medical (</w:t>
            </w:r>
            <w:r w:rsidR="00EB4313" w:rsidRPr="009C2BE9">
              <w:rPr>
                <w:rFonts w:eastAsia="Times New Roman"/>
                <w:sz w:val="18"/>
                <w:szCs w:val="18"/>
              </w:rPr>
              <w:t xml:space="preserve">per </w:t>
            </w:r>
            <w:r w:rsidRPr="009C2BE9">
              <w:rPr>
                <w:rFonts w:eastAsia="Times New Roman"/>
                <w:sz w:val="18"/>
                <w:szCs w:val="18"/>
              </w:rPr>
              <w:t>month/FTE)</w:t>
            </w:r>
          </w:p>
        </w:tc>
        <w:tc>
          <w:tcPr>
            <w:tcW w:w="1020" w:type="dxa"/>
            <w:tcBorders>
              <w:top w:val="nil"/>
              <w:left w:val="nil"/>
              <w:bottom w:val="single" w:sz="4" w:space="0" w:color="auto"/>
              <w:right w:val="single" w:sz="4" w:space="0" w:color="auto"/>
            </w:tcBorders>
            <w:shd w:val="clear" w:color="auto" w:fill="auto"/>
            <w:noWrap/>
            <w:vAlign w:val="center"/>
            <w:hideMark/>
          </w:tcPr>
          <w:p w14:paraId="7CD1E750" w14:textId="77777777" w:rsidR="00785800" w:rsidRPr="005E7583" w:rsidRDefault="00785800" w:rsidP="00A34FF4">
            <w:pPr>
              <w:jc w:val="center"/>
              <w:rPr>
                <w:rFonts w:eastAsia="Times New Roman"/>
                <w:sz w:val="18"/>
                <w:szCs w:val="18"/>
              </w:rPr>
            </w:pPr>
            <w:r w:rsidRPr="005E7583">
              <w:rPr>
                <w:rFonts w:eastAsia="Times New Roman"/>
                <w:sz w:val="18"/>
                <w:szCs w:val="18"/>
              </w:rPr>
              <w:t>$2,259.10</w:t>
            </w:r>
          </w:p>
        </w:tc>
        <w:tc>
          <w:tcPr>
            <w:tcW w:w="855" w:type="dxa"/>
            <w:tcBorders>
              <w:top w:val="nil"/>
              <w:left w:val="nil"/>
              <w:bottom w:val="single" w:sz="4" w:space="0" w:color="auto"/>
              <w:right w:val="single" w:sz="4" w:space="0" w:color="auto"/>
            </w:tcBorders>
            <w:shd w:val="clear" w:color="auto" w:fill="auto"/>
            <w:vAlign w:val="center"/>
            <w:hideMark/>
          </w:tcPr>
          <w:p w14:paraId="1BA3E3FF" w14:textId="77777777" w:rsidR="00785800" w:rsidRPr="005E7583" w:rsidRDefault="00785800" w:rsidP="00A34FF4">
            <w:pPr>
              <w:ind w:firstLineChars="200" w:firstLine="400"/>
              <w:jc w:val="center"/>
              <w:rPr>
                <w:rFonts w:eastAsia="Times New Roman"/>
                <w:sz w:val="20"/>
                <w:szCs w:val="20"/>
              </w:rPr>
            </w:pPr>
            <w:r w:rsidRPr="005E7583">
              <w:rPr>
                <w:rFonts w:eastAsia="Times New Roman"/>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796E71E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$8,133 </w:t>
            </w:r>
          </w:p>
        </w:tc>
        <w:tc>
          <w:tcPr>
            <w:tcW w:w="990" w:type="dxa"/>
            <w:tcBorders>
              <w:top w:val="nil"/>
              <w:left w:val="nil"/>
              <w:bottom w:val="single" w:sz="4" w:space="0" w:color="auto"/>
              <w:right w:val="single" w:sz="4" w:space="0" w:color="auto"/>
            </w:tcBorders>
            <w:shd w:val="clear" w:color="auto" w:fill="auto"/>
            <w:vAlign w:val="center"/>
            <w:hideMark/>
          </w:tcPr>
          <w:p w14:paraId="1D144A3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$8,133 </w:t>
            </w:r>
          </w:p>
        </w:tc>
        <w:tc>
          <w:tcPr>
            <w:tcW w:w="900" w:type="dxa"/>
            <w:tcBorders>
              <w:top w:val="nil"/>
              <w:left w:val="nil"/>
              <w:bottom w:val="single" w:sz="4" w:space="0" w:color="auto"/>
              <w:right w:val="single" w:sz="4" w:space="0" w:color="auto"/>
            </w:tcBorders>
            <w:shd w:val="clear" w:color="auto" w:fill="auto"/>
            <w:vAlign w:val="center"/>
            <w:hideMark/>
          </w:tcPr>
          <w:p w14:paraId="2E70DD4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$8,133 </w:t>
            </w:r>
          </w:p>
        </w:tc>
        <w:tc>
          <w:tcPr>
            <w:tcW w:w="900" w:type="dxa"/>
            <w:tcBorders>
              <w:top w:val="nil"/>
              <w:left w:val="nil"/>
              <w:bottom w:val="single" w:sz="4" w:space="0" w:color="auto"/>
              <w:right w:val="single" w:sz="4" w:space="0" w:color="auto"/>
            </w:tcBorders>
            <w:shd w:val="clear" w:color="auto" w:fill="auto"/>
            <w:vAlign w:val="center"/>
            <w:hideMark/>
          </w:tcPr>
          <w:p w14:paraId="3AE6B654"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$8,133 </w:t>
            </w:r>
          </w:p>
        </w:tc>
        <w:tc>
          <w:tcPr>
            <w:tcW w:w="900" w:type="dxa"/>
            <w:tcBorders>
              <w:top w:val="nil"/>
              <w:left w:val="nil"/>
              <w:bottom w:val="single" w:sz="4" w:space="0" w:color="auto"/>
              <w:right w:val="single" w:sz="4" w:space="0" w:color="auto"/>
            </w:tcBorders>
            <w:shd w:val="clear" w:color="auto" w:fill="auto"/>
            <w:vAlign w:val="center"/>
            <w:hideMark/>
          </w:tcPr>
          <w:p w14:paraId="3FED88CF"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$8,133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05FCE56B"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$40,665 </w:t>
            </w:r>
          </w:p>
        </w:tc>
      </w:tr>
      <w:tr w:rsidR="00EB4313" w:rsidRPr="00785800" w14:paraId="68DFFDD3" w14:textId="77777777" w:rsidTr="6504384A">
        <w:trPr>
          <w:trHeight w:val="62"/>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7BEDE2AF" w14:textId="1477DCBE" w:rsidR="00785800" w:rsidRPr="009C2BE9" w:rsidRDefault="00785800" w:rsidP="00A34FF4">
            <w:pPr>
              <w:jc w:val="center"/>
              <w:rPr>
                <w:rFonts w:eastAsia="Times New Roman"/>
                <w:sz w:val="18"/>
                <w:szCs w:val="18"/>
              </w:rPr>
            </w:pPr>
            <w:r w:rsidRPr="009C2BE9">
              <w:rPr>
                <w:rFonts w:eastAsia="Times New Roman"/>
                <w:sz w:val="18"/>
                <w:szCs w:val="18"/>
              </w:rPr>
              <w:t>EAP (per month/FTE)</w:t>
            </w:r>
          </w:p>
        </w:tc>
        <w:tc>
          <w:tcPr>
            <w:tcW w:w="1020" w:type="dxa"/>
            <w:tcBorders>
              <w:top w:val="nil"/>
              <w:left w:val="nil"/>
              <w:bottom w:val="single" w:sz="4" w:space="0" w:color="auto"/>
              <w:right w:val="single" w:sz="4" w:space="0" w:color="auto"/>
            </w:tcBorders>
            <w:shd w:val="clear" w:color="auto" w:fill="auto"/>
            <w:noWrap/>
            <w:vAlign w:val="center"/>
            <w:hideMark/>
          </w:tcPr>
          <w:p w14:paraId="701E3C2C" w14:textId="77777777" w:rsidR="00785800" w:rsidRPr="005E7583" w:rsidRDefault="00785800" w:rsidP="00A34FF4">
            <w:pPr>
              <w:jc w:val="center"/>
              <w:rPr>
                <w:rFonts w:eastAsia="Times New Roman"/>
                <w:sz w:val="18"/>
                <w:szCs w:val="18"/>
              </w:rPr>
            </w:pPr>
            <w:r w:rsidRPr="005E7583">
              <w:rPr>
                <w:rFonts w:eastAsia="Times New Roman"/>
                <w:sz w:val="18"/>
                <w:szCs w:val="18"/>
              </w:rPr>
              <w:t>$3.31</w:t>
            </w:r>
          </w:p>
        </w:tc>
        <w:tc>
          <w:tcPr>
            <w:tcW w:w="855" w:type="dxa"/>
            <w:tcBorders>
              <w:top w:val="nil"/>
              <w:left w:val="nil"/>
              <w:bottom w:val="single" w:sz="4" w:space="0" w:color="auto"/>
              <w:right w:val="single" w:sz="4" w:space="0" w:color="auto"/>
            </w:tcBorders>
            <w:shd w:val="clear" w:color="auto" w:fill="auto"/>
            <w:vAlign w:val="center"/>
            <w:hideMark/>
          </w:tcPr>
          <w:p w14:paraId="52F753B4" w14:textId="77777777" w:rsidR="00785800" w:rsidRPr="005E7583" w:rsidRDefault="00785800" w:rsidP="00A34FF4">
            <w:pPr>
              <w:jc w:val="center"/>
              <w:rPr>
                <w:rFonts w:eastAsia="Times New Roman"/>
                <w:sz w:val="20"/>
                <w:szCs w:val="20"/>
              </w:rPr>
            </w:pPr>
            <w:r w:rsidRPr="005E7583">
              <w:rPr>
                <w:rFonts w:eastAsia="Times New Roman"/>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7552F3A2"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$12 </w:t>
            </w:r>
          </w:p>
        </w:tc>
        <w:tc>
          <w:tcPr>
            <w:tcW w:w="990" w:type="dxa"/>
            <w:tcBorders>
              <w:top w:val="nil"/>
              <w:left w:val="nil"/>
              <w:bottom w:val="single" w:sz="4" w:space="0" w:color="auto"/>
              <w:right w:val="single" w:sz="4" w:space="0" w:color="auto"/>
            </w:tcBorders>
            <w:shd w:val="clear" w:color="auto" w:fill="auto"/>
            <w:vAlign w:val="center"/>
            <w:hideMark/>
          </w:tcPr>
          <w:p w14:paraId="0A59867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$12 </w:t>
            </w:r>
          </w:p>
        </w:tc>
        <w:tc>
          <w:tcPr>
            <w:tcW w:w="900" w:type="dxa"/>
            <w:tcBorders>
              <w:top w:val="nil"/>
              <w:left w:val="nil"/>
              <w:bottom w:val="single" w:sz="4" w:space="0" w:color="auto"/>
              <w:right w:val="single" w:sz="4" w:space="0" w:color="auto"/>
            </w:tcBorders>
            <w:shd w:val="clear" w:color="auto" w:fill="auto"/>
            <w:vAlign w:val="center"/>
            <w:hideMark/>
          </w:tcPr>
          <w:p w14:paraId="27892DF9"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$12 </w:t>
            </w:r>
          </w:p>
        </w:tc>
        <w:tc>
          <w:tcPr>
            <w:tcW w:w="900" w:type="dxa"/>
            <w:tcBorders>
              <w:top w:val="nil"/>
              <w:left w:val="nil"/>
              <w:bottom w:val="single" w:sz="4" w:space="0" w:color="auto"/>
              <w:right w:val="single" w:sz="4" w:space="0" w:color="auto"/>
            </w:tcBorders>
            <w:shd w:val="clear" w:color="auto" w:fill="auto"/>
            <w:vAlign w:val="center"/>
            <w:hideMark/>
          </w:tcPr>
          <w:p w14:paraId="54B564A6"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$12 </w:t>
            </w:r>
          </w:p>
        </w:tc>
        <w:tc>
          <w:tcPr>
            <w:tcW w:w="900" w:type="dxa"/>
            <w:tcBorders>
              <w:top w:val="nil"/>
              <w:left w:val="nil"/>
              <w:bottom w:val="single" w:sz="4" w:space="0" w:color="auto"/>
              <w:right w:val="single" w:sz="4" w:space="0" w:color="auto"/>
            </w:tcBorders>
            <w:shd w:val="clear" w:color="auto" w:fill="auto"/>
            <w:vAlign w:val="center"/>
            <w:hideMark/>
          </w:tcPr>
          <w:p w14:paraId="4DE3212D"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$12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4F040927"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$60 </w:t>
            </w:r>
          </w:p>
        </w:tc>
      </w:tr>
      <w:tr w:rsidR="0000783C" w:rsidRPr="00785800" w14:paraId="55E53483" w14:textId="77777777" w:rsidTr="6504384A">
        <w:trPr>
          <w:trHeight w:val="660"/>
        </w:trPr>
        <w:tc>
          <w:tcPr>
            <w:tcW w:w="2415" w:type="dxa"/>
            <w:tcBorders>
              <w:top w:val="nil"/>
              <w:left w:val="single" w:sz="4" w:space="0" w:color="auto"/>
              <w:bottom w:val="single" w:sz="4" w:space="0" w:color="auto"/>
              <w:right w:val="single" w:sz="4" w:space="0" w:color="auto"/>
            </w:tcBorders>
            <w:shd w:val="clear" w:color="auto" w:fill="E6E6E6"/>
            <w:vAlign w:val="center"/>
            <w:hideMark/>
          </w:tcPr>
          <w:p w14:paraId="74196DA0"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TOTAL FRINGE BENEFITS  </w:t>
            </w:r>
          </w:p>
        </w:tc>
        <w:tc>
          <w:tcPr>
            <w:tcW w:w="1020" w:type="dxa"/>
            <w:tcBorders>
              <w:top w:val="nil"/>
              <w:left w:val="nil"/>
              <w:bottom w:val="single" w:sz="4" w:space="0" w:color="auto"/>
              <w:right w:val="single" w:sz="4" w:space="0" w:color="auto"/>
            </w:tcBorders>
            <w:shd w:val="clear" w:color="auto" w:fill="E6E6E6"/>
            <w:vAlign w:val="center"/>
            <w:hideMark/>
          </w:tcPr>
          <w:p w14:paraId="0E8F9B7F" w14:textId="77777777" w:rsidR="00785800" w:rsidRPr="005E7583" w:rsidRDefault="00785800" w:rsidP="00A34FF4">
            <w:pPr>
              <w:jc w:val="center"/>
              <w:rPr>
                <w:rFonts w:eastAsia="Times New Roman"/>
                <w:color w:val="000000"/>
                <w:sz w:val="18"/>
                <w:szCs w:val="18"/>
              </w:rPr>
            </w:pPr>
            <w:r w:rsidRPr="005E7583">
              <w:rPr>
                <w:rFonts w:eastAsia="Times New Roman"/>
                <w:color w:val="000000" w:themeColor="text1"/>
                <w:sz w:val="18"/>
                <w:szCs w:val="18"/>
              </w:rPr>
              <w:t> </w:t>
            </w:r>
          </w:p>
        </w:tc>
        <w:tc>
          <w:tcPr>
            <w:tcW w:w="855" w:type="dxa"/>
            <w:tcBorders>
              <w:top w:val="nil"/>
              <w:left w:val="nil"/>
              <w:bottom w:val="single" w:sz="4" w:space="0" w:color="auto"/>
              <w:right w:val="single" w:sz="4" w:space="0" w:color="auto"/>
            </w:tcBorders>
            <w:shd w:val="clear" w:color="auto" w:fill="E6E6E6"/>
            <w:vAlign w:val="center"/>
            <w:hideMark/>
          </w:tcPr>
          <w:p w14:paraId="364D2118"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25" w:type="dxa"/>
            <w:tcBorders>
              <w:top w:val="nil"/>
              <w:left w:val="nil"/>
              <w:bottom w:val="single" w:sz="4" w:space="0" w:color="auto"/>
              <w:right w:val="single" w:sz="4" w:space="0" w:color="auto"/>
            </w:tcBorders>
            <w:shd w:val="clear" w:color="auto" w:fill="E6E6E6"/>
            <w:vAlign w:val="center"/>
            <w:hideMark/>
          </w:tcPr>
          <w:p w14:paraId="47FB53E9"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$11,570 </w:t>
            </w:r>
          </w:p>
        </w:tc>
        <w:tc>
          <w:tcPr>
            <w:tcW w:w="990" w:type="dxa"/>
            <w:tcBorders>
              <w:top w:val="nil"/>
              <w:left w:val="nil"/>
              <w:bottom w:val="single" w:sz="4" w:space="0" w:color="auto"/>
              <w:right w:val="single" w:sz="4" w:space="0" w:color="auto"/>
            </w:tcBorders>
            <w:shd w:val="clear" w:color="auto" w:fill="E6E6E6"/>
            <w:vAlign w:val="center"/>
            <w:hideMark/>
          </w:tcPr>
          <w:p w14:paraId="0FCEE258"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$11,570 </w:t>
            </w:r>
          </w:p>
        </w:tc>
        <w:tc>
          <w:tcPr>
            <w:tcW w:w="900" w:type="dxa"/>
            <w:tcBorders>
              <w:top w:val="nil"/>
              <w:left w:val="nil"/>
              <w:bottom w:val="single" w:sz="4" w:space="0" w:color="auto"/>
              <w:right w:val="single" w:sz="4" w:space="0" w:color="auto"/>
            </w:tcBorders>
            <w:shd w:val="clear" w:color="auto" w:fill="E6E6E6"/>
            <w:vAlign w:val="center"/>
            <w:hideMark/>
          </w:tcPr>
          <w:p w14:paraId="3FD709BF" w14:textId="114F36A0" w:rsidR="7CDF0AB1" w:rsidRDefault="7CDF0AB1" w:rsidP="00A34FF4">
            <w:pPr>
              <w:jc w:val="center"/>
              <w:rPr>
                <w:rFonts w:eastAsia="Times New Roman"/>
                <w:color w:val="000000" w:themeColor="text1"/>
                <w:sz w:val="20"/>
                <w:szCs w:val="20"/>
              </w:rPr>
            </w:pPr>
          </w:p>
          <w:p w14:paraId="0ECE1580"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$11,570 </w:t>
            </w:r>
          </w:p>
        </w:tc>
        <w:tc>
          <w:tcPr>
            <w:tcW w:w="900" w:type="dxa"/>
            <w:tcBorders>
              <w:top w:val="nil"/>
              <w:left w:val="nil"/>
              <w:bottom w:val="single" w:sz="4" w:space="0" w:color="auto"/>
              <w:right w:val="single" w:sz="4" w:space="0" w:color="auto"/>
            </w:tcBorders>
            <w:shd w:val="clear" w:color="auto" w:fill="E6E6E6"/>
            <w:vAlign w:val="center"/>
            <w:hideMark/>
          </w:tcPr>
          <w:p w14:paraId="239B3C40" w14:textId="24A66648" w:rsidR="7CDF0AB1" w:rsidRDefault="7CDF0AB1" w:rsidP="00A34FF4">
            <w:pPr>
              <w:jc w:val="center"/>
              <w:rPr>
                <w:rFonts w:eastAsia="Times New Roman"/>
                <w:color w:val="000000" w:themeColor="text1"/>
                <w:sz w:val="20"/>
                <w:szCs w:val="20"/>
              </w:rPr>
            </w:pPr>
          </w:p>
          <w:p w14:paraId="131B8693"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$11,570 </w:t>
            </w:r>
          </w:p>
        </w:tc>
        <w:tc>
          <w:tcPr>
            <w:tcW w:w="900" w:type="dxa"/>
            <w:tcBorders>
              <w:top w:val="nil"/>
              <w:left w:val="nil"/>
              <w:bottom w:val="single" w:sz="4" w:space="0" w:color="auto"/>
              <w:right w:val="single" w:sz="4" w:space="0" w:color="auto"/>
            </w:tcBorders>
            <w:shd w:val="clear" w:color="auto" w:fill="E6E6E6"/>
            <w:vAlign w:val="center"/>
            <w:hideMark/>
          </w:tcPr>
          <w:p w14:paraId="2C151741" w14:textId="7126DCF5" w:rsidR="7CDF0AB1" w:rsidRDefault="7CDF0AB1" w:rsidP="00A34FF4">
            <w:pPr>
              <w:jc w:val="center"/>
              <w:rPr>
                <w:rFonts w:eastAsia="Times New Roman"/>
                <w:color w:val="000000" w:themeColor="text1"/>
                <w:sz w:val="20"/>
                <w:szCs w:val="20"/>
              </w:rPr>
            </w:pPr>
          </w:p>
          <w:p w14:paraId="22067C49"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$11,570 </w:t>
            </w:r>
          </w:p>
        </w:tc>
        <w:tc>
          <w:tcPr>
            <w:tcW w:w="1021" w:type="dxa"/>
            <w:tcBorders>
              <w:top w:val="nil"/>
              <w:left w:val="single" w:sz="4" w:space="0" w:color="auto"/>
              <w:bottom w:val="single" w:sz="4" w:space="0" w:color="auto"/>
              <w:right w:val="single" w:sz="4" w:space="0" w:color="auto"/>
            </w:tcBorders>
            <w:shd w:val="clear" w:color="auto" w:fill="E6E6E6"/>
            <w:vAlign w:val="center"/>
            <w:hideMark/>
          </w:tcPr>
          <w:p w14:paraId="7E672436"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$57,850 </w:t>
            </w:r>
          </w:p>
        </w:tc>
      </w:tr>
      <w:tr w:rsidR="0000783C" w:rsidRPr="00785800" w14:paraId="7C0720B6" w14:textId="77777777" w:rsidTr="6504384A">
        <w:trPr>
          <w:trHeight w:val="107"/>
        </w:trPr>
        <w:tc>
          <w:tcPr>
            <w:tcW w:w="2415" w:type="dxa"/>
            <w:tcBorders>
              <w:top w:val="nil"/>
              <w:left w:val="single" w:sz="4" w:space="0" w:color="auto"/>
              <w:bottom w:val="single" w:sz="4" w:space="0" w:color="auto"/>
              <w:right w:val="single" w:sz="4" w:space="0" w:color="auto"/>
            </w:tcBorders>
            <w:shd w:val="clear" w:color="auto" w:fill="E6E6E6"/>
            <w:vAlign w:val="center"/>
            <w:hideMark/>
          </w:tcPr>
          <w:p w14:paraId="551C5A08"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TOTAL DIRECT</w:t>
            </w:r>
          </w:p>
        </w:tc>
        <w:tc>
          <w:tcPr>
            <w:tcW w:w="1020" w:type="dxa"/>
            <w:tcBorders>
              <w:top w:val="nil"/>
              <w:left w:val="nil"/>
              <w:bottom w:val="single" w:sz="4" w:space="0" w:color="auto"/>
              <w:right w:val="single" w:sz="4" w:space="0" w:color="auto"/>
            </w:tcBorders>
            <w:shd w:val="clear" w:color="auto" w:fill="E6E6E6"/>
            <w:vAlign w:val="center"/>
            <w:hideMark/>
          </w:tcPr>
          <w:p w14:paraId="3BB6D9F2" w14:textId="77777777" w:rsidR="00785800" w:rsidRPr="005E7583" w:rsidRDefault="00785800" w:rsidP="00A34FF4">
            <w:pPr>
              <w:jc w:val="center"/>
              <w:rPr>
                <w:rFonts w:eastAsia="Times New Roman"/>
                <w:b/>
                <w:color w:val="000000"/>
                <w:sz w:val="18"/>
                <w:szCs w:val="18"/>
              </w:rPr>
            </w:pPr>
            <w:r w:rsidRPr="005E7583">
              <w:rPr>
                <w:rFonts w:eastAsia="Times New Roman"/>
                <w:b/>
                <w:color w:val="000000" w:themeColor="text1"/>
                <w:sz w:val="18"/>
                <w:szCs w:val="18"/>
              </w:rPr>
              <w:t> </w:t>
            </w:r>
          </w:p>
        </w:tc>
        <w:tc>
          <w:tcPr>
            <w:tcW w:w="855" w:type="dxa"/>
            <w:tcBorders>
              <w:top w:val="nil"/>
              <w:left w:val="nil"/>
              <w:bottom w:val="single" w:sz="4" w:space="0" w:color="auto"/>
              <w:right w:val="single" w:sz="4" w:space="0" w:color="auto"/>
            </w:tcBorders>
            <w:shd w:val="clear" w:color="auto" w:fill="E6E6E6"/>
            <w:vAlign w:val="center"/>
            <w:hideMark/>
          </w:tcPr>
          <w:p w14:paraId="70D3E81C"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w:t>
            </w:r>
          </w:p>
        </w:tc>
        <w:tc>
          <w:tcPr>
            <w:tcW w:w="925" w:type="dxa"/>
            <w:tcBorders>
              <w:top w:val="nil"/>
              <w:left w:val="nil"/>
              <w:bottom w:val="single" w:sz="4" w:space="0" w:color="auto"/>
              <w:right w:val="single" w:sz="4" w:space="0" w:color="auto"/>
            </w:tcBorders>
            <w:shd w:val="clear" w:color="auto" w:fill="E6E6E6"/>
            <w:vAlign w:val="center"/>
            <w:hideMark/>
          </w:tcPr>
          <w:p w14:paraId="0C7C7A27" w14:textId="77777777" w:rsidR="00785800" w:rsidRPr="005E7583" w:rsidRDefault="00785800" w:rsidP="00A34FF4">
            <w:pPr>
              <w:jc w:val="center"/>
              <w:rPr>
                <w:rFonts w:eastAsia="Times New Roman"/>
                <w:b/>
                <w:sz w:val="20"/>
                <w:szCs w:val="20"/>
              </w:rPr>
            </w:pPr>
            <w:r w:rsidRPr="005E7583">
              <w:rPr>
                <w:rFonts w:eastAsia="Times New Roman"/>
                <w:b/>
                <w:sz w:val="20"/>
                <w:szCs w:val="20"/>
              </w:rPr>
              <w:t xml:space="preserve">$33,435 </w:t>
            </w:r>
          </w:p>
        </w:tc>
        <w:tc>
          <w:tcPr>
            <w:tcW w:w="990" w:type="dxa"/>
            <w:tcBorders>
              <w:top w:val="nil"/>
              <w:left w:val="nil"/>
              <w:bottom w:val="single" w:sz="4" w:space="0" w:color="auto"/>
              <w:right w:val="single" w:sz="4" w:space="0" w:color="auto"/>
            </w:tcBorders>
            <w:shd w:val="clear" w:color="auto" w:fill="E6E6E6"/>
            <w:vAlign w:val="center"/>
            <w:hideMark/>
          </w:tcPr>
          <w:p w14:paraId="1E66E6F0" w14:textId="77777777" w:rsidR="00785800" w:rsidRPr="005E7583" w:rsidRDefault="00785800" w:rsidP="00A34FF4">
            <w:pPr>
              <w:jc w:val="center"/>
              <w:rPr>
                <w:rFonts w:eastAsia="Times New Roman"/>
                <w:b/>
                <w:sz w:val="20"/>
                <w:szCs w:val="20"/>
              </w:rPr>
            </w:pPr>
            <w:r w:rsidRPr="005E7583">
              <w:rPr>
                <w:rFonts w:eastAsia="Times New Roman"/>
                <w:b/>
                <w:sz w:val="20"/>
                <w:szCs w:val="20"/>
              </w:rPr>
              <w:t xml:space="preserve">$33,435 </w:t>
            </w:r>
          </w:p>
        </w:tc>
        <w:tc>
          <w:tcPr>
            <w:tcW w:w="900" w:type="dxa"/>
            <w:tcBorders>
              <w:top w:val="nil"/>
              <w:left w:val="nil"/>
              <w:bottom w:val="single" w:sz="4" w:space="0" w:color="auto"/>
              <w:right w:val="single" w:sz="4" w:space="0" w:color="auto"/>
            </w:tcBorders>
            <w:shd w:val="clear" w:color="auto" w:fill="E6E6E6"/>
            <w:vAlign w:val="center"/>
            <w:hideMark/>
          </w:tcPr>
          <w:p w14:paraId="4901FCC8" w14:textId="2FE2422D" w:rsidR="7CDF0AB1" w:rsidRDefault="7CDF0AB1" w:rsidP="00A34FF4">
            <w:pPr>
              <w:jc w:val="center"/>
              <w:rPr>
                <w:rFonts w:eastAsia="Times New Roman"/>
                <w:b/>
                <w:bCs/>
                <w:sz w:val="20"/>
                <w:szCs w:val="20"/>
              </w:rPr>
            </w:pPr>
          </w:p>
          <w:p w14:paraId="6CB64493" w14:textId="77777777" w:rsidR="00785800" w:rsidRPr="005E7583" w:rsidRDefault="00785800" w:rsidP="00A34FF4">
            <w:pPr>
              <w:jc w:val="center"/>
              <w:rPr>
                <w:rFonts w:eastAsia="Times New Roman"/>
                <w:b/>
                <w:sz w:val="20"/>
                <w:szCs w:val="20"/>
              </w:rPr>
            </w:pPr>
            <w:r w:rsidRPr="005E7583">
              <w:rPr>
                <w:rFonts w:eastAsia="Times New Roman"/>
                <w:b/>
                <w:sz w:val="20"/>
                <w:szCs w:val="20"/>
              </w:rPr>
              <w:t xml:space="preserve">$33,435 </w:t>
            </w:r>
          </w:p>
        </w:tc>
        <w:tc>
          <w:tcPr>
            <w:tcW w:w="900" w:type="dxa"/>
            <w:tcBorders>
              <w:top w:val="nil"/>
              <w:left w:val="nil"/>
              <w:bottom w:val="single" w:sz="4" w:space="0" w:color="auto"/>
              <w:right w:val="single" w:sz="4" w:space="0" w:color="auto"/>
            </w:tcBorders>
            <w:shd w:val="clear" w:color="auto" w:fill="E6E6E6"/>
            <w:vAlign w:val="center"/>
            <w:hideMark/>
          </w:tcPr>
          <w:p w14:paraId="72CC7B4D" w14:textId="45D48ED0" w:rsidR="7CDF0AB1" w:rsidRDefault="7CDF0AB1" w:rsidP="00A34FF4">
            <w:pPr>
              <w:jc w:val="center"/>
              <w:rPr>
                <w:rFonts w:eastAsia="Times New Roman"/>
                <w:b/>
                <w:bCs/>
                <w:sz w:val="20"/>
                <w:szCs w:val="20"/>
              </w:rPr>
            </w:pPr>
          </w:p>
          <w:p w14:paraId="2771AEDE" w14:textId="77777777" w:rsidR="00785800" w:rsidRPr="005E7583" w:rsidRDefault="00785800" w:rsidP="00A34FF4">
            <w:pPr>
              <w:jc w:val="center"/>
              <w:rPr>
                <w:rFonts w:eastAsia="Times New Roman"/>
                <w:b/>
                <w:sz w:val="20"/>
                <w:szCs w:val="20"/>
              </w:rPr>
            </w:pPr>
            <w:r w:rsidRPr="005E7583">
              <w:rPr>
                <w:rFonts w:eastAsia="Times New Roman"/>
                <w:b/>
                <w:sz w:val="20"/>
                <w:szCs w:val="20"/>
              </w:rPr>
              <w:t xml:space="preserve">$33,435 </w:t>
            </w:r>
          </w:p>
        </w:tc>
        <w:tc>
          <w:tcPr>
            <w:tcW w:w="900" w:type="dxa"/>
            <w:tcBorders>
              <w:top w:val="nil"/>
              <w:left w:val="nil"/>
              <w:bottom w:val="single" w:sz="4" w:space="0" w:color="auto"/>
              <w:right w:val="single" w:sz="4" w:space="0" w:color="auto"/>
            </w:tcBorders>
            <w:shd w:val="clear" w:color="auto" w:fill="E6E6E6"/>
            <w:vAlign w:val="center"/>
            <w:hideMark/>
          </w:tcPr>
          <w:p w14:paraId="1E69CAAA" w14:textId="2B5D59D0" w:rsidR="7CDF0AB1" w:rsidRDefault="7CDF0AB1" w:rsidP="00A34FF4">
            <w:pPr>
              <w:jc w:val="center"/>
              <w:rPr>
                <w:rFonts w:eastAsia="Times New Roman"/>
                <w:b/>
                <w:bCs/>
                <w:sz w:val="20"/>
                <w:szCs w:val="20"/>
              </w:rPr>
            </w:pPr>
          </w:p>
          <w:p w14:paraId="4F4E510A" w14:textId="77777777" w:rsidR="00785800" w:rsidRPr="005E7583" w:rsidRDefault="00785800" w:rsidP="00A34FF4">
            <w:pPr>
              <w:jc w:val="center"/>
              <w:rPr>
                <w:rFonts w:eastAsia="Times New Roman"/>
                <w:b/>
                <w:sz w:val="20"/>
                <w:szCs w:val="20"/>
              </w:rPr>
            </w:pPr>
            <w:r w:rsidRPr="005E7583">
              <w:rPr>
                <w:rFonts w:eastAsia="Times New Roman"/>
                <w:b/>
                <w:sz w:val="20"/>
                <w:szCs w:val="20"/>
              </w:rPr>
              <w:t xml:space="preserve">$33,435 </w:t>
            </w:r>
          </w:p>
        </w:tc>
        <w:tc>
          <w:tcPr>
            <w:tcW w:w="1021" w:type="dxa"/>
            <w:tcBorders>
              <w:top w:val="nil"/>
              <w:left w:val="nil"/>
              <w:bottom w:val="single" w:sz="4" w:space="0" w:color="auto"/>
              <w:right w:val="single" w:sz="4" w:space="0" w:color="auto"/>
            </w:tcBorders>
            <w:shd w:val="clear" w:color="auto" w:fill="E6E6E6"/>
            <w:vAlign w:val="center"/>
            <w:hideMark/>
          </w:tcPr>
          <w:p w14:paraId="57A34851" w14:textId="05A7D213" w:rsidR="7CDF0AB1" w:rsidRDefault="7CDF0AB1" w:rsidP="00A34FF4">
            <w:pPr>
              <w:jc w:val="center"/>
              <w:rPr>
                <w:rFonts w:eastAsia="Times New Roman"/>
                <w:b/>
                <w:bCs/>
                <w:sz w:val="20"/>
                <w:szCs w:val="20"/>
              </w:rPr>
            </w:pPr>
          </w:p>
          <w:p w14:paraId="1851250D" w14:textId="77777777" w:rsidR="00785800" w:rsidRPr="005E7583" w:rsidRDefault="00785800" w:rsidP="00A34FF4">
            <w:pPr>
              <w:jc w:val="center"/>
              <w:rPr>
                <w:rFonts w:eastAsia="Times New Roman"/>
                <w:b/>
                <w:sz w:val="20"/>
                <w:szCs w:val="20"/>
              </w:rPr>
            </w:pPr>
            <w:r w:rsidRPr="005E7583">
              <w:rPr>
                <w:rFonts w:eastAsia="Times New Roman"/>
                <w:b/>
                <w:sz w:val="20"/>
                <w:szCs w:val="20"/>
              </w:rPr>
              <w:t xml:space="preserve">$167,175 </w:t>
            </w:r>
          </w:p>
        </w:tc>
      </w:tr>
      <w:tr w:rsidR="00EB4313" w:rsidRPr="005E7583" w14:paraId="26186AA6" w14:textId="77777777" w:rsidTr="6504384A">
        <w:trPr>
          <w:trHeight w:val="197"/>
        </w:trPr>
        <w:tc>
          <w:tcPr>
            <w:tcW w:w="2415" w:type="dxa"/>
            <w:tcBorders>
              <w:top w:val="nil"/>
              <w:left w:val="single" w:sz="4" w:space="0" w:color="auto"/>
              <w:bottom w:val="single" w:sz="4" w:space="0" w:color="auto"/>
              <w:right w:val="single" w:sz="4" w:space="0" w:color="auto"/>
            </w:tcBorders>
            <w:shd w:val="clear" w:color="auto" w:fill="auto"/>
            <w:noWrap/>
            <w:vAlign w:val="center"/>
            <w:hideMark/>
          </w:tcPr>
          <w:p w14:paraId="387EE0C7"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Indirect Costs</w:t>
            </w:r>
          </w:p>
        </w:tc>
        <w:tc>
          <w:tcPr>
            <w:tcW w:w="1020" w:type="dxa"/>
            <w:tcBorders>
              <w:top w:val="nil"/>
              <w:left w:val="nil"/>
              <w:bottom w:val="single" w:sz="4" w:space="0" w:color="auto"/>
              <w:right w:val="single" w:sz="4" w:space="0" w:color="auto"/>
            </w:tcBorders>
            <w:shd w:val="clear" w:color="auto" w:fill="auto"/>
            <w:noWrap/>
            <w:vAlign w:val="center"/>
            <w:hideMark/>
          </w:tcPr>
          <w:p w14:paraId="7681F31A" w14:textId="77777777" w:rsidR="00785800" w:rsidRPr="005E7583" w:rsidRDefault="00785800" w:rsidP="00A34FF4">
            <w:pPr>
              <w:jc w:val="center"/>
              <w:rPr>
                <w:rFonts w:eastAsia="Times New Roman"/>
                <w:b/>
                <w:color w:val="000000"/>
                <w:sz w:val="18"/>
                <w:szCs w:val="18"/>
              </w:rPr>
            </w:pPr>
            <w:r w:rsidRPr="005E7583">
              <w:rPr>
                <w:rFonts w:eastAsia="Times New Roman"/>
                <w:b/>
                <w:color w:val="000000" w:themeColor="text1"/>
                <w:sz w:val="18"/>
                <w:szCs w:val="18"/>
              </w:rPr>
              <w:t>Rate</w:t>
            </w:r>
          </w:p>
        </w:tc>
        <w:tc>
          <w:tcPr>
            <w:tcW w:w="855" w:type="dxa"/>
            <w:tcBorders>
              <w:top w:val="nil"/>
              <w:left w:val="nil"/>
              <w:bottom w:val="single" w:sz="4" w:space="0" w:color="auto"/>
              <w:right w:val="single" w:sz="4" w:space="0" w:color="auto"/>
            </w:tcBorders>
            <w:shd w:val="clear" w:color="auto" w:fill="auto"/>
            <w:noWrap/>
            <w:vAlign w:val="center"/>
            <w:hideMark/>
          </w:tcPr>
          <w:p w14:paraId="72583137" w14:textId="77777777" w:rsidR="00785800" w:rsidRPr="005E7583" w:rsidRDefault="00785800" w:rsidP="00A34FF4">
            <w:pPr>
              <w:jc w:val="center"/>
              <w:rPr>
                <w:rFonts w:eastAsia="Times New Roman" w:cstheme="minorHAnsi"/>
                <w:b/>
                <w:bCs/>
                <w:color w:val="000000"/>
                <w:sz w:val="20"/>
                <w:szCs w:val="20"/>
              </w:rPr>
            </w:pPr>
            <w:r w:rsidRPr="005E7583">
              <w:rPr>
                <w:rFonts w:eastAsia="Times New Roman" w:cstheme="minorHAnsi"/>
                <w:b/>
                <w:bCs/>
                <w:color w:val="000000"/>
                <w:sz w:val="20"/>
                <w:szCs w:val="20"/>
              </w:rPr>
              <w:t> </w:t>
            </w:r>
          </w:p>
        </w:tc>
        <w:tc>
          <w:tcPr>
            <w:tcW w:w="925" w:type="dxa"/>
            <w:tcBorders>
              <w:top w:val="nil"/>
              <w:left w:val="nil"/>
              <w:bottom w:val="single" w:sz="4" w:space="0" w:color="auto"/>
              <w:right w:val="single" w:sz="4" w:space="0" w:color="auto"/>
            </w:tcBorders>
            <w:shd w:val="clear" w:color="auto" w:fill="auto"/>
            <w:noWrap/>
            <w:vAlign w:val="center"/>
            <w:hideMark/>
          </w:tcPr>
          <w:p w14:paraId="3C650617"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90" w:type="dxa"/>
            <w:tcBorders>
              <w:top w:val="nil"/>
              <w:left w:val="nil"/>
              <w:bottom w:val="single" w:sz="4" w:space="0" w:color="auto"/>
              <w:right w:val="single" w:sz="4" w:space="0" w:color="auto"/>
            </w:tcBorders>
            <w:shd w:val="clear" w:color="auto" w:fill="auto"/>
            <w:noWrap/>
            <w:vAlign w:val="center"/>
            <w:hideMark/>
          </w:tcPr>
          <w:p w14:paraId="0AA7649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noWrap/>
            <w:vAlign w:val="center"/>
            <w:hideMark/>
          </w:tcPr>
          <w:p w14:paraId="52CBC715"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noWrap/>
            <w:vAlign w:val="center"/>
            <w:hideMark/>
          </w:tcPr>
          <w:p w14:paraId="6EA1479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900" w:type="dxa"/>
            <w:tcBorders>
              <w:top w:val="nil"/>
              <w:left w:val="nil"/>
              <w:bottom w:val="single" w:sz="4" w:space="0" w:color="auto"/>
              <w:right w:val="single" w:sz="4" w:space="0" w:color="auto"/>
            </w:tcBorders>
            <w:shd w:val="clear" w:color="auto" w:fill="auto"/>
            <w:noWrap/>
            <w:vAlign w:val="center"/>
            <w:hideMark/>
          </w:tcPr>
          <w:p w14:paraId="3C45742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c>
          <w:tcPr>
            <w:tcW w:w="1021" w:type="dxa"/>
            <w:tcBorders>
              <w:top w:val="nil"/>
              <w:left w:val="single" w:sz="4" w:space="0" w:color="auto"/>
              <w:bottom w:val="single" w:sz="4" w:space="0" w:color="auto"/>
              <w:right w:val="single" w:sz="4" w:space="0" w:color="auto"/>
            </w:tcBorders>
            <w:shd w:val="clear" w:color="auto" w:fill="auto"/>
            <w:noWrap/>
            <w:vAlign w:val="center"/>
            <w:hideMark/>
          </w:tcPr>
          <w:p w14:paraId="0515883E"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w:t>
            </w:r>
          </w:p>
        </w:tc>
      </w:tr>
      <w:tr w:rsidR="00EB4313" w:rsidRPr="00785800" w14:paraId="067EFF4D" w14:textId="77777777" w:rsidTr="6504384A">
        <w:trPr>
          <w:trHeight w:val="116"/>
        </w:trPr>
        <w:tc>
          <w:tcPr>
            <w:tcW w:w="2415" w:type="dxa"/>
            <w:tcBorders>
              <w:top w:val="nil"/>
              <w:left w:val="single" w:sz="4" w:space="0" w:color="auto"/>
              <w:bottom w:val="single" w:sz="4" w:space="0" w:color="auto"/>
              <w:right w:val="single" w:sz="4" w:space="0" w:color="auto"/>
            </w:tcBorders>
            <w:shd w:val="clear" w:color="auto" w:fill="auto"/>
            <w:vAlign w:val="center"/>
            <w:hideMark/>
          </w:tcPr>
          <w:p w14:paraId="11C017A8" w14:textId="77777777" w:rsidR="00785800" w:rsidRPr="005E7583" w:rsidRDefault="00785800" w:rsidP="00A34FF4">
            <w:pPr>
              <w:jc w:val="center"/>
              <w:rPr>
                <w:rFonts w:eastAsia="Times New Roman"/>
                <w:sz w:val="20"/>
                <w:szCs w:val="20"/>
              </w:rPr>
            </w:pPr>
            <w:r w:rsidRPr="005E7583">
              <w:rPr>
                <w:rFonts w:eastAsia="Times New Roman"/>
                <w:sz w:val="20"/>
                <w:szCs w:val="20"/>
              </w:rPr>
              <w:t xml:space="preserve">FY24 approved IDC rate. </w:t>
            </w:r>
          </w:p>
        </w:tc>
        <w:tc>
          <w:tcPr>
            <w:tcW w:w="1020" w:type="dxa"/>
            <w:tcBorders>
              <w:top w:val="nil"/>
              <w:left w:val="nil"/>
              <w:bottom w:val="single" w:sz="4" w:space="0" w:color="auto"/>
              <w:right w:val="single" w:sz="4" w:space="0" w:color="auto"/>
            </w:tcBorders>
            <w:shd w:val="clear" w:color="auto" w:fill="auto"/>
            <w:vAlign w:val="center"/>
            <w:hideMark/>
          </w:tcPr>
          <w:p w14:paraId="11584819" w14:textId="77777777" w:rsidR="00785800" w:rsidRPr="005E7583" w:rsidRDefault="00785800" w:rsidP="00A34FF4">
            <w:pPr>
              <w:jc w:val="center"/>
              <w:rPr>
                <w:rFonts w:eastAsia="Times New Roman"/>
                <w:color w:val="000000"/>
                <w:sz w:val="18"/>
                <w:szCs w:val="18"/>
              </w:rPr>
            </w:pPr>
            <w:r w:rsidRPr="005E7583">
              <w:rPr>
                <w:rFonts w:eastAsia="Times New Roman"/>
                <w:color w:val="000000" w:themeColor="text1"/>
                <w:sz w:val="18"/>
                <w:szCs w:val="18"/>
              </w:rPr>
              <w:t>20.89%</w:t>
            </w:r>
          </w:p>
        </w:tc>
        <w:tc>
          <w:tcPr>
            <w:tcW w:w="855" w:type="dxa"/>
            <w:tcBorders>
              <w:top w:val="nil"/>
              <w:left w:val="nil"/>
              <w:bottom w:val="single" w:sz="4" w:space="0" w:color="auto"/>
              <w:right w:val="single" w:sz="4" w:space="0" w:color="auto"/>
            </w:tcBorders>
            <w:shd w:val="clear" w:color="auto" w:fill="auto"/>
            <w:vAlign w:val="center"/>
            <w:hideMark/>
          </w:tcPr>
          <w:p w14:paraId="02D2A62D" w14:textId="77777777" w:rsidR="00785800" w:rsidRPr="005E7583" w:rsidRDefault="00785800" w:rsidP="00A34FF4">
            <w:pPr>
              <w:jc w:val="center"/>
              <w:rPr>
                <w:rFonts w:eastAsia="Times New Roman" w:cstheme="minorHAnsi"/>
                <w:color w:val="000000"/>
                <w:sz w:val="20"/>
                <w:szCs w:val="20"/>
              </w:rPr>
            </w:pPr>
            <w:r w:rsidRPr="005E7583">
              <w:rPr>
                <w:rFonts w:eastAsia="Times New Roman" w:cstheme="minorHAnsi"/>
                <w:color w:val="000000"/>
                <w:sz w:val="20"/>
                <w:szCs w:val="20"/>
              </w:rPr>
              <w:t> </w:t>
            </w:r>
          </w:p>
        </w:tc>
        <w:tc>
          <w:tcPr>
            <w:tcW w:w="925" w:type="dxa"/>
            <w:tcBorders>
              <w:top w:val="nil"/>
              <w:left w:val="nil"/>
              <w:bottom w:val="single" w:sz="4" w:space="0" w:color="auto"/>
              <w:right w:val="single" w:sz="4" w:space="0" w:color="auto"/>
            </w:tcBorders>
            <w:shd w:val="clear" w:color="auto" w:fill="auto"/>
            <w:vAlign w:val="center"/>
            <w:hideMark/>
          </w:tcPr>
          <w:p w14:paraId="663DBD93"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$6,985 </w:t>
            </w:r>
          </w:p>
        </w:tc>
        <w:tc>
          <w:tcPr>
            <w:tcW w:w="990" w:type="dxa"/>
            <w:tcBorders>
              <w:top w:val="nil"/>
              <w:left w:val="nil"/>
              <w:bottom w:val="single" w:sz="4" w:space="0" w:color="auto"/>
              <w:right w:val="single" w:sz="4" w:space="0" w:color="auto"/>
            </w:tcBorders>
            <w:shd w:val="clear" w:color="auto" w:fill="auto"/>
            <w:vAlign w:val="center"/>
            <w:hideMark/>
          </w:tcPr>
          <w:p w14:paraId="699E9734"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$6,985 </w:t>
            </w:r>
          </w:p>
        </w:tc>
        <w:tc>
          <w:tcPr>
            <w:tcW w:w="900" w:type="dxa"/>
            <w:tcBorders>
              <w:top w:val="nil"/>
              <w:left w:val="nil"/>
              <w:bottom w:val="single" w:sz="4" w:space="0" w:color="auto"/>
              <w:right w:val="single" w:sz="4" w:space="0" w:color="auto"/>
            </w:tcBorders>
            <w:shd w:val="clear" w:color="auto" w:fill="auto"/>
            <w:vAlign w:val="center"/>
            <w:hideMark/>
          </w:tcPr>
          <w:p w14:paraId="041B9ED4"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$6,985 </w:t>
            </w:r>
          </w:p>
        </w:tc>
        <w:tc>
          <w:tcPr>
            <w:tcW w:w="900" w:type="dxa"/>
            <w:tcBorders>
              <w:top w:val="nil"/>
              <w:left w:val="nil"/>
              <w:bottom w:val="single" w:sz="4" w:space="0" w:color="auto"/>
              <w:right w:val="single" w:sz="4" w:space="0" w:color="auto"/>
            </w:tcBorders>
            <w:shd w:val="clear" w:color="auto" w:fill="auto"/>
            <w:vAlign w:val="center"/>
            <w:hideMark/>
          </w:tcPr>
          <w:p w14:paraId="32A8E4F0"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$6,985 </w:t>
            </w:r>
          </w:p>
        </w:tc>
        <w:tc>
          <w:tcPr>
            <w:tcW w:w="900" w:type="dxa"/>
            <w:tcBorders>
              <w:top w:val="nil"/>
              <w:left w:val="nil"/>
              <w:bottom w:val="single" w:sz="4" w:space="0" w:color="auto"/>
              <w:right w:val="single" w:sz="4" w:space="0" w:color="auto"/>
            </w:tcBorders>
            <w:shd w:val="clear" w:color="auto" w:fill="auto"/>
            <w:vAlign w:val="center"/>
            <w:hideMark/>
          </w:tcPr>
          <w:p w14:paraId="14638E54"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$6,985 </w:t>
            </w:r>
          </w:p>
        </w:tc>
        <w:tc>
          <w:tcPr>
            <w:tcW w:w="1021" w:type="dxa"/>
            <w:tcBorders>
              <w:top w:val="nil"/>
              <w:left w:val="single" w:sz="4" w:space="0" w:color="auto"/>
              <w:bottom w:val="single" w:sz="4" w:space="0" w:color="auto"/>
              <w:right w:val="single" w:sz="4" w:space="0" w:color="auto"/>
            </w:tcBorders>
            <w:shd w:val="clear" w:color="auto" w:fill="auto"/>
            <w:vAlign w:val="center"/>
            <w:hideMark/>
          </w:tcPr>
          <w:p w14:paraId="26C8F580" w14:textId="77777777" w:rsidR="00785800" w:rsidRPr="005E7583" w:rsidRDefault="00785800" w:rsidP="00A34FF4">
            <w:pPr>
              <w:jc w:val="center"/>
              <w:rPr>
                <w:rFonts w:eastAsia="Times New Roman"/>
                <w:color w:val="000000"/>
                <w:sz w:val="20"/>
                <w:szCs w:val="20"/>
              </w:rPr>
            </w:pPr>
            <w:r w:rsidRPr="005E7583">
              <w:rPr>
                <w:rFonts w:eastAsia="Times New Roman"/>
                <w:color w:val="000000" w:themeColor="text1"/>
                <w:sz w:val="20"/>
                <w:szCs w:val="20"/>
              </w:rPr>
              <w:t xml:space="preserve">$34,925 </w:t>
            </w:r>
          </w:p>
        </w:tc>
      </w:tr>
      <w:tr w:rsidR="0000783C" w:rsidRPr="00785800" w14:paraId="79772168" w14:textId="77777777" w:rsidTr="6504384A">
        <w:trPr>
          <w:trHeight w:val="143"/>
        </w:trPr>
        <w:tc>
          <w:tcPr>
            <w:tcW w:w="2415" w:type="dxa"/>
            <w:tcBorders>
              <w:top w:val="nil"/>
              <w:left w:val="single" w:sz="4" w:space="0" w:color="auto"/>
              <w:bottom w:val="single" w:sz="4" w:space="0" w:color="auto"/>
              <w:right w:val="single" w:sz="4" w:space="0" w:color="auto"/>
            </w:tcBorders>
            <w:shd w:val="clear" w:color="auto" w:fill="E6E6E6"/>
            <w:vAlign w:val="center"/>
            <w:hideMark/>
          </w:tcPr>
          <w:p w14:paraId="5114F19B"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TOTAL INDIRECT </w:t>
            </w:r>
          </w:p>
        </w:tc>
        <w:tc>
          <w:tcPr>
            <w:tcW w:w="1020" w:type="dxa"/>
            <w:tcBorders>
              <w:top w:val="nil"/>
              <w:left w:val="nil"/>
              <w:bottom w:val="single" w:sz="4" w:space="0" w:color="auto"/>
              <w:right w:val="single" w:sz="4" w:space="0" w:color="auto"/>
            </w:tcBorders>
            <w:shd w:val="clear" w:color="auto" w:fill="E6E6E6"/>
            <w:vAlign w:val="center"/>
            <w:hideMark/>
          </w:tcPr>
          <w:p w14:paraId="2B85AFD6" w14:textId="77777777" w:rsidR="00785800" w:rsidRPr="005E7583" w:rsidRDefault="00785800" w:rsidP="00A34FF4">
            <w:pPr>
              <w:jc w:val="center"/>
              <w:rPr>
                <w:rFonts w:eastAsia="Times New Roman"/>
                <w:b/>
                <w:color w:val="000000"/>
                <w:sz w:val="18"/>
                <w:szCs w:val="18"/>
              </w:rPr>
            </w:pPr>
            <w:r w:rsidRPr="005E7583">
              <w:rPr>
                <w:rFonts w:eastAsia="Times New Roman"/>
                <w:b/>
                <w:color w:val="000000" w:themeColor="text1"/>
                <w:sz w:val="18"/>
                <w:szCs w:val="18"/>
              </w:rPr>
              <w:t> </w:t>
            </w:r>
          </w:p>
        </w:tc>
        <w:tc>
          <w:tcPr>
            <w:tcW w:w="855" w:type="dxa"/>
            <w:tcBorders>
              <w:top w:val="nil"/>
              <w:left w:val="nil"/>
              <w:bottom w:val="single" w:sz="4" w:space="0" w:color="auto"/>
              <w:right w:val="single" w:sz="4" w:space="0" w:color="auto"/>
            </w:tcBorders>
            <w:shd w:val="clear" w:color="auto" w:fill="E6E6E6"/>
            <w:vAlign w:val="center"/>
            <w:hideMark/>
          </w:tcPr>
          <w:p w14:paraId="42B76721"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w:t>
            </w:r>
          </w:p>
        </w:tc>
        <w:tc>
          <w:tcPr>
            <w:tcW w:w="925" w:type="dxa"/>
            <w:tcBorders>
              <w:top w:val="nil"/>
              <w:left w:val="nil"/>
              <w:bottom w:val="single" w:sz="4" w:space="0" w:color="auto"/>
              <w:right w:val="single" w:sz="4" w:space="0" w:color="auto"/>
            </w:tcBorders>
            <w:shd w:val="clear" w:color="auto" w:fill="E6E6E6"/>
            <w:vAlign w:val="center"/>
            <w:hideMark/>
          </w:tcPr>
          <w:p w14:paraId="10FC3448"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$6,985 </w:t>
            </w:r>
          </w:p>
        </w:tc>
        <w:tc>
          <w:tcPr>
            <w:tcW w:w="990" w:type="dxa"/>
            <w:tcBorders>
              <w:top w:val="nil"/>
              <w:left w:val="nil"/>
              <w:bottom w:val="single" w:sz="4" w:space="0" w:color="auto"/>
              <w:right w:val="single" w:sz="4" w:space="0" w:color="auto"/>
            </w:tcBorders>
            <w:shd w:val="clear" w:color="auto" w:fill="E6E6E6"/>
            <w:vAlign w:val="center"/>
            <w:hideMark/>
          </w:tcPr>
          <w:p w14:paraId="366E7916"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$6,985 </w:t>
            </w:r>
          </w:p>
        </w:tc>
        <w:tc>
          <w:tcPr>
            <w:tcW w:w="900" w:type="dxa"/>
            <w:tcBorders>
              <w:top w:val="nil"/>
              <w:left w:val="nil"/>
              <w:bottom w:val="single" w:sz="4" w:space="0" w:color="auto"/>
              <w:right w:val="single" w:sz="4" w:space="0" w:color="auto"/>
            </w:tcBorders>
            <w:shd w:val="clear" w:color="auto" w:fill="E6E6E6"/>
            <w:vAlign w:val="center"/>
            <w:hideMark/>
          </w:tcPr>
          <w:p w14:paraId="47280D0B"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$6,985 </w:t>
            </w:r>
          </w:p>
        </w:tc>
        <w:tc>
          <w:tcPr>
            <w:tcW w:w="900" w:type="dxa"/>
            <w:tcBorders>
              <w:top w:val="nil"/>
              <w:left w:val="nil"/>
              <w:bottom w:val="single" w:sz="4" w:space="0" w:color="auto"/>
              <w:right w:val="single" w:sz="4" w:space="0" w:color="auto"/>
            </w:tcBorders>
            <w:shd w:val="clear" w:color="auto" w:fill="E6E6E6"/>
            <w:vAlign w:val="center"/>
            <w:hideMark/>
          </w:tcPr>
          <w:p w14:paraId="668946D8"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$6,985 </w:t>
            </w:r>
          </w:p>
        </w:tc>
        <w:tc>
          <w:tcPr>
            <w:tcW w:w="900" w:type="dxa"/>
            <w:tcBorders>
              <w:top w:val="nil"/>
              <w:left w:val="nil"/>
              <w:bottom w:val="single" w:sz="4" w:space="0" w:color="auto"/>
              <w:right w:val="single" w:sz="4" w:space="0" w:color="auto"/>
            </w:tcBorders>
            <w:shd w:val="clear" w:color="auto" w:fill="E6E6E6"/>
            <w:vAlign w:val="center"/>
            <w:hideMark/>
          </w:tcPr>
          <w:p w14:paraId="3B6FC33B"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$6,985 </w:t>
            </w:r>
          </w:p>
        </w:tc>
        <w:tc>
          <w:tcPr>
            <w:tcW w:w="1021" w:type="dxa"/>
            <w:tcBorders>
              <w:top w:val="nil"/>
              <w:left w:val="single" w:sz="4" w:space="0" w:color="auto"/>
              <w:bottom w:val="single" w:sz="4" w:space="0" w:color="auto"/>
              <w:right w:val="single" w:sz="4" w:space="0" w:color="auto"/>
            </w:tcBorders>
            <w:shd w:val="clear" w:color="auto" w:fill="E6E6E6"/>
            <w:vAlign w:val="center"/>
            <w:hideMark/>
          </w:tcPr>
          <w:p w14:paraId="54631DB2"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$34,925 </w:t>
            </w:r>
          </w:p>
        </w:tc>
      </w:tr>
      <w:tr w:rsidR="0000783C" w:rsidRPr="00785800" w14:paraId="77470B5F" w14:textId="77777777" w:rsidTr="6504384A">
        <w:trPr>
          <w:trHeight w:val="61"/>
        </w:trPr>
        <w:tc>
          <w:tcPr>
            <w:tcW w:w="2415" w:type="dxa"/>
            <w:tcBorders>
              <w:top w:val="single" w:sz="8" w:space="0" w:color="auto"/>
              <w:left w:val="single" w:sz="8" w:space="0" w:color="auto"/>
              <w:bottom w:val="single" w:sz="8" w:space="0" w:color="auto"/>
              <w:right w:val="single" w:sz="4" w:space="0" w:color="auto"/>
            </w:tcBorders>
            <w:shd w:val="clear" w:color="auto" w:fill="8497B0"/>
            <w:vAlign w:val="center"/>
            <w:hideMark/>
          </w:tcPr>
          <w:p w14:paraId="6A499AA0"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 TOTAL FUNDING </w:t>
            </w:r>
          </w:p>
        </w:tc>
        <w:tc>
          <w:tcPr>
            <w:tcW w:w="1020" w:type="dxa"/>
            <w:tcBorders>
              <w:top w:val="single" w:sz="8" w:space="0" w:color="auto"/>
              <w:left w:val="nil"/>
              <w:bottom w:val="single" w:sz="8" w:space="0" w:color="auto"/>
              <w:right w:val="single" w:sz="4" w:space="0" w:color="auto"/>
            </w:tcBorders>
            <w:shd w:val="clear" w:color="auto" w:fill="8497B0"/>
            <w:vAlign w:val="center"/>
            <w:hideMark/>
          </w:tcPr>
          <w:p w14:paraId="24BDD21B" w14:textId="77777777" w:rsidR="00785800" w:rsidRPr="005E7583" w:rsidRDefault="00785800" w:rsidP="00A34FF4">
            <w:pPr>
              <w:jc w:val="center"/>
              <w:rPr>
                <w:rFonts w:eastAsia="Times New Roman"/>
                <w:b/>
                <w:color w:val="000000"/>
                <w:sz w:val="18"/>
                <w:szCs w:val="18"/>
              </w:rPr>
            </w:pPr>
            <w:r w:rsidRPr="005E7583">
              <w:rPr>
                <w:rFonts w:eastAsia="Times New Roman"/>
                <w:b/>
                <w:color w:val="000000" w:themeColor="text1"/>
                <w:sz w:val="18"/>
                <w:szCs w:val="18"/>
              </w:rPr>
              <w:t> </w:t>
            </w:r>
          </w:p>
        </w:tc>
        <w:tc>
          <w:tcPr>
            <w:tcW w:w="855" w:type="dxa"/>
            <w:tcBorders>
              <w:top w:val="single" w:sz="8" w:space="0" w:color="auto"/>
              <w:left w:val="nil"/>
              <w:bottom w:val="single" w:sz="8" w:space="0" w:color="auto"/>
              <w:right w:val="single" w:sz="4" w:space="0" w:color="auto"/>
            </w:tcBorders>
            <w:shd w:val="clear" w:color="auto" w:fill="8497B0"/>
            <w:vAlign w:val="center"/>
            <w:hideMark/>
          </w:tcPr>
          <w:p w14:paraId="21321174" w14:textId="77777777" w:rsidR="00785800" w:rsidRPr="005E7583" w:rsidRDefault="00785800" w:rsidP="00A34FF4">
            <w:pPr>
              <w:jc w:val="center"/>
              <w:rPr>
                <w:rFonts w:eastAsia="Times New Roman"/>
                <w:b/>
                <w:color w:val="000000" w:themeColor="text1"/>
                <w:sz w:val="20"/>
                <w:szCs w:val="20"/>
              </w:rPr>
            </w:pPr>
            <w:r w:rsidRPr="005E7583">
              <w:rPr>
                <w:rFonts w:eastAsia="Times New Roman"/>
                <w:b/>
                <w:color w:val="000000" w:themeColor="text1"/>
                <w:sz w:val="20"/>
                <w:szCs w:val="20"/>
              </w:rPr>
              <w:t> </w:t>
            </w:r>
          </w:p>
        </w:tc>
        <w:tc>
          <w:tcPr>
            <w:tcW w:w="925" w:type="dxa"/>
            <w:tcBorders>
              <w:top w:val="single" w:sz="8" w:space="0" w:color="auto"/>
              <w:left w:val="nil"/>
              <w:bottom w:val="single" w:sz="8" w:space="0" w:color="auto"/>
              <w:right w:val="single" w:sz="4" w:space="0" w:color="auto"/>
            </w:tcBorders>
            <w:shd w:val="clear" w:color="auto" w:fill="8497B0"/>
            <w:vAlign w:val="center"/>
            <w:hideMark/>
          </w:tcPr>
          <w:p w14:paraId="18D45919" w14:textId="74E0DB28" w:rsidR="00785800" w:rsidRPr="005E7583" w:rsidRDefault="00785800" w:rsidP="00A34FF4">
            <w:pPr>
              <w:jc w:val="center"/>
              <w:rPr>
                <w:rFonts w:eastAsia="Times New Roman"/>
                <w:b/>
                <w:color w:val="000000" w:themeColor="text1"/>
                <w:sz w:val="20"/>
                <w:szCs w:val="20"/>
              </w:rPr>
            </w:pPr>
            <w:r w:rsidRPr="005E7583">
              <w:rPr>
                <w:rFonts w:eastAsia="Times New Roman"/>
                <w:b/>
                <w:color w:val="000000" w:themeColor="text1"/>
                <w:sz w:val="20"/>
                <w:szCs w:val="20"/>
              </w:rPr>
              <w:t>$40,420</w:t>
            </w:r>
          </w:p>
        </w:tc>
        <w:tc>
          <w:tcPr>
            <w:tcW w:w="990" w:type="dxa"/>
            <w:tcBorders>
              <w:top w:val="single" w:sz="8" w:space="0" w:color="auto"/>
              <w:left w:val="nil"/>
              <w:bottom w:val="single" w:sz="8" w:space="0" w:color="auto"/>
              <w:right w:val="single" w:sz="4" w:space="0" w:color="auto"/>
            </w:tcBorders>
            <w:shd w:val="clear" w:color="auto" w:fill="8497B0"/>
            <w:vAlign w:val="center"/>
            <w:hideMark/>
          </w:tcPr>
          <w:p w14:paraId="256AD246"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$40,420 </w:t>
            </w:r>
          </w:p>
        </w:tc>
        <w:tc>
          <w:tcPr>
            <w:tcW w:w="900" w:type="dxa"/>
            <w:tcBorders>
              <w:top w:val="single" w:sz="8" w:space="0" w:color="auto"/>
              <w:left w:val="nil"/>
              <w:bottom w:val="single" w:sz="8" w:space="0" w:color="auto"/>
              <w:right w:val="single" w:sz="4" w:space="0" w:color="auto"/>
            </w:tcBorders>
            <w:shd w:val="clear" w:color="auto" w:fill="8497B0"/>
            <w:vAlign w:val="center"/>
            <w:hideMark/>
          </w:tcPr>
          <w:p w14:paraId="672E7FED" w14:textId="1C289851" w:rsidR="7CDF0AB1" w:rsidRDefault="7CDF0AB1" w:rsidP="00A34FF4">
            <w:pPr>
              <w:jc w:val="center"/>
              <w:rPr>
                <w:rFonts w:eastAsia="Times New Roman"/>
                <w:b/>
                <w:bCs/>
                <w:color w:val="000000" w:themeColor="text1"/>
                <w:sz w:val="20"/>
                <w:szCs w:val="20"/>
              </w:rPr>
            </w:pPr>
          </w:p>
          <w:p w14:paraId="0E119821"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$40,420 </w:t>
            </w:r>
          </w:p>
        </w:tc>
        <w:tc>
          <w:tcPr>
            <w:tcW w:w="900" w:type="dxa"/>
            <w:tcBorders>
              <w:top w:val="single" w:sz="8" w:space="0" w:color="auto"/>
              <w:left w:val="nil"/>
              <w:bottom w:val="single" w:sz="8" w:space="0" w:color="auto"/>
              <w:right w:val="single" w:sz="4" w:space="0" w:color="auto"/>
            </w:tcBorders>
            <w:shd w:val="clear" w:color="auto" w:fill="8497B0"/>
            <w:vAlign w:val="center"/>
            <w:hideMark/>
          </w:tcPr>
          <w:p w14:paraId="016C6C2D" w14:textId="6F397F17" w:rsidR="7CDF0AB1" w:rsidRDefault="7CDF0AB1" w:rsidP="00A34FF4">
            <w:pPr>
              <w:jc w:val="center"/>
              <w:rPr>
                <w:rFonts w:eastAsia="Times New Roman"/>
                <w:b/>
                <w:bCs/>
                <w:color w:val="000000" w:themeColor="text1"/>
                <w:sz w:val="20"/>
                <w:szCs w:val="20"/>
              </w:rPr>
            </w:pPr>
          </w:p>
          <w:p w14:paraId="5405F584"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$40,420 </w:t>
            </w:r>
          </w:p>
        </w:tc>
        <w:tc>
          <w:tcPr>
            <w:tcW w:w="900" w:type="dxa"/>
            <w:tcBorders>
              <w:top w:val="single" w:sz="8" w:space="0" w:color="auto"/>
              <w:left w:val="nil"/>
              <w:bottom w:val="single" w:sz="8" w:space="0" w:color="auto"/>
              <w:right w:val="single" w:sz="4" w:space="0" w:color="auto"/>
            </w:tcBorders>
            <w:shd w:val="clear" w:color="auto" w:fill="8497B0"/>
            <w:vAlign w:val="center"/>
            <w:hideMark/>
          </w:tcPr>
          <w:p w14:paraId="1617B57B" w14:textId="78EAADD9" w:rsidR="7CDF0AB1" w:rsidRDefault="7CDF0AB1" w:rsidP="00A34FF4">
            <w:pPr>
              <w:jc w:val="center"/>
              <w:rPr>
                <w:rFonts w:eastAsia="Times New Roman"/>
                <w:b/>
                <w:bCs/>
                <w:color w:val="000000" w:themeColor="text1"/>
                <w:sz w:val="20"/>
                <w:szCs w:val="20"/>
              </w:rPr>
            </w:pPr>
          </w:p>
          <w:p w14:paraId="03A8A665"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$40,420 </w:t>
            </w:r>
          </w:p>
        </w:tc>
        <w:tc>
          <w:tcPr>
            <w:tcW w:w="1021" w:type="dxa"/>
            <w:tcBorders>
              <w:top w:val="single" w:sz="8" w:space="0" w:color="auto"/>
              <w:left w:val="single" w:sz="4" w:space="0" w:color="auto"/>
              <w:bottom w:val="single" w:sz="8" w:space="0" w:color="auto"/>
              <w:right w:val="single" w:sz="4" w:space="0" w:color="auto"/>
            </w:tcBorders>
            <w:shd w:val="clear" w:color="auto" w:fill="8497B0"/>
            <w:vAlign w:val="center"/>
            <w:hideMark/>
          </w:tcPr>
          <w:p w14:paraId="7CCFB203" w14:textId="7A1051DA" w:rsidR="7CDF0AB1" w:rsidRDefault="7CDF0AB1" w:rsidP="00A34FF4">
            <w:pPr>
              <w:jc w:val="center"/>
              <w:rPr>
                <w:rFonts w:eastAsia="Times New Roman"/>
                <w:b/>
                <w:bCs/>
                <w:color w:val="000000" w:themeColor="text1"/>
                <w:sz w:val="20"/>
                <w:szCs w:val="20"/>
              </w:rPr>
            </w:pPr>
          </w:p>
          <w:p w14:paraId="4F151803" w14:textId="77777777" w:rsidR="00785800" w:rsidRPr="005E7583" w:rsidRDefault="00785800" w:rsidP="00A34FF4">
            <w:pPr>
              <w:jc w:val="center"/>
              <w:rPr>
                <w:rFonts w:eastAsia="Times New Roman"/>
                <w:b/>
                <w:color w:val="000000"/>
                <w:sz w:val="20"/>
                <w:szCs w:val="20"/>
              </w:rPr>
            </w:pPr>
            <w:r w:rsidRPr="005E7583">
              <w:rPr>
                <w:rFonts w:eastAsia="Times New Roman"/>
                <w:b/>
                <w:color w:val="000000" w:themeColor="text1"/>
                <w:sz w:val="20"/>
                <w:szCs w:val="20"/>
              </w:rPr>
              <w:t xml:space="preserve">$202,100 </w:t>
            </w:r>
          </w:p>
        </w:tc>
      </w:tr>
    </w:tbl>
    <w:p w14:paraId="76893B31" w14:textId="343EB4BC" w:rsidR="00D22D9B" w:rsidRPr="00EB13F8" w:rsidRDefault="79370F71" w:rsidP="00A34FF4">
      <w:pPr>
        <w:pStyle w:val="Heading2"/>
      </w:pPr>
      <w:r w:rsidRPr="04997142">
        <w:t>Budget Categories and Budget Description</w:t>
      </w:r>
    </w:p>
    <w:p w14:paraId="7DB6F182" w14:textId="42188382" w:rsidR="00D22D9B" w:rsidRPr="00EB13F8" w:rsidRDefault="79370F71" w:rsidP="00A34FF4">
      <w:pPr>
        <w:pStyle w:val="Heading3"/>
        <w:spacing w:before="0"/>
      </w:pPr>
      <w:r w:rsidRPr="04997142">
        <w:t>Personnel</w:t>
      </w:r>
    </w:p>
    <w:p w14:paraId="609EB5AF" w14:textId="306BC787" w:rsidR="79370F71" w:rsidRDefault="79370F71" w:rsidP="00A34FF4">
      <w:pPr>
        <w:rPr>
          <w:rFonts w:eastAsia="Times New Roman"/>
        </w:rPr>
      </w:pPr>
      <w:r w:rsidRPr="006F4A7C">
        <w:rPr>
          <w:rStyle w:val="Heading4Char"/>
        </w:rPr>
        <w:t>Project Manager:</w:t>
      </w:r>
      <w:r w:rsidRPr="4085A072">
        <w:rPr>
          <w:rFonts w:eastAsia="Times New Roman"/>
        </w:rPr>
        <w:t xml:space="preserve"> Total cost: $48,790.00 is 10% of Annual Salary. The Water Resources Division is going to administer the CPRG grant. Ken Clark, the Division Manager, will </w:t>
      </w:r>
      <w:r w:rsidR="259EC0C6" w:rsidRPr="7CDF0AB1">
        <w:rPr>
          <w:rFonts w:eastAsia="Times New Roman"/>
        </w:rPr>
        <w:t>oversee</w:t>
      </w:r>
      <w:r w:rsidR="01DA4E58" w:rsidRPr="7CDF0AB1">
        <w:rPr>
          <w:rFonts w:eastAsia="Times New Roman"/>
        </w:rPr>
        <w:t xml:space="preserve"> </w:t>
      </w:r>
      <w:r w:rsidRPr="4085A072">
        <w:rPr>
          <w:rFonts w:eastAsia="Times New Roman"/>
        </w:rPr>
        <w:t xml:space="preserve">grant compliance, </w:t>
      </w:r>
      <w:r w:rsidR="3D26C3AA" w:rsidRPr="7CDF0AB1">
        <w:rPr>
          <w:rFonts w:eastAsia="Times New Roman"/>
        </w:rPr>
        <w:t>ensur</w:t>
      </w:r>
      <w:r w:rsidR="29E9D54E" w:rsidRPr="7CDF0AB1">
        <w:rPr>
          <w:rFonts w:eastAsia="Times New Roman"/>
        </w:rPr>
        <w:t>e</w:t>
      </w:r>
      <w:r w:rsidR="3D26C3AA" w:rsidRPr="7CDF0AB1">
        <w:rPr>
          <w:rFonts w:eastAsia="Times New Roman"/>
        </w:rPr>
        <w:t xml:space="preserve"> timely</w:t>
      </w:r>
      <w:r w:rsidRPr="4085A072">
        <w:rPr>
          <w:rFonts w:eastAsia="Times New Roman"/>
        </w:rPr>
        <w:t xml:space="preserve"> reporting</w:t>
      </w:r>
      <w:r w:rsidR="01DA4E58" w:rsidRPr="7CDF0AB1">
        <w:rPr>
          <w:rFonts w:eastAsia="Times New Roman"/>
        </w:rPr>
        <w:t xml:space="preserve">, </w:t>
      </w:r>
      <w:r w:rsidR="32C98D7C" w:rsidRPr="7CDF0AB1">
        <w:rPr>
          <w:rFonts w:eastAsia="Times New Roman"/>
        </w:rPr>
        <w:t>effective</w:t>
      </w:r>
      <w:r w:rsidRPr="4085A072">
        <w:rPr>
          <w:rFonts w:eastAsia="Times New Roman"/>
        </w:rPr>
        <w:t xml:space="preserve"> budget administration, and </w:t>
      </w:r>
      <w:r w:rsidR="7CDF0AB1" w:rsidRPr="7CDF0AB1">
        <w:rPr>
          <w:rFonts w:eastAsia="Times New Roman"/>
        </w:rPr>
        <w:t>lead</w:t>
      </w:r>
      <w:r w:rsidRPr="4085A072">
        <w:rPr>
          <w:rFonts w:eastAsia="Times New Roman"/>
        </w:rPr>
        <w:t xml:space="preserve"> recruitment </w:t>
      </w:r>
      <w:r w:rsidR="6CAF4F4B" w:rsidRPr="7CDF0AB1">
        <w:rPr>
          <w:rFonts w:eastAsia="Times New Roman"/>
        </w:rPr>
        <w:t>efforts for additional</w:t>
      </w:r>
      <w:r w:rsidRPr="4085A072">
        <w:rPr>
          <w:rFonts w:eastAsia="Times New Roman"/>
        </w:rPr>
        <w:t xml:space="preserve"> staff. </w:t>
      </w:r>
    </w:p>
    <w:p w14:paraId="6C737834" w14:textId="5E2947F8" w:rsidR="00D3114F" w:rsidRDefault="79370F71" w:rsidP="00A34FF4">
      <w:r w:rsidRPr="006F4A7C">
        <w:rPr>
          <w:rStyle w:val="Heading4Char"/>
        </w:rPr>
        <w:t>Technical Staff</w:t>
      </w:r>
      <w:r w:rsidRPr="04997142">
        <w:t xml:space="preserve">: Total Cost: $31,350.00 is 10% of Annual Salary. The Climate Change Coordinator, Stefanie Krantz, will assist with writing job descriptions, leading the community-based processes as part of her other duties, assisting with report writing, and GHG </w:t>
      </w:r>
      <w:r w:rsidR="7CDF0AB1">
        <w:t>reduction</w:t>
      </w:r>
      <w:r w:rsidRPr="04997142">
        <w:t xml:space="preserve"> reporting </w:t>
      </w:r>
      <w:r w:rsidR="00D3114F">
        <w:t>with Air Quality</w:t>
      </w:r>
      <w:r w:rsidRPr="04997142">
        <w:t xml:space="preserve"> Division Staff. </w:t>
      </w:r>
    </w:p>
    <w:p w14:paraId="6B206A1D" w14:textId="56EA0FF8" w:rsidR="79370F71" w:rsidRDefault="79370F71" w:rsidP="00A34FF4">
      <w:pPr>
        <w:rPr>
          <w:rFonts w:eastAsia="Times New Roman"/>
        </w:rPr>
      </w:pPr>
      <w:r w:rsidRPr="006F4A7C">
        <w:rPr>
          <w:rStyle w:val="Heading4Char"/>
        </w:rPr>
        <w:t>Administrative Assistant</w:t>
      </w:r>
      <w:r w:rsidRPr="7CDF0AB1">
        <w:rPr>
          <w:rFonts w:eastAsia="Times New Roman"/>
        </w:rPr>
        <w:t>: Total cost: $29,185 is 10% of an Annual Salary. The Water Resources Admin</w:t>
      </w:r>
      <w:r w:rsidR="00D3114F" w:rsidRPr="7CDF0AB1">
        <w:rPr>
          <w:rFonts w:eastAsia="Times New Roman"/>
        </w:rPr>
        <w:t xml:space="preserve">. </w:t>
      </w:r>
      <w:r w:rsidRPr="7CDF0AB1">
        <w:rPr>
          <w:rFonts w:eastAsia="Times New Roman"/>
        </w:rPr>
        <w:t xml:space="preserve">Assistant will assist with processing finance paperwork, scheduling, coordinating tribal subcommittee agendas, ordering new equipment, and reimbursing costs for subcontractors.  </w:t>
      </w:r>
    </w:p>
    <w:p w14:paraId="332F3E99" w14:textId="185BD00E" w:rsidR="00A52A8B" w:rsidRDefault="00A52A8B" w:rsidP="00A34FF4">
      <w:pPr>
        <w:pStyle w:val="Heading3"/>
        <w:keepNext w:val="0"/>
        <w:keepLines w:val="0"/>
        <w:rPr>
          <w:bCs/>
        </w:rPr>
      </w:pPr>
      <w:r w:rsidRPr="00AD1871">
        <w:t>Fringe Benefits</w:t>
      </w:r>
    </w:p>
    <w:p w14:paraId="18E3CEDB" w14:textId="77777777" w:rsidR="00122C3F" w:rsidRDefault="00A52A8B" w:rsidP="00A34FF4">
      <w:pPr>
        <w:ind w:left="-14" w:right="-14"/>
        <w:jc w:val="left"/>
        <w:rPr>
          <w:rFonts w:cstheme="minorHAnsi"/>
        </w:rPr>
      </w:pPr>
      <w:r w:rsidRPr="00AD1871">
        <w:rPr>
          <w:rFonts w:cstheme="minorHAnsi"/>
        </w:rPr>
        <w:t>Total Cost for Fringe Benefits is $57,850.00</w:t>
      </w:r>
      <w:r>
        <w:rPr>
          <w:rFonts w:cstheme="minorHAnsi"/>
        </w:rPr>
        <w:t xml:space="preserve">. This is for 10% of the time. </w:t>
      </w:r>
    </w:p>
    <w:p w14:paraId="35E547A0" w14:textId="06E7A355" w:rsidR="00A52A8B" w:rsidRDefault="00A52A8B" w:rsidP="00A34FF4">
      <w:pPr>
        <w:ind w:left="-14" w:right="-14"/>
        <w:jc w:val="left"/>
        <w:rPr>
          <w:rFonts w:eastAsia="Times New Roman"/>
        </w:rPr>
      </w:pPr>
      <w:r w:rsidRPr="7CDF0AB1">
        <w:rPr>
          <w:rFonts w:eastAsia="Times New Roman"/>
        </w:rPr>
        <w:t xml:space="preserve">The Tribe’s fringe covers Medicare contributions, Idaho State Unemployment Taxes, Workmen’s compensation, a $3,000 per year 401K match with a $150.00 administrative fee, a standard $30,000 life insurance policy, medical insurance (medical, dental, and vision) for staff members, spouses, and dependents, and an Employee Assistance Program that offers free counseling, free legal, free debt counseling, and other mental health and wellness services. The fringe rates are charged to budgets in </w:t>
      </w:r>
      <w:r w:rsidR="7CDF0AB1" w:rsidRPr="7CDF0AB1">
        <w:rPr>
          <w:rFonts w:eastAsia="Times New Roman"/>
        </w:rPr>
        <w:t>accordance</w:t>
      </w:r>
      <w:r w:rsidRPr="7CDF0AB1">
        <w:rPr>
          <w:rFonts w:eastAsia="Times New Roman"/>
        </w:rPr>
        <w:t xml:space="preserve"> with the percentage of salary per budget</w:t>
      </w:r>
      <w:r w:rsidR="7CDF0AB1" w:rsidRPr="7CDF0AB1">
        <w:rPr>
          <w:rFonts w:eastAsia="Times New Roman"/>
        </w:rPr>
        <w:t>,</w:t>
      </w:r>
      <w:r w:rsidR="00BE45F6" w:rsidRPr="7CDF0AB1">
        <w:rPr>
          <w:rFonts w:eastAsia="Times New Roman"/>
        </w:rPr>
        <w:t xml:space="preserve"> as shown in the table. This detail will not be repeated for Measures 1, 2, or 3.</w:t>
      </w:r>
    </w:p>
    <w:p w14:paraId="6D640ADA" w14:textId="008777CF" w:rsidR="00380B81" w:rsidRDefault="00380B81" w:rsidP="00A34FF4">
      <w:pPr>
        <w:pStyle w:val="Heading2"/>
      </w:pPr>
      <w:r w:rsidRPr="04997142">
        <w:lastRenderedPageBreak/>
        <w:t>Reasonableness of Cost</w:t>
      </w:r>
      <w:r w:rsidR="00887602">
        <w:t xml:space="preserve"> for Administrative Costs</w:t>
      </w:r>
    </w:p>
    <w:p w14:paraId="32014229" w14:textId="12FDFD50" w:rsidR="00380B81" w:rsidRDefault="00380B81" w:rsidP="00A34FF4">
      <w:pPr>
        <w:rPr>
          <w:rFonts w:eastAsia="Times New Roman"/>
        </w:rPr>
      </w:pPr>
      <w:r w:rsidRPr="7CDF0AB1">
        <w:rPr>
          <w:rFonts w:eastAsia="Times New Roman"/>
        </w:rPr>
        <w:t xml:space="preserve">Administering the CPRG and completing the reporting requirements, Quality Control Requirements, and Subcontracting Requirements will require existing staff with expertise in administering EPA grants, tribal subcontracting, TERO requirements, and the tribal human resources rules. The time allotted will be for writing job descriptions, setting up new budgets, writing initial reports and editing reports, </w:t>
      </w:r>
      <w:proofErr w:type="gramStart"/>
      <w:r w:rsidR="7CDF0AB1" w:rsidRPr="7CDF0AB1">
        <w:rPr>
          <w:rFonts w:eastAsia="Times New Roman"/>
        </w:rPr>
        <w:t>onboarding</w:t>
      </w:r>
      <w:proofErr w:type="gramEnd"/>
      <w:r w:rsidRPr="7CDF0AB1">
        <w:rPr>
          <w:rFonts w:eastAsia="Times New Roman"/>
        </w:rPr>
        <w:t xml:space="preserve"> and training new staff, and helping new staff follow the rules of the program. In addition, the Project Manager will oversee timelines and deadlines, help new staff with challenges that may require budget modifications, and </w:t>
      </w:r>
      <w:r w:rsidR="7CDF0AB1" w:rsidRPr="7CDF0AB1">
        <w:rPr>
          <w:rFonts w:eastAsia="Times New Roman"/>
        </w:rPr>
        <w:t>coordinate</w:t>
      </w:r>
      <w:r w:rsidRPr="7CDF0AB1">
        <w:rPr>
          <w:rFonts w:eastAsia="Times New Roman"/>
        </w:rPr>
        <w:t xml:space="preserve"> with EPA. Tribal staff who already know the Tribe’s programs, historical efforts, challenges, successes, unique culture, accounting structures, contracting structures, and climate change vulnerabilities will be invaluable for new staff just learning the ropes of working at the Tribe. We budgeted only 10% of the annual salaries of three </w:t>
      </w:r>
      <w:r w:rsidR="70861C6D" w:rsidRPr="7CDF0AB1">
        <w:rPr>
          <w:rFonts w:eastAsia="Times New Roman"/>
        </w:rPr>
        <w:t>current</w:t>
      </w:r>
      <w:r w:rsidR="5F3B7D20" w:rsidRPr="7CDF0AB1">
        <w:rPr>
          <w:rFonts w:eastAsia="Times New Roman"/>
        </w:rPr>
        <w:t xml:space="preserve"> </w:t>
      </w:r>
      <w:r w:rsidRPr="7CDF0AB1">
        <w:rPr>
          <w:rFonts w:eastAsia="Times New Roman"/>
        </w:rPr>
        <w:t xml:space="preserve">staff </w:t>
      </w:r>
      <w:r w:rsidR="7CDF0AB1" w:rsidRPr="7CDF0AB1">
        <w:rPr>
          <w:rFonts w:eastAsia="Times New Roman"/>
        </w:rPr>
        <w:t xml:space="preserve">members, </w:t>
      </w:r>
      <w:r w:rsidRPr="7CDF0AB1">
        <w:rPr>
          <w:rFonts w:eastAsia="Times New Roman"/>
        </w:rPr>
        <w:t xml:space="preserve">knowing that other staff </w:t>
      </w:r>
      <w:r w:rsidR="7CDF0AB1" w:rsidRPr="7CDF0AB1">
        <w:rPr>
          <w:rFonts w:eastAsia="Times New Roman"/>
        </w:rPr>
        <w:t>would</w:t>
      </w:r>
      <w:r w:rsidRPr="7CDF0AB1">
        <w:rPr>
          <w:rFonts w:eastAsia="Times New Roman"/>
        </w:rPr>
        <w:t xml:space="preserve"> be helping participate in this as part of their routine duties</w:t>
      </w:r>
      <w:r w:rsidR="7CDF0AB1" w:rsidRPr="7CDF0AB1">
        <w:rPr>
          <w:rFonts w:eastAsia="Times New Roman"/>
        </w:rPr>
        <w:t>, such as</w:t>
      </w:r>
      <w:r w:rsidRPr="7CDF0AB1">
        <w:rPr>
          <w:rFonts w:eastAsia="Times New Roman"/>
        </w:rPr>
        <w:t xml:space="preserve"> managing facilities, coordinating with tribal programs, and leading other programs.</w:t>
      </w:r>
    </w:p>
    <w:p w14:paraId="518EC68E" w14:textId="77777777" w:rsidR="00380B81" w:rsidRPr="00AD1871" w:rsidRDefault="00380B81" w:rsidP="00A34FF4">
      <w:pPr>
        <w:ind w:left="-20" w:right="-20"/>
        <w:jc w:val="left"/>
        <w:rPr>
          <w:rFonts w:eastAsia="Times New Roman" w:cstheme="minorHAnsi"/>
        </w:rPr>
      </w:pPr>
    </w:p>
    <w:p w14:paraId="3F96A43C" w14:textId="68DE6358" w:rsidR="002D2B02" w:rsidRPr="00EB13F8" w:rsidRDefault="00E84960" w:rsidP="00A34FF4">
      <w:pPr>
        <w:pStyle w:val="Heading1"/>
        <w:keepNext w:val="0"/>
        <w:keepLines w:val="0"/>
      </w:pPr>
      <w:r w:rsidRPr="7CDF0AB1">
        <w:rPr>
          <w:rFonts w:eastAsia="Calibri" w:cstheme="minorBidi"/>
          <w:color w:val="auto"/>
        </w:rPr>
        <w:t>Measure 1:</w:t>
      </w:r>
      <w:r w:rsidRPr="00FD23A4">
        <w:rPr>
          <w:color w:val="auto"/>
        </w:rPr>
        <w:t xml:space="preserve"> </w:t>
      </w:r>
      <w:r w:rsidRPr="7CDF0AB1">
        <w:rPr>
          <w:rFonts w:eastAsia="Calibri" w:cstheme="minorBidi"/>
          <w:color w:val="auto"/>
        </w:rPr>
        <w:t>Built Environment – Residential</w:t>
      </w:r>
      <w:r w:rsidR="006456F4">
        <w:t xml:space="preserve"> </w:t>
      </w:r>
      <w:r w:rsidR="002D2B02" w:rsidRPr="04997142">
        <w:t>Budget Detail</w:t>
      </w:r>
    </w:p>
    <w:p w14:paraId="20D873BB" w14:textId="7C168C70" w:rsidR="006456F4" w:rsidRPr="00EB13F8" w:rsidRDefault="006456F4" w:rsidP="00A34FF4">
      <w:pPr>
        <w:pStyle w:val="Heading2"/>
        <w:keepNext w:val="0"/>
        <w:keepLines w:val="0"/>
        <w:spacing w:before="0"/>
      </w:pPr>
      <w:r w:rsidRPr="04997142">
        <w:t>Budget Categories and Budget Description</w:t>
      </w:r>
    </w:p>
    <w:p w14:paraId="2ADC904C" w14:textId="2D74DA01" w:rsidR="006456F4" w:rsidRDefault="006456F4" w:rsidP="00A34FF4">
      <w:pPr>
        <w:pStyle w:val="Heading3"/>
        <w:spacing w:before="0"/>
      </w:pPr>
      <w:r w:rsidRPr="04997142">
        <w:t>Personnel</w:t>
      </w:r>
    </w:p>
    <w:p w14:paraId="412F2ACC" w14:textId="77777777" w:rsidR="00102844" w:rsidRPr="00102844" w:rsidRDefault="00102844" w:rsidP="00102844"/>
    <w:p w14:paraId="5DF98CCC" w14:textId="7BC80BDA" w:rsidR="009F1A13" w:rsidRPr="009F1A13" w:rsidRDefault="00102844" w:rsidP="00A34FF4">
      <w:pPr>
        <w:rPr>
          <w:sz w:val="10"/>
          <w:szCs w:val="10"/>
        </w:rPr>
      </w:pPr>
      <w:r w:rsidRPr="00102844">
        <w:drawing>
          <wp:inline distT="0" distB="0" distL="0" distR="0" wp14:anchorId="1B990412" wp14:editId="6E63415B">
            <wp:extent cx="6400800" cy="23666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0" cy="2366645"/>
                    </a:xfrm>
                    <a:prstGeom prst="rect">
                      <a:avLst/>
                    </a:prstGeom>
                    <a:noFill/>
                    <a:ln>
                      <a:noFill/>
                    </a:ln>
                  </pic:spPr>
                </pic:pic>
              </a:graphicData>
            </a:graphic>
          </wp:inline>
        </w:drawing>
      </w:r>
    </w:p>
    <w:p w14:paraId="34ABA335" w14:textId="2D6D87A5" w:rsidR="00532C6B" w:rsidRDefault="009F1A13" w:rsidP="00A34FF4">
      <w:r>
        <w:t>Three</w:t>
      </w:r>
      <w:r w:rsidR="00532C6B" w:rsidRPr="04997142">
        <w:t xml:space="preserve"> new personnel positions for the Nez Perce Tribal Housing Authority (NPTHA</w:t>
      </w:r>
      <w:r w:rsidR="00532C6B">
        <w:t>) for a total budget period cost of $914,009.</w:t>
      </w:r>
      <w:r w:rsidR="00532C6B" w:rsidRPr="04997142">
        <w:t xml:space="preserve"> </w:t>
      </w:r>
      <w:r w:rsidR="00532C6B">
        <w:t>New personnel will be hired and working full-time by the beginning of the third quarter.</w:t>
      </w:r>
    </w:p>
    <w:p w14:paraId="3D39BF36" w14:textId="6C9B3D7A" w:rsidR="65FF9851" w:rsidRDefault="65FF9851" w:rsidP="65FF9851">
      <w:pPr>
        <w:rPr>
          <w:sz w:val="16"/>
          <w:szCs w:val="16"/>
        </w:rPr>
      </w:pPr>
    </w:p>
    <w:p w14:paraId="6AF5A985" w14:textId="5240BD0A" w:rsidR="00532C6B" w:rsidRPr="00FD23A4" w:rsidRDefault="7D65AE53" w:rsidP="00A34FF4">
      <w:pPr>
        <w:rPr>
          <w:rFonts w:eastAsia="Times New Roman"/>
          <w:b/>
          <w:bCs/>
        </w:rPr>
      </w:pPr>
      <w:r w:rsidRPr="4E8804FA">
        <w:rPr>
          <w:rStyle w:val="Heading4Char"/>
        </w:rPr>
        <w:t>Project Coordinator:</w:t>
      </w:r>
      <w:r w:rsidRPr="4E8804FA">
        <w:rPr>
          <w:rFonts w:eastAsia="Times New Roman"/>
        </w:rPr>
        <w:t xml:space="preserve"> Total cost: $346,977 for 4.5 years full-time (Annual Salary $77,106/year, Professional III). The Project Coordinator</w:t>
      </w:r>
      <w:r w:rsidR="44279364" w:rsidRPr="4E8804FA">
        <w:rPr>
          <w:rFonts w:eastAsia="Times New Roman"/>
        </w:rPr>
        <w:t xml:space="preserve"> </w:t>
      </w:r>
      <w:r w:rsidR="44279364" w:rsidRPr="4E8804FA">
        <w:rPr>
          <w:rFonts w:ascii="Calibri" w:eastAsia="Calibri" w:hAnsi="Calibri" w:cs="Calibri"/>
        </w:rPr>
        <w:t xml:space="preserve">will </w:t>
      </w:r>
      <w:r w:rsidR="7CDF0AB1" w:rsidRPr="7CDF0AB1">
        <w:rPr>
          <w:rFonts w:ascii="Calibri" w:eastAsia="Calibri" w:hAnsi="Calibri" w:cs="Calibri"/>
        </w:rPr>
        <w:t xml:space="preserve">supervise </w:t>
      </w:r>
      <w:r w:rsidR="44279364" w:rsidRPr="4E8804FA">
        <w:rPr>
          <w:rFonts w:ascii="Calibri" w:eastAsia="Calibri" w:hAnsi="Calibri" w:cs="Calibri"/>
        </w:rPr>
        <w:t>personnel</w:t>
      </w:r>
      <w:r w:rsidR="7CDF0AB1" w:rsidRPr="7CDF0AB1">
        <w:rPr>
          <w:rFonts w:ascii="Calibri" w:eastAsia="Calibri" w:hAnsi="Calibri" w:cs="Calibri"/>
        </w:rPr>
        <w:t>, track</w:t>
      </w:r>
      <w:r w:rsidR="44279364" w:rsidRPr="4E8804FA">
        <w:rPr>
          <w:rFonts w:ascii="Calibri" w:eastAsia="Calibri" w:hAnsi="Calibri" w:cs="Calibri"/>
        </w:rPr>
        <w:t xml:space="preserve"> all contractor activities and contracts, conduct budget administration</w:t>
      </w:r>
      <w:r w:rsidR="7CDF0AB1" w:rsidRPr="7CDF0AB1">
        <w:rPr>
          <w:rFonts w:ascii="Calibri" w:eastAsia="Calibri" w:hAnsi="Calibri" w:cs="Calibri"/>
        </w:rPr>
        <w:t>,</w:t>
      </w:r>
      <w:r w:rsidR="44279364" w:rsidRPr="4E8804FA">
        <w:rPr>
          <w:rFonts w:ascii="Calibri" w:eastAsia="Calibri" w:hAnsi="Calibri" w:cs="Calibri"/>
        </w:rPr>
        <w:t xml:space="preserve"> and </w:t>
      </w:r>
      <w:r w:rsidR="34CF2DD9" w:rsidRPr="7CDF0AB1">
        <w:rPr>
          <w:rFonts w:ascii="Calibri" w:eastAsia="Calibri" w:hAnsi="Calibri" w:cs="Calibri"/>
        </w:rPr>
        <w:t>complete</w:t>
      </w:r>
      <w:r w:rsidR="44279364" w:rsidRPr="4E8804FA">
        <w:rPr>
          <w:rFonts w:ascii="Calibri" w:eastAsia="Calibri" w:hAnsi="Calibri" w:cs="Calibri"/>
        </w:rPr>
        <w:t xml:space="preserve"> reporting</w:t>
      </w:r>
      <w:r w:rsidR="652B0B0F" w:rsidRPr="7CDF0AB1">
        <w:rPr>
          <w:rFonts w:ascii="Calibri" w:eastAsia="Calibri" w:hAnsi="Calibri" w:cs="Calibri"/>
        </w:rPr>
        <w:t xml:space="preserve"> for</w:t>
      </w:r>
      <w:r w:rsidR="7CDF0AB1" w:rsidRPr="7CDF0AB1">
        <w:rPr>
          <w:rFonts w:ascii="Calibri" w:eastAsia="Calibri" w:hAnsi="Calibri" w:cs="Calibri"/>
        </w:rPr>
        <w:t xml:space="preserve"> grants</w:t>
      </w:r>
      <w:r w:rsidR="771846D5" w:rsidRPr="4E8804FA">
        <w:rPr>
          <w:rFonts w:ascii="Calibri" w:eastAsia="Calibri" w:hAnsi="Calibri" w:cs="Calibri"/>
        </w:rPr>
        <w:t>.</w:t>
      </w:r>
    </w:p>
    <w:p w14:paraId="46550CD4" w14:textId="7BDC89C9" w:rsidR="00532C6B" w:rsidRPr="00FD23A4" w:rsidRDefault="00532C6B" w:rsidP="00A34FF4">
      <w:pPr>
        <w:rPr>
          <w:rFonts w:eastAsia="Times New Roman"/>
          <w:highlight w:val="yellow"/>
        </w:rPr>
      </w:pPr>
      <w:r w:rsidRPr="00532C6B">
        <w:rPr>
          <w:rStyle w:val="Heading4Char"/>
        </w:rPr>
        <w:t>Project Specialist:</w:t>
      </w:r>
      <w:r w:rsidRPr="4E422D3F">
        <w:rPr>
          <w:rFonts w:eastAsia="Times New Roman"/>
        </w:rPr>
        <w:t xml:space="preserve"> Total Cost: $297,932 for 4.5 years full-time (Annual Salary $66,207/year, Professional I). </w:t>
      </w:r>
      <w:r w:rsidR="7D65AE53" w:rsidRPr="4E422D3F">
        <w:rPr>
          <w:rFonts w:eastAsia="Times New Roman"/>
        </w:rPr>
        <w:t xml:space="preserve">The Project Specialist </w:t>
      </w:r>
      <w:r w:rsidR="12838792" w:rsidRPr="4E422D3F">
        <w:rPr>
          <w:rFonts w:eastAsia="Times New Roman"/>
        </w:rPr>
        <w:t xml:space="preserve">will work directly </w:t>
      </w:r>
      <w:r w:rsidR="12838792" w:rsidRPr="7CDF0AB1">
        <w:rPr>
          <w:rFonts w:ascii="Calibri" w:eastAsia="Calibri" w:hAnsi="Calibri" w:cs="Calibri"/>
          <w:color w:val="000000" w:themeColor="text1"/>
        </w:rPr>
        <w:t xml:space="preserve">with contractors and vendors, </w:t>
      </w:r>
      <w:proofErr w:type="gramStart"/>
      <w:r w:rsidR="12838792" w:rsidRPr="7CDF0AB1">
        <w:rPr>
          <w:rFonts w:ascii="Calibri" w:eastAsia="Calibri" w:hAnsi="Calibri" w:cs="Calibri"/>
          <w:color w:val="000000" w:themeColor="text1"/>
        </w:rPr>
        <w:t>collaborate</w:t>
      </w:r>
      <w:proofErr w:type="gramEnd"/>
      <w:r w:rsidR="0099049E" w:rsidRPr="7CDF0AB1">
        <w:rPr>
          <w:rFonts w:ascii="Calibri" w:eastAsia="Calibri" w:hAnsi="Calibri" w:cs="Calibri"/>
          <w:color w:val="000000" w:themeColor="text1"/>
        </w:rPr>
        <w:t xml:space="preserve"> </w:t>
      </w:r>
      <w:r w:rsidR="12838792" w:rsidRPr="7CDF0AB1">
        <w:rPr>
          <w:rFonts w:ascii="Calibri" w:eastAsia="Calibri" w:hAnsi="Calibri" w:cs="Calibri"/>
          <w:color w:val="000000" w:themeColor="text1"/>
        </w:rPr>
        <w:t>and coordinate to leverage opportunities and funding with federal/state partners</w:t>
      </w:r>
      <w:r w:rsidR="7CDF0AB1" w:rsidRPr="7CDF0AB1">
        <w:rPr>
          <w:rFonts w:ascii="Calibri" w:eastAsia="Calibri" w:hAnsi="Calibri" w:cs="Calibri"/>
          <w:color w:val="000000" w:themeColor="text1"/>
        </w:rPr>
        <w:t>,</w:t>
      </w:r>
      <w:r w:rsidR="12838792" w:rsidRPr="7CDF0AB1">
        <w:rPr>
          <w:rFonts w:ascii="Calibri" w:eastAsia="Calibri" w:hAnsi="Calibri" w:cs="Calibri"/>
          <w:color w:val="000000" w:themeColor="text1"/>
        </w:rPr>
        <w:t xml:space="preserve"> and develop and provide workforce training. Conduct home education and community engagement activities.  </w:t>
      </w:r>
      <w:r w:rsidR="12838792" w:rsidRPr="7CDF0AB1">
        <w:rPr>
          <w:rFonts w:ascii="Calibri" w:eastAsia="Calibri" w:hAnsi="Calibri" w:cs="Calibri"/>
        </w:rPr>
        <w:t xml:space="preserve"> </w:t>
      </w:r>
    </w:p>
    <w:p w14:paraId="3CCB1E0D" w14:textId="580BBF56" w:rsidR="00532C6B" w:rsidRDefault="00532C6B" w:rsidP="00A34FF4">
      <w:pPr>
        <w:rPr>
          <w:rFonts w:eastAsia="Times New Roman"/>
        </w:rPr>
      </w:pPr>
      <w:r w:rsidRPr="00532C6B">
        <w:rPr>
          <w:rStyle w:val="Heading4Char"/>
        </w:rPr>
        <w:t>Project Administrative Assistant:</w:t>
      </w:r>
      <w:r w:rsidRPr="253FFD16">
        <w:rPr>
          <w:rFonts w:eastAsia="Times New Roman"/>
        </w:rPr>
        <w:t xml:space="preserve"> Total cost: $59,800 for 4.5 years full-time (Annual Salary $59,800/year, Technician IV). The Project Administrative Assistant will assist with processing finance paperwork, scheduling, and coordination with households.  </w:t>
      </w:r>
    </w:p>
    <w:p w14:paraId="507309FD" w14:textId="79E781E4" w:rsidR="006256A2" w:rsidRPr="008E0939" w:rsidRDefault="5BE09B93" w:rsidP="008E0939">
      <w:pPr>
        <w:pStyle w:val="Heading2"/>
      </w:pPr>
      <w:r w:rsidRPr="008E0939">
        <w:t>Reasonableness of Cost</w:t>
      </w:r>
      <w:r w:rsidR="42CEB1D9" w:rsidRPr="008E0939">
        <w:t xml:space="preserve"> for Measure 1 Personnel</w:t>
      </w:r>
    </w:p>
    <w:p w14:paraId="68531303" w14:textId="564144FA" w:rsidR="006256A2" w:rsidRPr="001603A3" w:rsidRDefault="006256A2" w:rsidP="006256A2">
      <w:pPr>
        <w:ind w:left="-20" w:right="-20"/>
        <w:rPr>
          <w:b/>
          <w:bCs/>
        </w:rPr>
      </w:pPr>
      <w:r w:rsidRPr="7CDF0AB1">
        <w:rPr>
          <w:rFonts w:ascii="Calibri" w:eastAsia="Calibri" w:hAnsi="Calibri" w:cs="Calibri"/>
          <w:color w:val="000000" w:themeColor="text1"/>
        </w:rPr>
        <w:t xml:space="preserve">Existing staff do not have the capacity to do the coordination, management, subcontracting, and planning required to implement 650 </w:t>
      </w:r>
      <w:r>
        <w:rPr>
          <w:rFonts w:ascii="Calibri" w:eastAsia="Calibri" w:hAnsi="Calibri" w:cs="Calibri"/>
          <w:color w:val="000000" w:themeColor="text1"/>
        </w:rPr>
        <w:t xml:space="preserve">residential GHG reduction </w:t>
      </w:r>
      <w:r w:rsidRPr="7CDF0AB1">
        <w:rPr>
          <w:rFonts w:ascii="Calibri" w:eastAsia="Calibri" w:hAnsi="Calibri" w:cs="Calibri"/>
          <w:color w:val="000000" w:themeColor="text1"/>
        </w:rPr>
        <w:t>projects</w:t>
      </w:r>
      <w:r>
        <w:rPr>
          <w:rFonts w:ascii="Calibri" w:eastAsia="Calibri" w:hAnsi="Calibri" w:cs="Calibri"/>
          <w:color w:val="000000" w:themeColor="text1"/>
        </w:rPr>
        <w:t xml:space="preserve">. </w:t>
      </w:r>
    </w:p>
    <w:p w14:paraId="5BB48CD3" w14:textId="77777777" w:rsidR="00102844" w:rsidRDefault="00102844" w:rsidP="070744C5">
      <w:pPr>
        <w:pStyle w:val="Heading3"/>
        <w:spacing w:before="0"/>
      </w:pPr>
    </w:p>
    <w:p w14:paraId="53C9DE9B" w14:textId="43CAF20C" w:rsidR="00522A1A" w:rsidRDefault="00522A1A" w:rsidP="00A34FF4">
      <w:pPr>
        <w:pStyle w:val="Heading3"/>
        <w:spacing w:before="0"/>
      </w:pPr>
      <w:r w:rsidRPr="00522A1A">
        <w:t>Travel</w:t>
      </w:r>
      <w:r w:rsidR="00B7235A">
        <w:t xml:space="preserve">: </w:t>
      </w:r>
    </w:p>
    <w:p w14:paraId="2F76462A" w14:textId="388A064F" w:rsidR="00DC3E53" w:rsidRPr="00DC3E53" w:rsidRDefault="00DC3E53" w:rsidP="00DC3E53">
      <w:r w:rsidRPr="00DC3E53">
        <w:drawing>
          <wp:inline distT="0" distB="0" distL="0" distR="0" wp14:anchorId="354D8397" wp14:editId="28BEF3B2">
            <wp:extent cx="6400800" cy="1129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00800" cy="1129665"/>
                    </a:xfrm>
                    <a:prstGeom prst="rect">
                      <a:avLst/>
                    </a:prstGeom>
                    <a:noFill/>
                    <a:ln>
                      <a:noFill/>
                    </a:ln>
                  </pic:spPr>
                </pic:pic>
              </a:graphicData>
            </a:graphic>
          </wp:inline>
        </w:drawing>
      </w:r>
    </w:p>
    <w:p w14:paraId="26C04371" w14:textId="4E730B85" w:rsidR="15E49A23" w:rsidRDefault="15E49A23" w:rsidP="008E0939">
      <w:pPr>
        <w:pStyle w:val="Heading2"/>
      </w:pPr>
      <w:r>
        <w:t xml:space="preserve">Reasonableness of Cost for Measure 1 Travel </w:t>
      </w:r>
    </w:p>
    <w:p w14:paraId="48A5D24B" w14:textId="77777777" w:rsidR="00A100B0" w:rsidRDefault="39B6CFBA" w:rsidP="00A34FF4">
      <w:pPr>
        <w:rPr>
          <w:rFonts w:eastAsia="Calibri"/>
          <w:color w:val="000000" w:themeColor="text1"/>
        </w:rPr>
      </w:pPr>
      <w:r w:rsidRPr="3998E00F">
        <w:rPr>
          <w:rFonts w:eastAsia="Calibri"/>
          <w:color w:val="000000" w:themeColor="text1"/>
        </w:rPr>
        <w:t>T</w:t>
      </w:r>
      <w:r w:rsidR="47B7A447" w:rsidRPr="3998E00F">
        <w:rPr>
          <w:rFonts w:eastAsia="Calibri"/>
          <w:color w:val="000000" w:themeColor="text1"/>
        </w:rPr>
        <w:t>ravel</w:t>
      </w:r>
      <w:r w:rsidR="47B7A447" w:rsidRPr="06C0876E">
        <w:rPr>
          <w:rFonts w:eastAsia="Calibri"/>
          <w:color w:val="000000" w:themeColor="text1"/>
        </w:rPr>
        <w:t xml:space="preserve"> allows for capacity and relationship building to implement GHG measures. Budget for two conferences/year split between personnel. Topic areas: energy, weatherization, residential wood smoke and wood heaters, tribal climate, and air quality.  National conferences are often hosted in Eastern U.S. Airfare, hotel, and per diem are based on travel to New Orleans, LA as point of destination. Nearest airports are in Lewiston, Idaho (15 miles from Lapwai - Tribal HQ location) or Spokane Airport (120 miles from Lapwai). Spokane flights may cost less, but a hotel may be required for an early morning flight, and parking costs are higher than at Lewiston Airport. Parking is based on the possibility of a conference/workshop being held regionally or towards airport parking costs per year. For local travel, for Measure 1: 1,500 miles per year will be split between staff to visit homes, meet with local contractors, or attend project meetings.</w:t>
      </w:r>
      <w:r w:rsidR="047E1A56" w:rsidRPr="3998E00F">
        <w:rPr>
          <w:rFonts w:eastAsia="Calibri"/>
          <w:color w:val="000000" w:themeColor="text1"/>
        </w:rPr>
        <w:t xml:space="preserve"> </w:t>
      </w:r>
      <w:r w:rsidR="47B7A447" w:rsidRPr="06C0876E">
        <w:rPr>
          <w:rFonts w:eastAsia="Calibri"/>
          <w:color w:val="000000" w:themeColor="text1"/>
        </w:rPr>
        <w:t>One project commute is 120 miles/roundtrip from Lapwai. Staff will be reimbursed for their personal vehicle use.</w:t>
      </w:r>
      <w:r w:rsidR="00980AB6">
        <w:rPr>
          <w:rFonts w:eastAsia="Calibri"/>
          <w:color w:val="000000" w:themeColor="text1"/>
        </w:rPr>
        <w:t xml:space="preserve"> </w:t>
      </w:r>
    </w:p>
    <w:p w14:paraId="1F9308A9" w14:textId="77777777" w:rsidR="00D46537" w:rsidRDefault="00D46537" w:rsidP="00A34FF4">
      <w:pPr>
        <w:rPr>
          <w:rFonts w:eastAsia="Calibri"/>
          <w:color w:val="000000" w:themeColor="text1"/>
        </w:rPr>
      </w:pPr>
    </w:p>
    <w:p w14:paraId="5E55E96A" w14:textId="2AC2441B" w:rsidR="00225063" w:rsidRDefault="00D46537" w:rsidP="00A34FF4">
      <w:pPr>
        <w:rPr>
          <w:rFonts w:eastAsia="Calibri"/>
          <w:color w:val="000000" w:themeColor="text1"/>
        </w:rPr>
        <w:sectPr w:rsidR="00225063" w:rsidSect="00151463">
          <w:footerReference w:type="default" r:id="rId13"/>
          <w:pgSz w:w="12240" w:h="15840"/>
          <w:pgMar w:top="864" w:right="1008" w:bottom="864" w:left="1152" w:header="288" w:footer="144" w:gutter="0"/>
          <w:cols w:space="720"/>
          <w:docGrid w:linePitch="360"/>
        </w:sectPr>
      </w:pPr>
      <w:r w:rsidRPr="00D46537">
        <w:drawing>
          <wp:inline distT="0" distB="0" distL="0" distR="0" wp14:anchorId="6CD7D0EB" wp14:editId="517BC1CC">
            <wp:extent cx="6400800" cy="50095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0" cy="5009515"/>
                    </a:xfrm>
                    <a:prstGeom prst="rect">
                      <a:avLst/>
                    </a:prstGeom>
                    <a:noFill/>
                    <a:ln>
                      <a:noFill/>
                    </a:ln>
                  </pic:spPr>
                </pic:pic>
              </a:graphicData>
            </a:graphic>
          </wp:inline>
        </w:drawing>
      </w:r>
    </w:p>
    <w:tbl>
      <w:tblPr>
        <w:tblW w:w="10349" w:type="dxa"/>
        <w:tblInd w:w="-2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59"/>
        <w:gridCol w:w="5090"/>
      </w:tblGrid>
      <w:tr w:rsidR="00C575D4" w:rsidRPr="00C575D4" w14:paraId="405D9C4C" w14:textId="77777777" w:rsidTr="006256A2">
        <w:trPr>
          <w:trHeight w:val="135"/>
        </w:trPr>
        <w:tc>
          <w:tcPr>
            <w:tcW w:w="10349" w:type="dxa"/>
            <w:gridSpan w:val="2"/>
            <w:tcBorders>
              <w:top w:val="single" w:sz="6" w:space="0" w:color="70AD47" w:themeColor="accent6"/>
              <w:left w:val="single" w:sz="6" w:space="0" w:color="70AD47" w:themeColor="accent6"/>
              <w:bottom w:val="single" w:sz="6" w:space="0" w:color="70AD47" w:themeColor="accent6"/>
              <w:right w:val="single" w:sz="6" w:space="0" w:color="A8D08D" w:themeColor="accent6" w:themeTint="99"/>
            </w:tcBorders>
            <w:shd w:val="clear" w:color="auto" w:fill="70AD47" w:themeFill="accent6"/>
            <w:hideMark/>
          </w:tcPr>
          <w:p w14:paraId="00BF2791" w14:textId="77777777" w:rsidR="00C575D4" w:rsidRPr="00C575D4" w:rsidRDefault="00C575D4" w:rsidP="00A34FF4">
            <w:pPr>
              <w:widowControl/>
              <w:ind w:left="-30" w:right="-30"/>
              <w:jc w:val="center"/>
              <w:textAlignment w:val="baseline"/>
              <w:rPr>
                <w:rFonts w:ascii="Segoe UI" w:eastAsia="Times New Roman" w:hAnsi="Segoe UI" w:cs="Segoe UI"/>
                <w:sz w:val="18"/>
                <w:szCs w:val="18"/>
              </w:rPr>
            </w:pPr>
            <w:r w:rsidRPr="00C575D4">
              <w:rPr>
                <w:rFonts w:ascii="Calibri" w:eastAsia="Times New Roman" w:hAnsi="Calibri" w:cs="Calibri"/>
                <w:b/>
                <w:bCs/>
                <w:szCs w:val="22"/>
              </w:rPr>
              <w:lastRenderedPageBreak/>
              <w:t>Measure 1: Built Environment – Residential </w:t>
            </w:r>
            <w:r w:rsidRPr="00C575D4">
              <w:rPr>
                <w:rFonts w:ascii="Calibri" w:eastAsia="Times New Roman" w:hAnsi="Calibri" w:cs="Calibri"/>
                <w:szCs w:val="22"/>
              </w:rPr>
              <w:t> </w:t>
            </w:r>
          </w:p>
        </w:tc>
      </w:tr>
      <w:tr w:rsidR="00C575D4" w:rsidRPr="00C575D4" w14:paraId="5309A617" w14:textId="77777777" w:rsidTr="006256A2">
        <w:trPr>
          <w:trHeight w:val="135"/>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6241F968" w14:textId="77777777" w:rsidR="00C575D4" w:rsidRPr="00C575D4" w:rsidRDefault="00C575D4" w:rsidP="00A34FF4">
            <w:pPr>
              <w:widowControl/>
              <w:ind w:left="-30" w:right="-30"/>
              <w:jc w:val="left"/>
              <w:textAlignment w:val="baseline"/>
              <w:rPr>
                <w:rFonts w:ascii="Segoe UI" w:eastAsia="Times New Roman" w:hAnsi="Segoe UI" w:cs="Segoe UI"/>
                <w:sz w:val="18"/>
                <w:szCs w:val="18"/>
              </w:rPr>
            </w:pPr>
            <w:r w:rsidRPr="00C575D4">
              <w:rPr>
                <w:rFonts w:ascii="Calibri" w:eastAsia="Times New Roman" w:hAnsi="Calibri" w:cs="Calibri"/>
                <w:b/>
                <w:bCs/>
                <w:szCs w:val="22"/>
              </w:rPr>
              <w:t>  Budget Categories and Description  </w:t>
            </w:r>
            <w:r w:rsidRPr="00C575D4">
              <w:rPr>
                <w:rFonts w:ascii="Calibri" w:eastAsia="Times New Roman" w:hAnsi="Calibri" w:cs="Calibri"/>
                <w:szCs w:val="22"/>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180A025F" w14:textId="77777777" w:rsidR="00C575D4" w:rsidRPr="00C575D4" w:rsidRDefault="00C575D4" w:rsidP="00A34FF4">
            <w:pPr>
              <w:widowControl/>
              <w:ind w:left="-30" w:right="-30"/>
              <w:jc w:val="left"/>
              <w:textAlignment w:val="baseline"/>
              <w:rPr>
                <w:rFonts w:ascii="Segoe UI" w:eastAsia="Times New Roman" w:hAnsi="Segoe UI" w:cs="Segoe UI"/>
                <w:sz w:val="18"/>
                <w:szCs w:val="18"/>
              </w:rPr>
            </w:pPr>
            <w:r w:rsidRPr="00C575D4">
              <w:rPr>
                <w:rFonts w:ascii="Calibri" w:eastAsia="Times New Roman" w:hAnsi="Calibri" w:cs="Calibri"/>
                <w:b/>
                <w:bCs/>
                <w:szCs w:val="22"/>
              </w:rPr>
              <w:t>  Reasonableness of Cost</w:t>
            </w:r>
            <w:r w:rsidRPr="00C575D4">
              <w:rPr>
                <w:rFonts w:ascii="Calibri" w:eastAsia="Times New Roman" w:hAnsi="Calibri" w:cs="Calibri"/>
                <w:szCs w:val="22"/>
              </w:rPr>
              <w:t>  </w:t>
            </w:r>
          </w:p>
        </w:tc>
      </w:tr>
      <w:tr w:rsidR="00C575D4" w:rsidRPr="00C575D4" w14:paraId="4E31EAFF" w14:textId="77777777" w:rsidTr="006256A2">
        <w:trPr>
          <w:trHeight w:val="135"/>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3435A74F" w14:textId="77777777" w:rsidR="00C575D4" w:rsidRPr="00C575D4" w:rsidRDefault="00C575D4" w:rsidP="00A34FF4">
            <w:pPr>
              <w:widowControl/>
              <w:ind w:left="-30" w:right="-30"/>
              <w:jc w:val="left"/>
              <w:textAlignment w:val="baseline"/>
              <w:rPr>
                <w:rFonts w:ascii="Segoe UI" w:eastAsia="Times New Roman" w:hAnsi="Segoe UI" w:cs="Segoe UI"/>
                <w:sz w:val="18"/>
                <w:szCs w:val="18"/>
              </w:rPr>
            </w:pPr>
            <w:r w:rsidRPr="00C575D4">
              <w:rPr>
                <w:rFonts w:ascii="Calibri" w:eastAsia="Times New Roman" w:hAnsi="Calibri" w:cs="Calibri"/>
                <w:b/>
                <w:bCs/>
                <w:color w:val="000000"/>
                <w:szCs w:val="22"/>
              </w:rPr>
              <w:t> Equipment - Not applicable</w:t>
            </w:r>
            <w:r w:rsidRPr="00C575D4">
              <w:rPr>
                <w:rFonts w:ascii="Calibri" w:eastAsia="Times New Roman" w:hAnsi="Calibri" w:cs="Calibri"/>
                <w:color w:val="000000"/>
                <w:szCs w:val="22"/>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09604B35" w14:textId="77777777" w:rsidR="00C575D4" w:rsidRPr="00C575D4" w:rsidRDefault="00C575D4" w:rsidP="00A34FF4">
            <w:pPr>
              <w:widowControl/>
              <w:ind w:left="-30" w:right="-30"/>
              <w:jc w:val="left"/>
              <w:textAlignment w:val="baseline"/>
              <w:rPr>
                <w:rFonts w:ascii="Segoe UI" w:eastAsia="Times New Roman" w:hAnsi="Segoe UI" w:cs="Segoe UI"/>
                <w:sz w:val="18"/>
                <w:szCs w:val="18"/>
              </w:rPr>
            </w:pPr>
            <w:r w:rsidRPr="00C575D4">
              <w:rPr>
                <w:rFonts w:ascii="Calibri" w:eastAsia="Times New Roman" w:hAnsi="Calibri" w:cs="Calibri"/>
                <w:b/>
                <w:bCs/>
                <w:szCs w:val="22"/>
              </w:rPr>
              <w:t>   Not applicable</w:t>
            </w:r>
            <w:r w:rsidRPr="00C575D4">
              <w:rPr>
                <w:rFonts w:ascii="Calibri" w:eastAsia="Times New Roman" w:hAnsi="Calibri" w:cs="Calibri"/>
                <w:szCs w:val="22"/>
              </w:rPr>
              <w:t>  </w:t>
            </w:r>
          </w:p>
        </w:tc>
      </w:tr>
      <w:tr w:rsidR="00C575D4" w:rsidRPr="00C575D4" w14:paraId="0E1C2A13" w14:textId="77777777" w:rsidTr="006256A2">
        <w:trPr>
          <w:trHeight w:val="135"/>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6C11220F" w14:textId="77777777" w:rsidR="00C575D4" w:rsidRPr="00C575D4" w:rsidRDefault="00C575D4" w:rsidP="00A34FF4">
            <w:pPr>
              <w:widowControl/>
              <w:ind w:left="-30" w:right="-30"/>
              <w:jc w:val="left"/>
              <w:textAlignment w:val="baseline"/>
              <w:rPr>
                <w:rFonts w:ascii="Segoe UI" w:eastAsia="Times New Roman" w:hAnsi="Segoe UI" w:cs="Segoe UI"/>
                <w:sz w:val="18"/>
                <w:szCs w:val="18"/>
              </w:rPr>
            </w:pPr>
            <w:r w:rsidRPr="00C575D4">
              <w:rPr>
                <w:rFonts w:ascii="Calibri" w:eastAsia="Times New Roman" w:hAnsi="Calibri" w:cs="Calibri"/>
                <w:b/>
                <w:bCs/>
                <w:color w:val="000000"/>
                <w:szCs w:val="22"/>
              </w:rPr>
              <w:t> Supplies </w:t>
            </w:r>
            <w:r w:rsidRPr="00C575D4">
              <w:rPr>
                <w:rFonts w:ascii="Calibri" w:eastAsia="Times New Roman" w:hAnsi="Calibri" w:cs="Calibri"/>
                <w:color w:val="000000"/>
                <w:szCs w:val="22"/>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68548917" w14:textId="77777777" w:rsidR="00C575D4" w:rsidRPr="00C575D4" w:rsidRDefault="00C575D4" w:rsidP="00A34FF4">
            <w:pPr>
              <w:widowControl/>
              <w:ind w:left="-30" w:right="-30"/>
              <w:jc w:val="left"/>
              <w:textAlignment w:val="baseline"/>
              <w:rPr>
                <w:rFonts w:ascii="Segoe UI" w:eastAsia="Times New Roman" w:hAnsi="Segoe UI" w:cs="Segoe UI"/>
                <w:sz w:val="18"/>
                <w:szCs w:val="18"/>
              </w:rPr>
            </w:pPr>
            <w:r w:rsidRPr="00C575D4">
              <w:rPr>
                <w:rFonts w:ascii="Calibri" w:eastAsia="Times New Roman" w:hAnsi="Calibri" w:cs="Calibri"/>
                <w:color w:val="000000"/>
                <w:szCs w:val="22"/>
              </w:rPr>
              <w:t>  </w:t>
            </w:r>
          </w:p>
        </w:tc>
      </w:tr>
      <w:tr w:rsidR="00C575D4" w:rsidRPr="00C575D4" w14:paraId="7800C506"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6986D1E6" w14:textId="40D48DEB"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color w:val="000000" w:themeColor="text1"/>
              </w:rPr>
              <w:t> Project 1 – Energy Upgrade Supplies - $190,300: A cargo container will be purchased for its durability and resistance to vandalism. The container will store supplies for homes</w:t>
            </w:r>
            <w:r w:rsidR="2C684E8E" w:rsidRPr="2C684E8E">
              <w:rPr>
                <w:rFonts w:ascii="Calibri" w:eastAsia="Times New Roman" w:hAnsi="Calibri" w:cs="Calibri"/>
                <w:color w:val="000000" w:themeColor="text1"/>
              </w:rPr>
              <w:t>,</w:t>
            </w:r>
            <w:r w:rsidRPr="00C575D4">
              <w:rPr>
                <w:rFonts w:ascii="Calibri" w:eastAsia="Times New Roman" w:hAnsi="Calibri" w:cs="Calibri"/>
                <w:color w:val="000000" w:themeColor="text1"/>
              </w:rPr>
              <w:t xml:space="preserve"> including portable air cleaners and replacement filters. Bulk orders occur in Y1 and Y3. As described in Measure 1 narrative, weatherization activities reduce GHGs; however, can increase indoor pollutants, so air filtration is required and a community benefit.</w:t>
            </w:r>
            <w:r w:rsidRPr="7AACBB4D">
              <w:rPr>
                <w:rFonts w:ascii="Calibri" w:eastAsia="Times New Roman" w:hAnsi="Calibri" w:cs="Calibri"/>
                <w:color w:val="000000" w:themeColor="text1"/>
              </w:rPr>
              <w:t>   </w:t>
            </w:r>
            <w:r w:rsidRPr="7AACBB4D">
              <w:rPr>
                <w:rFonts w:ascii="Calibri" w:eastAsia="Times New Roman" w:hAnsi="Calibri" w:cs="Calibri"/>
                <w:b/>
                <w:bCs/>
                <w:color w:val="000000" w:themeColor="text1"/>
              </w:rPr>
              <w:t> </w:t>
            </w:r>
            <w:r w:rsidRPr="7AACBB4D">
              <w:rPr>
                <w:rFonts w:ascii="Calibri" w:eastAsia="Times New Roman" w:hAnsi="Calibri" w:cs="Calibri"/>
                <w:color w:val="000000" w:themeColor="text1"/>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5556A4E5" w14:textId="187B679E" w:rsidR="00C575D4" w:rsidRPr="00C575D4" w:rsidRDefault="00C575D4" w:rsidP="00A34FF4">
            <w:pPr>
              <w:widowControl/>
              <w:ind w:left="135" w:right="135"/>
              <w:jc w:val="left"/>
              <w:textAlignment w:val="baseline"/>
              <w:rPr>
                <w:rFonts w:ascii="Segoe UI" w:eastAsia="Times New Roman" w:hAnsi="Segoe UI" w:cs="Segoe UI"/>
                <w:sz w:val="18"/>
                <w:szCs w:val="18"/>
              </w:rPr>
            </w:pPr>
            <w:r w:rsidRPr="6BB42537">
              <w:rPr>
                <w:rFonts w:ascii="Calibri" w:eastAsia="Times New Roman" w:hAnsi="Calibri" w:cs="Calibri"/>
              </w:rPr>
              <w:t>The local current rate for a 20’ x 8’ cargo container is $4,300.  </w:t>
            </w:r>
            <w:r w:rsidRPr="4FA5F6FD">
              <w:rPr>
                <w:rFonts w:ascii="Calibri" w:eastAsia="Times New Roman" w:hAnsi="Calibri" w:cs="Calibri"/>
              </w:rPr>
              <w:t>Y1 &amp; Y3 purchases</w:t>
            </w:r>
            <w:r w:rsidR="2C684E8E" w:rsidRPr="2C684E8E">
              <w:rPr>
                <w:rFonts w:ascii="Calibri" w:eastAsia="Times New Roman" w:hAnsi="Calibri" w:cs="Calibri"/>
              </w:rPr>
              <w:t>:</w:t>
            </w:r>
            <w:r w:rsidRPr="4FA5F6FD">
              <w:rPr>
                <w:rFonts w:ascii="Calibri" w:eastAsia="Times New Roman" w:hAnsi="Calibri" w:cs="Calibri"/>
              </w:rPr>
              <w:t xml:space="preserve"> 650 total of each: </w:t>
            </w:r>
            <w:r w:rsidRPr="4FA5F6FD">
              <w:rPr>
                <w:rFonts w:ascii="Calibri" w:eastAsia="Times New Roman" w:hAnsi="Calibri" w:cs="Calibri"/>
                <w:color w:val="000000" w:themeColor="text1"/>
              </w:rPr>
              <w:t xml:space="preserve">HEPA-filter portable air cleaner $150 each and 1 </w:t>
            </w:r>
            <w:proofErr w:type="spellStart"/>
            <w:r w:rsidRPr="4FA5F6FD">
              <w:rPr>
                <w:rFonts w:ascii="Calibri" w:eastAsia="Times New Roman" w:hAnsi="Calibri" w:cs="Calibri"/>
                <w:color w:val="000000" w:themeColor="text1"/>
              </w:rPr>
              <w:t>yr</w:t>
            </w:r>
            <w:proofErr w:type="spellEnd"/>
            <w:r w:rsidRPr="4FA5F6FD">
              <w:rPr>
                <w:rFonts w:ascii="Calibri" w:eastAsia="Times New Roman" w:hAnsi="Calibri" w:cs="Calibri"/>
                <w:color w:val="000000" w:themeColor="text1"/>
              </w:rPr>
              <w:t xml:space="preserve"> HEPA-filter replacement @$50 each. Based on March 2024 costs.  </w:t>
            </w:r>
          </w:p>
        </w:tc>
      </w:tr>
      <w:tr w:rsidR="00C575D4" w:rsidRPr="00C575D4" w14:paraId="1EE606B9"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50935D3B" w14:textId="7D817159"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 xml:space="preserve"> Project 2 - Wood Stove Upgrade </w:t>
            </w:r>
            <w:r w:rsidRPr="54939734">
              <w:rPr>
                <w:rFonts w:ascii="Calibri" w:eastAsia="Times New Roman" w:hAnsi="Calibri" w:cs="Calibri"/>
              </w:rPr>
              <w:t>Supplies</w:t>
            </w:r>
            <w:r w:rsidRPr="54939734">
              <w:rPr>
                <w:rFonts w:ascii="Calibri" w:eastAsia="Times New Roman" w:hAnsi="Calibri" w:cs="Calibri"/>
                <w:b/>
                <w:bCs/>
              </w:rPr>
              <w:t> </w:t>
            </w:r>
            <w:r w:rsidRPr="00C575D4">
              <w:rPr>
                <w:rFonts w:ascii="Calibri" w:eastAsia="Times New Roman" w:hAnsi="Calibri" w:cs="Calibri"/>
              </w:rPr>
              <w:t xml:space="preserve">- $13,150: </w:t>
            </w:r>
            <w:r w:rsidRPr="00C575D4">
              <w:rPr>
                <w:rFonts w:ascii="Calibri" w:eastAsia="Times New Roman" w:hAnsi="Calibri" w:cs="Calibri"/>
                <w:color w:val="000000" w:themeColor="text1"/>
              </w:rPr>
              <w:t>Bulk orders for Burn Wise (best burn practice tools and supplies) for homes occur    in Y1 and Y3. These are standard supplies when conducting wood stove upgrades and assist with GHG reduction through occupant behavior change.</w:t>
            </w:r>
            <w:r w:rsidRPr="54939734">
              <w:rPr>
                <w:rFonts w:ascii="Calibri" w:eastAsia="Times New Roman" w:hAnsi="Calibri" w:cs="Calibri"/>
                <w:color w:val="000000" w:themeColor="text1"/>
              </w:rPr>
              <w:t> </w:t>
            </w:r>
            <w:r w:rsidRPr="54939734">
              <w:rPr>
                <w:rFonts w:ascii="Calibri" w:eastAsia="Times New Roman" w:hAnsi="Calibri" w:cs="Calibri"/>
                <w:b/>
                <w:bCs/>
                <w:color w:val="000000" w:themeColor="text1"/>
              </w:rPr>
              <w:t> </w:t>
            </w:r>
            <w:r w:rsidRPr="00C575D4">
              <w:rPr>
                <w:rFonts w:ascii="Calibri" w:eastAsia="Times New Roman" w:hAnsi="Calibri" w:cs="Calibri"/>
                <w:color w:val="000000" w:themeColor="text1"/>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406C898F"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color w:val="000000" w:themeColor="text1"/>
              </w:rPr>
              <w:t>Y1 &amp; Y3 purchases; 350 total of each tool: Stove thermometers @$25 each, Moisture meters @$40 each,</w:t>
            </w:r>
            <w:r w:rsidRPr="54939734">
              <w:rPr>
                <w:rFonts w:ascii="Calibri" w:eastAsia="Times New Roman" w:hAnsi="Calibri" w:cs="Calibri"/>
                <w:color w:val="000000" w:themeColor="text1"/>
              </w:rPr>
              <w:t> Tarp</w:t>
            </w:r>
            <w:r w:rsidRPr="00C575D4">
              <w:rPr>
                <w:rFonts w:ascii="Calibri" w:eastAsia="Times New Roman" w:hAnsi="Calibri" w:cs="Calibri"/>
                <w:color w:val="000000" w:themeColor="text1"/>
              </w:rPr>
              <w:t xml:space="preserve"> &amp; straps @$40, Carbon monoxide alarm @$30 each, Fire starters @$25 each. Based on historical cost.</w:t>
            </w:r>
            <w:r w:rsidRPr="54939734">
              <w:rPr>
                <w:rFonts w:ascii="Calibri" w:eastAsia="Times New Roman" w:hAnsi="Calibri" w:cs="Calibri"/>
                <w:color w:val="000000" w:themeColor="text1"/>
              </w:rPr>
              <w:t> </w:t>
            </w:r>
            <w:r w:rsidRPr="00C575D4">
              <w:rPr>
                <w:rFonts w:ascii="Calibri" w:eastAsia="Times New Roman" w:hAnsi="Calibri" w:cs="Calibri"/>
                <w:color w:val="000000" w:themeColor="text1"/>
              </w:rPr>
              <w:t> </w:t>
            </w:r>
          </w:p>
        </w:tc>
      </w:tr>
      <w:tr w:rsidR="00C575D4" w:rsidRPr="00C575D4" w14:paraId="2201EB20"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799C9D87"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color w:val="000000" w:themeColor="text1"/>
              </w:rPr>
              <w:t>Office Supplies – $1,000: Supplies purchased for the creation of three new personnel positions. Desks, computers, and office supplies. 1 laptop for travel and meetings will be shared among staff.</w:t>
            </w:r>
            <w:r w:rsidRPr="63B52EBD">
              <w:rPr>
                <w:rFonts w:ascii="Calibri" w:eastAsia="Times New Roman" w:hAnsi="Calibri" w:cs="Calibri"/>
                <w:b/>
                <w:bCs/>
                <w:color w:val="000000" w:themeColor="text1"/>
              </w:rPr>
              <w:t> </w:t>
            </w:r>
            <w:r w:rsidRPr="00C575D4">
              <w:rPr>
                <w:rFonts w:ascii="Calibri" w:eastAsia="Times New Roman" w:hAnsi="Calibri" w:cs="Calibri"/>
                <w:color w:val="000000" w:themeColor="text1"/>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08543856"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color w:val="000000"/>
                <w:szCs w:val="22"/>
              </w:rPr>
              <w:t>3 desktop computers @$1,700 each; 1 Laptop computer @$1,700 each, 3 External hard drives @$150 each, 3 Workstations, chair, storage @$1,300 each. Miscellaneous office supplies @$200/year. Based on historical costs.   </w:t>
            </w:r>
          </w:p>
        </w:tc>
      </w:tr>
      <w:tr w:rsidR="00C575D4" w:rsidRPr="00C575D4" w14:paraId="460F9B76"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3EA5E0B9"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b/>
                <w:bCs/>
                <w:color w:val="000000"/>
                <w:szCs w:val="22"/>
              </w:rPr>
              <w:t>Contractual </w:t>
            </w:r>
            <w:r w:rsidRPr="00C575D4">
              <w:rPr>
                <w:rFonts w:ascii="Calibri" w:eastAsia="Times New Roman" w:hAnsi="Calibri" w:cs="Calibri"/>
                <w:b/>
                <w:bCs/>
                <w:szCs w:val="22"/>
              </w:rPr>
              <w:t>  </w:t>
            </w:r>
            <w:r w:rsidRPr="00C575D4">
              <w:rPr>
                <w:rFonts w:ascii="Calibri" w:eastAsia="Times New Roman" w:hAnsi="Calibri" w:cs="Calibri"/>
                <w:szCs w:val="22"/>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7CAAF896"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  </w:t>
            </w:r>
          </w:p>
        </w:tc>
      </w:tr>
      <w:tr w:rsidR="00C575D4" w:rsidRPr="00C575D4" w14:paraId="21ACD0CD"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5FCBD934"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Contractor to conduct energy audits for homes – $1,371,300 (65 homes in Y1, 147 homes in each Y2-Y5): Bid process for selection. Cost includes site visit, post-visit analysis, report w/ recommendations for</w:t>
            </w:r>
            <w:r w:rsidRPr="00C575D4">
              <w:rPr>
                <w:rFonts w:ascii="Calibri" w:eastAsia="Times New Roman" w:hAnsi="Calibri" w:cs="Calibri"/>
                <w:color w:val="000000" w:themeColor="text1"/>
              </w:rPr>
              <w:t xml:space="preserve"> GHG reduction measures.</w:t>
            </w:r>
            <w:r w:rsidRPr="00C575D4">
              <w:rPr>
                <w:rFonts w:ascii="Calibri" w:eastAsia="Times New Roman" w:hAnsi="Calibri" w:cs="Calibri"/>
              </w:rPr>
              <w:t xml:space="preserve"> Avg cost of $2,100/home.</w:t>
            </w:r>
            <w:r w:rsidRPr="63B52EBD">
              <w:rPr>
                <w:rFonts w:ascii="Calibri" w:eastAsia="Times New Roman" w:hAnsi="Calibri" w:cs="Calibri"/>
                <w:b/>
                <w:bCs/>
              </w:rPr>
              <w:t> </w:t>
            </w:r>
            <w:r w:rsidRPr="00C575D4">
              <w:rPr>
                <w:rFonts w:ascii="Calibri" w:eastAsia="Times New Roman" w:hAnsi="Calibri" w:cs="Calibri"/>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2A5889D7" w14:textId="0A389E4E"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 xml:space="preserve">Based on recent project costs in the Oakridge Air Project in Oregon. These costs </w:t>
            </w:r>
            <w:r w:rsidR="3B347D9F" w:rsidRPr="3B347D9F">
              <w:rPr>
                <w:rFonts w:ascii="Calibri" w:eastAsia="Times New Roman" w:hAnsi="Calibri" w:cs="Calibri"/>
              </w:rPr>
              <w:t>represent</w:t>
            </w:r>
            <w:r w:rsidRPr="00C575D4">
              <w:rPr>
                <w:rFonts w:ascii="Calibri" w:eastAsia="Times New Roman" w:hAnsi="Calibri" w:cs="Calibri"/>
              </w:rPr>
              <w:t xml:space="preserve"> expected costs for the Nez Perce Reservation</w:t>
            </w:r>
            <w:r w:rsidR="63B52EBD" w:rsidRPr="63B52EBD">
              <w:rPr>
                <w:rFonts w:ascii="Calibri" w:eastAsia="Times New Roman" w:hAnsi="Calibri" w:cs="Calibri"/>
              </w:rPr>
              <w:t>—$</w:t>
            </w:r>
            <w:r w:rsidRPr="00C575D4">
              <w:rPr>
                <w:rFonts w:ascii="Calibri" w:eastAsia="Times New Roman" w:hAnsi="Calibri" w:cs="Calibri"/>
              </w:rPr>
              <w:t>2,100 for evaluation and report.</w:t>
            </w:r>
            <w:r w:rsidRPr="63B52EBD">
              <w:rPr>
                <w:rFonts w:ascii="Calibri" w:eastAsia="Times New Roman" w:hAnsi="Calibri" w:cs="Calibri"/>
              </w:rPr>
              <w:t>  </w:t>
            </w:r>
            <w:r w:rsidRPr="00C575D4">
              <w:rPr>
                <w:rFonts w:ascii="Calibri" w:eastAsia="Times New Roman" w:hAnsi="Calibri" w:cs="Calibri"/>
              </w:rPr>
              <w:t> </w:t>
            </w:r>
          </w:p>
        </w:tc>
      </w:tr>
      <w:tr w:rsidR="00C575D4" w:rsidRPr="00C575D4" w14:paraId="797ECDC6"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7DD31E30"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 xml:space="preserve">Contractors for weatherization upgrades for homes - $7,836,000 (65 homes in Y1, 147 homes in each Y2-Y5):  Bid process for selection. Cost includes insulation, air sealing, door/window repair and replacements, ventilation, and installation </w:t>
            </w:r>
            <w:r w:rsidRPr="00C575D4">
              <w:rPr>
                <w:rFonts w:ascii="Calibri" w:eastAsia="Times New Roman" w:hAnsi="Calibri" w:cs="Calibri"/>
                <w:color w:val="000000" w:themeColor="text1"/>
              </w:rPr>
              <w:t>to implement GHG reduction measures</w:t>
            </w:r>
            <w:r w:rsidRPr="00C575D4">
              <w:rPr>
                <w:rFonts w:ascii="Calibri" w:eastAsia="Times New Roman" w:hAnsi="Calibri" w:cs="Calibri"/>
              </w:rPr>
              <w:t>. Avg cost of $12,000/home.</w:t>
            </w:r>
            <w:r w:rsidRPr="3945D577">
              <w:rPr>
                <w:rFonts w:ascii="Calibri" w:eastAsia="Times New Roman" w:hAnsi="Calibri" w:cs="Calibri"/>
                <w:b/>
                <w:bCs/>
              </w:rPr>
              <w:t> </w:t>
            </w:r>
            <w:r w:rsidRPr="00C575D4">
              <w:rPr>
                <w:rFonts w:ascii="Calibri" w:eastAsia="Times New Roman" w:hAnsi="Calibri" w:cs="Calibri"/>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273A0FD9"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Based on recent project costs in the Oakridge Air Project in Oregon. These costs are representative of expected costs for the Nez Perce Reservation. $12,000 for materials and installation; each home’s weatherization needs will be different.  </w:t>
            </w:r>
          </w:p>
        </w:tc>
      </w:tr>
      <w:tr w:rsidR="00C575D4" w:rsidRPr="00C575D4" w14:paraId="7EBF2927"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10A90BE2"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 xml:space="preserve">Contract for air-source heat pump upgrade of homes of 650 homes - $4,571,000 (65 homes in Y1, 147 homes in each Y2-Y5): Bid process for selection. Cost includes the unit and installation </w:t>
            </w:r>
            <w:r w:rsidRPr="00C575D4">
              <w:rPr>
                <w:rFonts w:ascii="Calibri" w:eastAsia="Times New Roman" w:hAnsi="Calibri" w:cs="Calibri"/>
                <w:color w:val="000000"/>
                <w:szCs w:val="22"/>
              </w:rPr>
              <w:t>to implement GHG reduction measures</w:t>
            </w:r>
            <w:r w:rsidRPr="00C575D4">
              <w:rPr>
                <w:rFonts w:ascii="Calibri" w:eastAsia="Times New Roman" w:hAnsi="Calibri" w:cs="Calibri"/>
                <w:szCs w:val="22"/>
              </w:rPr>
              <w:t>. Avg cost of $7,000/home.</w:t>
            </w:r>
            <w:r w:rsidRPr="00C575D4">
              <w:rPr>
                <w:rFonts w:ascii="Calibri" w:eastAsia="Times New Roman" w:hAnsi="Calibri" w:cs="Calibri"/>
                <w:b/>
                <w:bCs/>
                <w:szCs w:val="22"/>
              </w:rPr>
              <w:t> </w:t>
            </w:r>
            <w:r w:rsidRPr="00C575D4">
              <w:rPr>
                <w:rFonts w:ascii="Calibri" w:eastAsia="Times New Roman" w:hAnsi="Calibri" w:cs="Calibri"/>
                <w:szCs w:val="22"/>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4039A6C2"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Based on recent project costs in the Oakridge Air Project in Oregon. These costs are representative of expected costs for the Nez Perce Reservation. $7,000 for materials and installation.   </w:t>
            </w:r>
          </w:p>
        </w:tc>
      </w:tr>
      <w:tr w:rsidR="00C575D4" w:rsidRPr="00C575D4" w14:paraId="1EFAC89F"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069AC4B8"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 xml:space="preserve">Contracts for wood stove upgrade of 350 homes - $2,632,500 (65 homes in Y1, 147 homes in each Y2-Y5): </w:t>
            </w:r>
            <w:r w:rsidRPr="00C575D4">
              <w:rPr>
                <w:rFonts w:ascii="Calibri" w:eastAsia="Times New Roman" w:hAnsi="Calibri" w:cs="Calibri"/>
                <w:color w:val="000000" w:themeColor="text1"/>
              </w:rPr>
              <w:t>Bid process for selection and work with nearby hearth retail stores. Cost includes cost of stove, chimney/venting pipe, hearth pad for safety, and installation costs plus minor roof/ceiling repair to implement GHG reduction measures.</w:t>
            </w:r>
            <w:r w:rsidRPr="3945D577">
              <w:rPr>
                <w:rFonts w:ascii="Calibri" w:eastAsia="Times New Roman" w:hAnsi="Calibri" w:cs="Calibri"/>
                <w:color w:val="000000" w:themeColor="text1"/>
              </w:rPr>
              <w:t> </w:t>
            </w:r>
            <w:r w:rsidRPr="00C575D4">
              <w:rPr>
                <w:rFonts w:ascii="Calibri" w:eastAsia="Times New Roman" w:hAnsi="Calibri" w:cs="Calibri"/>
                <w:color w:val="000000" w:themeColor="text1"/>
              </w:rPr>
              <w:t xml:space="preserve"> Avg cost of $7,500/ home.</w:t>
            </w:r>
            <w:r w:rsidRPr="3945D577">
              <w:rPr>
                <w:rFonts w:ascii="Calibri" w:eastAsia="Times New Roman" w:hAnsi="Calibri" w:cs="Calibri"/>
                <w:b/>
                <w:bCs/>
                <w:color w:val="000000" w:themeColor="text1"/>
              </w:rPr>
              <w:t> </w:t>
            </w:r>
            <w:r w:rsidRPr="00C575D4">
              <w:rPr>
                <w:rFonts w:ascii="Calibri" w:eastAsia="Times New Roman" w:hAnsi="Calibri" w:cs="Calibri"/>
                <w:color w:val="000000" w:themeColor="text1"/>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7A796A95"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Based on recent project costs in the Oakridge Air Project in Oregon. These costs are representative of expected costs for the Nez Perce Reservation. Estimated $7,500 for materials and installation; each home’s wood stove upgrade will have different needs.  </w:t>
            </w:r>
          </w:p>
        </w:tc>
      </w:tr>
      <w:tr w:rsidR="00C575D4" w:rsidRPr="00C575D4" w14:paraId="31077E28"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15EF4438"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lastRenderedPageBreak/>
              <w:t xml:space="preserve">Contracts for Certified Building Inspector to inspect homes - $130,600 (65 homes in Y1, 147 homes in each Y2-Y5): </w:t>
            </w:r>
            <w:r w:rsidRPr="00C575D4">
              <w:rPr>
                <w:rFonts w:ascii="Calibri" w:eastAsia="Times New Roman" w:hAnsi="Calibri" w:cs="Calibri"/>
                <w:color w:val="000000" w:themeColor="text1"/>
              </w:rPr>
              <w:t>Bid process for selection. County building inspections do not include tribal buildings. Tribe must pay for certified building inspectors to inspect work. Inspector will inspect weatherization upgrades and heating/cooling upgrades (GHG reduction measures).</w:t>
            </w:r>
            <w:r w:rsidRPr="3945D577">
              <w:rPr>
                <w:rFonts w:ascii="Calibri" w:eastAsia="Times New Roman" w:hAnsi="Calibri" w:cs="Calibri"/>
                <w:color w:val="000000" w:themeColor="text1"/>
              </w:rPr>
              <w:t> </w:t>
            </w:r>
            <w:r w:rsidRPr="3945D577">
              <w:rPr>
                <w:rFonts w:ascii="Calibri" w:eastAsia="Times New Roman" w:hAnsi="Calibri" w:cs="Calibri"/>
                <w:b/>
                <w:bCs/>
                <w:color w:val="000000" w:themeColor="text1"/>
              </w:rPr>
              <w:t> </w:t>
            </w:r>
            <w:r w:rsidRPr="00C575D4">
              <w:rPr>
                <w:rFonts w:ascii="Calibri" w:eastAsia="Times New Roman" w:hAnsi="Calibri" w:cs="Calibri"/>
                <w:color w:val="000000" w:themeColor="text1"/>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1718E4A0" w14:textId="021771EE"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color w:val="000000" w:themeColor="text1"/>
              </w:rPr>
              <w:t xml:space="preserve">Nez Perce Tribal Housing Authority spends </w:t>
            </w:r>
            <w:r w:rsidR="3945D577" w:rsidRPr="3945D577">
              <w:rPr>
                <w:rFonts w:ascii="Calibri" w:eastAsia="Times New Roman" w:hAnsi="Calibri" w:cs="Calibri"/>
                <w:color w:val="000000" w:themeColor="text1"/>
              </w:rPr>
              <w:t xml:space="preserve">an </w:t>
            </w:r>
            <w:r w:rsidRPr="00C575D4">
              <w:rPr>
                <w:rFonts w:ascii="Calibri" w:eastAsia="Times New Roman" w:hAnsi="Calibri" w:cs="Calibri"/>
                <w:color w:val="000000" w:themeColor="text1"/>
              </w:rPr>
              <w:t>average of $200 per inspection of the work conducted in their tribal rentals.</w:t>
            </w:r>
            <w:r w:rsidRPr="3945D577">
              <w:rPr>
                <w:rFonts w:ascii="Calibri" w:eastAsia="Times New Roman" w:hAnsi="Calibri" w:cs="Calibri"/>
                <w:color w:val="000000" w:themeColor="text1"/>
              </w:rPr>
              <w:t>  </w:t>
            </w:r>
            <w:r w:rsidRPr="00C575D4">
              <w:rPr>
                <w:rFonts w:ascii="Calibri" w:eastAsia="Times New Roman" w:hAnsi="Calibri" w:cs="Calibri"/>
                <w:color w:val="000000" w:themeColor="text1"/>
              </w:rPr>
              <w:t> </w:t>
            </w:r>
          </w:p>
        </w:tc>
      </w:tr>
      <w:tr w:rsidR="00C575D4" w:rsidRPr="00C575D4" w14:paraId="1ACAAA49"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077F8892" w14:textId="1BCBAB5C"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 xml:space="preserve">Contracts for workforce training programs -$25,000 in YR1: Training and tribal capacity-building costs to implement GHG reduction measures for </w:t>
            </w:r>
            <w:r w:rsidR="09CA9336" w:rsidRPr="09CA9336">
              <w:rPr>
                <w:rFonts w:ascii="Calibri" w:eastAsia="Times New Roman" w:hAnsi="Calibri" w:cs="Calibri"/>
              </w:rPr>
              <w:t>ten</w:t>
            </w:r>
            <w:r w:rsidRPr="00C575D4">
              <w:rPr>
                <w:rFonts w:ascii="Calibri" w:eastAsia="Times New Roman" w:hAnsi="Calibri" w:cs="Calibri"/>
              </w:rPr>
              <w:t xml:space="preserve"> students (instructors’ prep-time, travel/per diem costs, instructional time, and follow-up; room rental; classroom instruction, hands-on training, curriculum, supplies, and mentorship program). Partner training organizations will provide </w:t>
            </w:r>
            <w:r w:rsidR="035C80A2" w:rsidRPr="035C80A2">
              <w:rPr>
                <w:rFonts w:ascii="Calibri" w:eastAsia="Times New Roman" w:hAnsi="Calibri" w:cs="Calibri"/>
              </w:rPr>
              <w:t>six</w:t>
            </w:r>
            <w:r w:rsidRPr="00C575D4">
              <w:rPr>
                <w:rFonts w:ascii="Calibri" w:eastAsia="Times New Roman" w:hAnsi="Calibri" w:cs="Calibri"/>
              </w:rPr>
              <w:t xml:space="preserve"> days of training on multiple training topics (audits, weatherization, wood stove installation).</w:t>
            </w:r>
            <w:r w:rsidRPr="09CA9336">
              <w:rPr>
                <w:rFonts w:ascii="Calibri" w:eastAsia="Times New Roman" w:hAnsi="Calibri" w:cs="Calibri"/>
              </w:rPr>
              <w:t> </w:t>
            </w:r>
            <w:r w:rsidRPr="09CA9336">
              <w:rPr>
                <w:rFonts w:ascii="Calibri" w:eastAsia="Times New Roman" w:hAnsi="Calibri" w:cs="Calibri"/>
                <w:b/>
                <w:bCs/>
              </w:rPr>
              <w:t> </w:t>
            </w:r>
            <w:r w:rsidRPr="00C575D4">
              <w:rPr>
                <w:rFonts w:ascii="Calibri" w:eastAsia="Times New Roman" w:hAnsi="Calibri" w:cs="Calibri"/>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42A6F9D1" w14:textId="18AD79E4"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 xml:space="preserve">Based on workforce training costs on radon gas mitigation held in September 2023 at $8,200 for a 2-day training (specifics to in the left column). Upscaled to allow for </w:t>
            </w:r>
            <w:r w:rsidR="035C80A2" w:rsidRPr="035C80A2">
              <w:rPr>
                <w:rFonts w:ascii="Calibri" w:eastAsia="Times New Roman" w:hAnsi="Calibri" w:cs="Calibri"/>
              </w:rPr>
              <w:t>six</w:t>
            </w:r>
            <w:r w:rsidRPr="00C575D4">
              <w:rPr>
                <w:rFonts w:ascii="Calibri" w:eastAsia="Times New Roman" w:hAnsi="Calibri" w:cs="Calibri"/>
              </w:rPr>
              <w:t xml:space="preserve"> days of training topics.</w:t>
            </w:r>
            <w:r w:rsidRPr="035C80A2">
              <w:rPr>
                <w:rFonts w:ascii="Calibri" w:eastAsia="Times New Roman" w:hAnsi="Calibri" w:cs="Calibri"/>
              </w:rPr>
              <w:t>  </w:t>
            </w:r>
            <w:r w:rsidRPr="00C575D4">
              <w:rPr>
                <w:rFonts w:ascii="Calibri" w:eastAsia="Times New Roman" w:hAnsi="Calibri" w:cs="Calibri"/>
              </w:rPr>
              <w:t> </w:t>
            </w:r>
          </w:p>
        </w:tc>
      </w:tr>
      <w:tr w:rsidR="00C575D4" w:rsidRPr="00C575D4" w14:paraId="7E23492D"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6BF36073"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 xml:space="preserve">Contract for professional printing of outreach and educational materials for homes &amp; public - $4,000 total/5 </w:t>
            </w:r>
            <w:proofErr w:type="spellStart"/>
            <w:r w:rsidRPr="00C575D4">
              <w:rPr>
                <w:rFonts w:ascii="Calibri" w:eastAsia="Times New Roman" w:hAnsi="Calibri" w:cs="Calibri"/>
              </w:rPr>
              <w:t>yrs</w:t>
            </w:r>
            <w:proofErr w:type="spellEnd"/>
            <w:r w:rsidRPr="00C575D4">
              <w:rPr>
                <w:rFonts w:ascii="Calibri" w:eastAsia="Times New Roman" w:hAnsi="Calibri" w:cs="Calibri"/>
              </w:rPr>
              <w:t>:  Materials that cannot be printed in-house that require professional formatting and durable, quality materials. Local printing businesses will complete this task.</w:t>
            </w:r>
            <w:r w:rsidRPr="61777711">
              <w:rPr>
                <w:rFonts w:ascii="Calibri" w:eastAsia="Times New Roman" w:hAnsi="Calibri" w:cs="Calibri"/>
              </w:rPr>
              <w:t> </w:t>
            </w:r>
            <w:r w:rsidRPr="61777711">
              <w:rPr>
                <w:rFonts w:ascii="Calibri" w:eastAsia="Times New Roman" w:hAnsi="Calibri" w:cs="Calibri"/>
                <w:b/>
                <w:bCs/>
              </w:rPr>
              <w:t> </w:t>
            </w:r>
            <w:r w:rsidRPr="00C575D4">
              <w:rPr>
                <w:rFonts w:ascii="Calibri" w:eastAsia="Times New Roman" w:hAnsi="Calibri" w:cs="Calibri"/>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72C802E0"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Based on printing costs for a radon outreach project with public libraries in January 2024.   </w:t>
            </w:r>
          </w:p>
        </w:tc>
      </w:tr>
      <w:tr w:rsidR="00C575D4" w:rsidRPr="00C575D4" w14:paraId="1FA498C4"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2ABB42A7"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b/>
                <w:bCs/>
                <w:color w:val="000000"/>
                <w:szCs w:val="22"/>
              </w:rPr>
              <w:t>Other </w:t>
            </w:r>
            <w:r w:rsidRPr="00C575D4">
              <w:rPr>
                <w:rFonts w:ascii="Calibri" w:eastAsia="Times New Roman" w:hAnsi="Calibri" w:cs="Calibri"/>
                <w:color w:val="000000"/>
                <w:szCs w:val="22"/>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6CF8CB85"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  </w:t>
            </w:r>
          </w:p>
        </w:tc>
      </w:tr>
      <w:tr w:rsidR="00C575D4" w:rsidRPr="00C575D4" w14:paraId="278D92D1"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08855CF7"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rPr>
              <w:t>EPA Region 10 CAA 103 budget requirements have conference registrations in the “Other” category $7,500 total/5 yrs. Above section “Travel” describes the capacity-building possibilities needed to implement Measure 1 GHG reductions. Office copying and printing costs at the office support the implementation of Measure 1 GHG reductions - $1,750 total/5 yrs.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7F4C2753" w14:textId="71AEBA62" w:rsidR="00C575D4" w:rsidRPr="00C575D4" w:rsidRDefault="00C575D4" w:rsidP="00A34FF4">
            <w:pPr>
              <w:widowControl/>
              <w:ind w:left="135" w:right="135"/>
              <w:jc w:val="left"/>
              <w:textAlignment w:val="baseline"/>
              <w:rPr>
                <w:rFonts w:ascii="Segoe UI" w:eastAsia="Times New Roman" w:hAnsi="Segoe UI" w:cs="Segoe UI"/>
                <w:sz w:val="18"/>
                <w:szCs w:val="18"/>
              </w:rPr>
            </w:pPr>
            <w:r w:rsidRPr="61777711">
              <w:rPr>
                <w:rFonts w:ascii="Calibri" w:eastAsia="Times New Roman" w:hAnsi="Calibri" w:cs="Calibri"/>
              </w:rPr>
              <w:t> </w:t>
            </w:r>
            <w:r w:rsidRPr="00C575D4">
              <w:rPr>
                <w:rFonts w:ascii="Calibri" w:eastAsia="Times New Roman" w:hAnsi="Calibri" w:cs="Calibri"/>
              </w:rPr>
              <w:t>$1,500 conference registration covers costs/</w:t>
            </w:r>
            <w:proofErr w:type="spellStart"/>
            <w:r w:rsidRPr="00C575D4">
              <w:rPr>
                <w:rFonts w:ascii="Calibri" w:eastAsia="Times New Roman" w:hAnsi="Calibri" w:cs="Calibri"/>
              </w:rPr>
              <w:t>yr</w:t>
            </w:r>
            <w:proofErr w:type="spellEnd"/>
            <w:r w:rsidRPr="00C575D4">
              <w:rPr>
                <w:rFonts w:ascii="Calibri" w:eastAsia="Times New Roman" w:hAnsi="Calibri" w:cs="Calibri"/>
              </w:rPr>
              <w:t xml:space="preserve"> for 2 travels and copying/printing at $350/</w:t>
            </w:r>
            <w:proofErr w:type="spellStart"/>
            <w:r w:rsidRPr="00C575D4">
              <w:rPr>
                <w:rFonts w:ascii="Calibri" w:eastAsia="Times New Roman" w:hAnsi="Calibri" w:cs="Calibri"/>
              </w:rPr>
              <w:t>yr</w:t>
            </w:r>
            <w:proofErr w:type="spellEnd"/>
            <w:r w:rsidRPr="00C575D4">
              <w:rPr>
                <w:rFonts w:ascii="Calibri" w:eastAsia="Times New Roman" w:hAnsi="Calibri" w:cs="Calibri"/>
              </w:rPr>
              <w:t xml:space="preserve"> are based on historical costs.</w:t>
            </w:r>
            <w:r w:rsidRPr="61777711">
              <w:rPr>
                <w:rFonts w:ascii="Calibri" w:eastAsia="Times New Roman" w:hAnsi="Calibri" w:cs="Calibri"/>
              </w:rPr>
              <w:t>  </w:t>
            </w:r>
            <w:r w:rsidRPr="00C575D4">
              <w:rPr>
                <w:rFonts w:ascii="Calibri" w:eastAsia="Times New Roman" w:hAnsi="Calibri" w:cs="Calibri"/>
              </w:rPr>
              <w:t> </w:t>
            </w:r>
          </w:p>
        </w:tc>
      </w:tr>
      <w:tr w:rsidR="00C575D4" w:rsidRPr="00C575D4" w14:paraId="039C0F28"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7D46128C"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b/>
                <w:bCs/>
                <w:color w:val="000000"/>
                <w:szCs w:val="22"/>
              </w:rPr>
              <w:t>Indirect </w:t>
            </w:r>
            <w:r w:rsidRPr="00C575D4">
              <w:rPr>
                <w:rFonts w:ascii="Calibri" w:eastAsia="Times New Roman" w:hAnsi="Calibri" w:cs="Calibri"/>
                <w:color w:val="000000"/>
                <w:szCs w:val="22"/>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E2EFD9" w:themeFill="accent6" w:themeFillTint="33"/>
            <w:hideMark/>
          </w:tcPr>
          <w:p w14:paraId="04426EA9" w14:textId="77777777" w:rsidR="00C575D4" w:rsidRPr="00C575D4" w:rsidRDefault="00C575D4" w:rsidP="00A34FF4">
            <w:pPr>
              <w:widowControl/>
              <w:ind w:left="135" w:right="135"/>
              <w:jc w:val="left"/>
              <w:textAlignment w:val="baseline"/>
              <w:rPr>
                <w:rFonts w:ascii="Segoe UI" w:eastAsia="Times New Roman" w:hAnsi="Segoe UI" w:cs="Segoe UI"/>
                <w:sz w:val="18"/>
                <w:szCs w:val="18"/>
              </w:rPr>
            </w:pPr>
            <w:r w:rsidRPr="00C575D4">
              <w:rPr>
                <w:rFonts w:ascii="Calibri" w:eastAsia="Times New Roman" w:hAnsi="Calibri" w:cs="Calibri"/>
                <w:szCs w:val="22"/>
              </w:rPr>
              <w:t>  </w:t>
            </w:r>
          </w:p>
        </w:tc>
      </w:tr>
      <w:tr w:rsidR="00C575D4" w:rsidRPr="00C575D4" w14:paraId="4A50D56E" w14:textId="77777777" w:rsidTr="006256A2">
        <w:trPr>
          <w:trHeight w:val="300"/>
        </w:trPr>
        <w:tc>
          <w:tcPr>
            <w:tcW w:w="5259"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14FE2922" w14:textId="73783475" w:rsidR="00C575D4" w:rsidRPr="00C575D4" w:rsidRDefault="00C575D4" w:rsidP="00A34FF4">
            <w:pPr>
              <w:widowControl/>
              <w:ind w:left="135" w:right="135"/>
              <w:jc w:val="left"/>
              <w:textAlignment w:val="baseline"/>
              <w:rPr>
                <w:rFonts w:ascii="Calibri" w:eastAsia="Times New Roman" w:hAnsi="Calibri" w:cs="Calibri"/>
              </w:rPr>
            </w:pPr>
            <w:r w:rsidRPr="00C575D4">
              <w:rPr>
                <w:rFonts w:ascii="Calibri" w:eastAsia="Times New Roman" w:hAnsi="Calibri" w:cs="Calibri"/>
              </w:rPr>
              <w:t>Nez Perce Tribe FY24 approved IDC rate is 20.89</w:t>
            </w:r>
            <w:r w:rsidRPr="70E81D23">
              <w:rPr>
                <w:rFonts w:ascii="Calibri" w:eastAsia="Times New Roman" w:hAnsi="Calibri" w:cs="Calibri"/>
              </w:rPr>
              <w:t>%</w:t>
            </w:r>
            <w:r w:rsidR="54B3E832" w:rsidRPr="70E81D23">
              <w:rPr>
                <w:rFonts w:ascii="Calibri" w:eastAsia="Times New Roman" w:hAnsi="Calibri" w:cs="Calibri"/>
              </w:rPr>
              <w:t xml:space="preserve"> - $349,168 total</w:t>
            </w:r>
            <w:r w:rsidR="54B3E832" w:rsidRPr="3CF8EACC">
              <w:rPr>
                <w:rFonts w:ascii="Calibri" w:eastAsia="Times New Roman" w:hAnsi="Calibri" w:cs="Calibri"/>
              </w:rPr>
              <w:t>/5 yr.</w:t>
            </w:r>
            <w:r w:rsidRPr="00C575D4">
              <w:rPr>
                <w:rFonts w:ascii="Calibri" w:eastAsia="Times New Roman" w:hAnsi="Calibri" w:cs="Calibri"/>
              </w:rPr>
              <w:t xml:space="preserve"> Base = direct costs less equipment, in-kind contributions, and pass-through funds.</w:t>
            </w:r>
            <w:r w:rsidRPr="456F00B6">
              <w:rPr>
                <w:rFonts w:ascii="Calibri" w:eastAsia="Times New Roman" w:hAnsi="Calibri" w:cs="Calibri"/>
                <w:b/>
              </w:rPr>
              <w:t> </w:t>
            </w:r>
          </w:p>
        </w:tc>
        <w:tc>
          <w:tcPr>
            <w:tcW w:w="5090" w:type="dxa"/>
            <w:tcBorders>
              <w:top w:val="single" w:sz="6" w:space="0" w:color="A8D08D" w:themeColor="accent6" w:themeTint="99"/>
              <w:left w:val="single" w:sz="6" w:space="0" w:color="A8D08D" w:themeColor="accent6" w:themeTint="99"/>
              <w:bottom w:val="single" w:sz="6" w:space="0" w:color="A8D08D" w:themeColor="accent6" w:themeTint="99"/>
              <w:right w:val="single" w:sz="6" w:space="0" w:color="A8D08D" w:themeColor="accent6" w:themeTint="99"/>
            </w:tcBorders>
            <w:shd w:val="clear" w:color="auto" w:fill="auto"/>
            <w:hideMark/>
          </w:tcPr>
          <w:p w14:paraId="757CA848" w14:textId="041C68B5" w:rsidR="00C575D4" w:rsidRPr="00C575D4" w:rsidRDefault="00D8756A" w:rsidP="00A34FF4">
            <w:pPr>
              <w:widowControl/>
              <w:ind w:left="135" w:right="135"/>
              <w:jc w:val="left"/>
              <w:textAlignment w:val="baseline"/>
              <w:rPr>
                <w:rFonts w:ascii="Calibri" w:eastAsia="Times New Roman" w:hAnsi="Calibri" w:cs="Calibri"/>
              </w:rPr>
            </w:pPr>
            <w:r w:rsidRPr="3B0A42A4">
              <w:rPr>
                <w:rFonts w:ascii="Calibri" w:eastAsia="Times New Roman" w:hAnsi="Calibri" w:cs="Calibri"/>
              </w:rPr>
              <w:t xml:space="preserve">The Tribe’s indirect cost rate is 30% less than </w:t>
            </w:r>
            <w:r w:rsidR="12ABAD25" w:rsidRPr="12ABAD25">
              <w:rPr>
                <w:rFonts w:ascii="Calibri" w:eastAsia="Times New Roman" w:hAnsi="Calibri" w:cs="Calibri"/>
              </w:rPr>
              <w:t xml:space="preserve">that of </w:t>
            </w:r>
            <w:r w:rsidRPr="3B0A42A4">
              <w:rPr>
                <w:rFonts w:ascii="Calibri" w:eastAsia="Times New Roman" w:hAnsi="Calibri" w:cs="Calibri"/>
              </w:rPr>
              <w:t xml:space="preserve">area universities, and </w:t>
            </w:r>
            <w:r w:rsidR="12ABAD25" w:rsidRPr="12ABAD25">
              <w:rPr>
                <w:rFonts w:ascii="Calibri" w:eastAsia="Times New Roman" w:hAnsi="Calibri" w:cs="Calibri"/>
              </w:rPr>
              <w:t xml:space="preserve">it </w:t>
            </w:r>
            <w:r w:rsidRPr="3B0A42A4">
              <w:rPr>
                <w:rFonts w:ascii="Calibri" w:eastAsia="Times New Roman" w:hAnsi="Calibri" w:cs="Calibri"/>
              </w:rPr>
              <w:t xml:space="preserve">parallels the indirect rate of local non-profits, not governments. </w:t>
            </w:r>
            <w:r w:rsidR="3B446192" w:rsidRPr="29F77242">
              <w:rPr>
                <w:rFonts w:ascii="Calibri" w:eastAsia="Times New Roman" w:hAnsi="Calibri" w:cs="Calibri"/>
              </w:rPr>
              <w:t>$58,772 (Y1); $</w:t>
            </w:r>
            <w:r w:rsidR="3B446192" w:rsidRPr="041F7CD5">
              <w:rPr>
                <w:rFonts w:ascii="Calibri" w:eastAsia="Times New Roman" w:hAnsi="Calibri" w:cs="Calibri"/>
              </w:rPr>
              <w:t>67,742 (Y2</w:t>
            </w:r>
            <w:r w:rsidR="3B446192" w:rsidRPr="0A840E4C">
              <w:rPr>
                <w:rFonts w:ascii="Calibri" w:eastAsia="Times New Roman" w:hAnsi="Calibri" w:cs="Calibri"/>
              </w:rPr>
              <w:t>); $87,170(Y3);</w:t>
            </w:r>
            <w:r w:rsidR="3B446192" w:rsidRPr="6612CC61">
              <w:rPr>
                <w:rFonts w:ascii="Calibri" w:eastAsia="Times New Roman" w:hAnsi="Calibri" w:cs="Calibri"/>
              </w:rPr>
              <w:t xml:space="preserve"> $67,742 </w:t>
            </w:r>
            <w:r w:rsidR="3B446192" w:rsidRPr="6F201989">
              <w:rPr>
                <w:rFonts w:ascii="Calibri" w:eastAsia="Times New Roman" w:hAnsi="Calibri" w:cs="Calibri"/>
              </w:rPr>
              <w:t>(Y4</w:t>
            </w:r>
            <w:r w:rsidR="688EE136" w:rsidRPr="6F201989">
              <w:rPr>
                <w:rFonts w:ascii="Calibri" w:eastAsia="Times New Roman" w:hAnsi="Calibri" w:cs="Calibri"/>
              </w:rPr>
              <w:t xml:space="preserve"> </w:t>
            </w:r>
            <w:r w:rsidR="688EE136" w:rsidRPr="34E77FF3">
              <w:rPr>
                <w:rFonts w:ascii="Calibri" w:eastAsia="Times New Roman" w:hAnsi="Calibri" w:cs="Calibri"/>
              </w:rPr>
              <w:t>&amp; Y5 each</w:t>
            </w:r>
            <w:r w:rsidR="3B446192" w:rsidRPr="6A0F395B">
              <w:rPr>
                <w:rFonts w:ascii="Calibri" w:eastAsia="Times New Roman" w:hAnsi="Calibri" w:cs="Calibri"/>
              </w:rPr>
              <w:t>)</w:t>
            </w:r>
            <w:r w:rsidR="12F72E67" w:rsidRPr="6A0F395B">
              <w:rPr>
                <w:rFonts w:ascii="Calibri" w:eastAsia="Times New Roman" w:hAnsi="Calibri" w:cs="Calibri"/>
              </w:rPr>
              <w:t xml:space="preserve">. </w:t>
            </w:r>
            <w:r w:rsidR="12F72E67" w:rsidRPr="6588470B">
              <w:rPr>
                <w:rFonts w:ascii="Calibri" w:eastAsia="Times New Roman" w:hAnsi="Calibri" w:cs="Calibri"/>
              </w:rPr>
              <w:t xml:space="preserve">Y1 amount accounts for mid-year staff </w:t>
            </w:r>
            <w:r w:rsidR="12F72E67" w:rsidRPr="670CB577">
              <w:rPr>
                <w:rFonts w:ascii="Calibri" w:eastAsia="Times New Roman" w:hAnsi="Calibri" w:cs="Calibri"/>
              </w:rPr>
              <w:t xml:space="preserve">onboarding and supply procurement. </w:t>
            </w:r>
            <w:r w:rsidR="12F72E67" w:rsidRPr="209D0ECF">
              <w:rPr>
                <w:rFonts w:ascii="Calibri" w:eastAsia="Times New Roman" w:hAnsi="Calibri" w:cs="Calibri"/>
              </w:rPr>
              <w:t>Y</w:t>
            </w:r>
            <w:r w:rsidR="25D421CC" w:rsidRPr="209D0ECF">
              <w:rPr>
                <w:rFonts w:ascii="Calibri" w:eastAsia="Times New Roman" w:hAnsi="Calibri" w:cs="Calibri"/>
              </w:rPr>
              <w:t xml:space="preserve">3 amount accounts for supply </w:t>
            </w:r>
            <w:r w:rsidR="25D421CC" w:rsidRPr="6D177EBB">
              <w:rPr>
                <w:rFonts w:ascii="Calibri" w:eastAsia="Times New Roman" w:hAnsi="Calibri" w:cs="Calibri"/>
              </w:rPr>
              <w:t>procurement</w:t>
            </w:r>
            <w:r w:rsidR="25D421CC" w:rsidRPr="0E017046">
              <w:rPr>
                <w:rFonts w:ascii="Calibri" w:eastAsia="Times New Roman" w:hAnsi="Calibri" w:cs="Calibri"/>
              </w:rPr>
              <w:t xml:space="preserve"> (as described above.</w:t>
            </w:r>
          </w:p>
        </w:tc>
      </w:tr>
    </w:tbl>
    <w:p w14:paraId="54BCE211" w14:textId="77777777" w:rsidR="00C575D4" w:rsidRDefault="00C575D4" w:rsidP="00FC08B9"/>
    <w:p w14:paraId="12970B02" w14:textId="67416742" w:rsidR="00033E42" w:rsidRPr="00EB13F8" w:rsidRDefault="00033E42" w:rsidP="00A34FF4">
      <w:pPr>
        <w:pStyle w:val="Heading1"/>
        <w:keepNext w:val="0"/>
        <w:keepLines w:val="0"/>
      </w:pPr>
      <w:r w:rsidRPr="00FD23A4">
        <w:rPr>
          <w:rFonts w:eastAsia="Calibri" w:cstheme="minorHAnsi"/>
          <w:color w:val="auto"/>
        </w:rPr>
        <w:t xml:space="preserve">Measure </w:t>
      </w:r>
      <w:r>
        <w:rPr>
          <w:rFonts w:eastAsia="Calibri" w:cstheme="minorHAnsi"/>
          <w:color w:val="auto"/>
        </w:rPr>
        <w:t>2</w:t>
      </w:r>
      <w:r w:rsidRPr="00FD23A4">
        <w:rPr>
          <w:rFonts w:eastAsia="Calibri" w:cstheme="minorHAnsi"/>
          <w:color w:val="auto"/>
        </w:rPr>
        <w:t>:</w:t>
      </w:r>
      <w:r w:rsidRPr="00FD23A4">
        <w:rPr>
          <w:color w:val="auto"/>
        </w:rPr>
        <w:t xml:space="preserve"> </w:t>
      </w:r>
      <w:r w:rsidRPr="00033E42">
        <w:rPr>
          <w:rFonts w:eastAsia="Calibri" w:cstheme="minorHAnsi"/>
          <w:color w:val="auto"/>
        </w:rPr>
        <w:t>Deploy Renewable Energy (Primarily Solar) at Tribal Facilities and Residences</w:t>
      </w:r>
    </w:p>
    <w:p w14:paraId="478DF863" w14:textId="77777777" w:rsidR="00033E42" w:rsidRPr="00EB13F8" w:rsidRDefault="00033E42" w:rsidP="00A34FF4">
      <w:pPr>
        <w:pStyle w:val="Heading2"/>
        <w:keepNext w:val="0"/>
        <w:keepLines w:val="0"/>
        <w:spacing w:before="0"/>
      </w:pPr>
      <w:r w:rsidRPr="04997142">
        <w:t>Budget Categories and Budget Description</w:t>
      </w:r>
    </w:p>
    <w:p w14:paraId="07B28C45" w14:textId="2A05D8CE" w:rsidR="00FC08B9" w:rsidRPr="00FC08B9" w:rsidRDefault="00FC08B9" w:rsidP="00FC08B9">
      <w:r>
        <w:t xml:space="preserve">Please see the budget table below for totals and the description beyond the budget table. </w:t>
      </w:r>
    </w:p>
    <w:p w14:paraId="6B974D7D" w14:textId="59E493E5" w:rsidR="00FC08B9" w:rsidRPr="00FC08B9" w:rsidRDefault="00FC08B9" w:rsidP="00E31540">
      <w:pPr>
        <w:jc w:val="center"/>
      </w:pPr>
      <w:r w:rsidRPr="00FC08B9">
        <w:lastRenderedPageBreak/>
        <w:drawing>
          <wp:inline distT="0" distB="0" distL="0" distR="0" wp14:anchorId="7B56994E" wp14:editId="53A08ABC">
            <wp:extent cx="4953000" cy="864951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8119" cy="8658456"/>
                    </a:xfrm>
                    <a:prstGeom prst="rect">
                      <a:avLst/>
                    </a:prstGeom>
                    <a:noFill/>
                    <a:ln>
                      <a:noFill/>
                    </a:ln>
                  </pic:spPr>
                </pic:pic>
              </a:graphicData>
            </a:graphic>
          </wp:inline>
        </w:drawing>
      </w:r>
    </w:p>
    <w:p w14:paraId="7F509EF4" w14:textId="06FC8B60" w:rsidR="00BC570D" w:rsidRDefault="00BC570D" w:rsidP="00A34FF4">
      <w:pPr>
        <w:pStyle w:val="Heading3"/>
        <w:spacing w:before="0"/>
      </w:pPr>
      <w:r w:rsidRPr="04997142">
        <w:lastRenderedPageBreak/>
        <w:t>Personnel</w:t>
      </w:r>
    </w:p>
    <w:p w14:paraId="0943BA66" w14:textId="77777777" w:rsidR="00033E42" w:rsidRPr="00D74A9F" w:rsidRDefault="00033E42" w:rsidP="00C4310E">
      <w:pPr>
        <w:ind w:left="-20" w:right="-20"/>
        <w:rPr>
          <w:rFonts w:eastAsia="Calibri" w:cstheme="minorHAnsi"/>
          <w:b/>
          <w:bCs/>
        </w:rPr>
      </w:pPr>
      <w:r w:rsidRPr="00D74A9F">
        <w:rPr>
          <w:rFonts w:eastAsia="Calibri" w:cstheme="minorHAnsi"/>
        </w:rPr>
        <w:t>Two new personnel positions: Renewable Energy Manager and Coordinator</w:t>
      </w:r>
      <w:r w:rsidR="00A81A0D">
        <w:rPr>
          <w:rFonts w:eastAsia="Calibri" w:cstheme="minorHAnsi"/>
        </w:rPr>
        <w:t xml:space="preserve">. Total: </w:t>
      </w:r>
      <w:r w:rsidRPr="00D74A9F">
        <w:rPr>
          <w:rFonts w:eastAsia="Calibri" w:cstheme="minorHAnsi"/>
        </w:rPr>
        <w:t xml:space="preserve">$793.544.  </w:t>
      </w:r>
    </w:p>
    <w:p w14:paraId="06529401" w14:textId="77777777" w:rsidR="00033E42" w:rsidRPr="00D74A9F" w:rsidRDefault="00033E42" w:rsidP="00C4310E">
      <w:pPr>
        <w:ind w:left="-20" w:right="-20"/>
        <w:rPr>
          <w:rFonts w:eastAsia="Calibri"/>
          <w:b/>
        </w:rPr>
      </w:pPr>
      <w:r w:rsidRPr="7CDF0AB1">
        <w:rPr>
          <w:rFonts w:eastAsia="Calibri"/>
        </w:rPr>
        <w:t xml:space="preserve">Measure 2 creates two new personnel positions for Nez Perce Tribal Executive Direction. </w:t>
      </w:r>
      <w:r w:rsidR="7CDF0AB1" w:rsidRPr="7CDF0AB1">
        <w:rPr>
          <w:rFonts w:eastAsia="Calibri"/>
        </w:rPr>
        <w:t>The first-</w:t>
      </w:r>
      <w:r w:rsidRPr="7CDF0AB1">
        <w:rPr>
          <w:rFonts w:eastAsia="Calibri"/>
        </w:rPr>
        <w:t xml:space="preserve">year budget is at 50% time due to the expected timeline to recruit and onboard these new positions. FY 2 – 5 will be at 100% time. </w:t>
      </w:r>
    </w:p>
    <w:p w14:paraId="0AB8F5C8" w14:textId="4617488B" w:rsidR="00033E42" w:rsidRPr="00D74A9F" w:rsidRDefault="00033E42" w:rsidP="00A34FF4">
      <w:pPr>
        <w:rPr>
          <w:b/>
          <w:color w:val="000000"/>
        </w:rPr>
      </w:pPr>
      <w:r w:rsidRPr="0092430F">
        <w:rPr>
          <w:rStyle w:val="Heading4Char"/>
        </w:rPr>
        <w:t>Renewable Energy Manager I</w:t>
      </w:r>
      <w:r w:rsidR="003B79A2" w:rsidRPr="0092430F">
        <w:rPr>
          <w:rStyle w:val="Heading4Char"/>
        </w:rPr>
        <w:t>:</w:t>
      </w:r>
      <w:r w:rsidR="003B79A2" w:rsidRPr="7CDF0AB1">
        <w:rPr>
          <w:i/>
          <w:color w:val="3A3838"/>
        </w:rPr>
        <w:t xml:space="preserve"> </w:t>
      </w:r>
      <w:r w:rsidR="005F3429" w:rsidRPr="7CDF0AB1">
        <w:rPr>
          <w:color w:val="000000" w:themeColor="text1"/>
        </w:rPr>
        <w:t xml:space="preserve">(Annual Salary: $95,077) </w:t>
      </w:r>
      <w:r w:rsidRPr="7CDF0AB1">
        <w:rPr>
          <w:color w:val="000000" w:themeColor="text1"/>
        </w:rPr>
        <w:t>This budget accommodates a salary range from 36.96 Grade 24, Step 1 to 45.71 Grade 24</w:t>
      </w:r>
      <w:r w:rsidR="7CDF0AB1" w:rsidRPr="7CDF0AB1">
        <w:rPr>
          <w:color w:val="000000" w:themeColor="text1"/>
        </w:rPr>
        <w:t>,</w:t>
      </w:r>
      <w:r w:rsidRPr="7CDF0AB1">
        <w:rPr>
          <w:color w:val="000000" w:themeColor="text1"/>
        </w:rPr>
        <w:t xml:space="preserve"> Step 9 for a Manager I Class Description. This new position at the Tribe would be the director of an Energy Division and responsible for supervising staff, overseeing subcontracting, reporting, and fully funding Measure 2. This would be the first formal energy coordinator position at the Tribe and is essential for </w:t>
      </w:r>
      <w:r w:rsidR="7CDF0AB1" w:rsidRPr="7CDF0AB1">
        <w:rPr>
          <w:color w:val="000000" w:themeColor="text1"/>
        </w:rPr>
        <w:t>coordinating</w:t>
      </w:r>
      <w:r w:rsidRPr="7CDF0AB1">
        <w:rPr>
          <w:color w:val="000000" w:themeColor="text1"/>
        </w:rPr>
        <w:t xml:space="preserve"> efforts to build out Measure 2</w:t>
      </w:r>
      <w:r w:rsidR="7CDF0AB1" w:rsidRPr="7CDF0AB1">
        <w:rPr>
          <w:color w:val="000000" w:themeColor="text1"/>
        </w:rPr>
        <w:t xml:space="preserve"> fully</w:t>
      </w:r>
      <w:r w:rsidRPr="7CDF0AB1">
        <w:rPr>
          <w:color w:val="000000" w:themeColor="text1"/>
        </w:rPr>
        <w:t xml:space="preserve">. </w:t>
      </w:r>
    </w:p>
    <w:p w14:paraId="642EA757" w14:textId="4CC77C2B" w:rsidR="00033E42" w:rsidRDefault="00033E42" w:rsidP="00A34FF4">
      <w:pPr>
        <w:rPr>
          <w:rFonts w:eastAsia="Calibri"/>
        </w:rPr>
      </w:pPr>
      <w:r w:rsidRPr="0092430F">
        <w:rPr>
          <w:rStyle w:val="Heading4Char"/>
        </w:rPr>
        <w:t>Renewable Energy Coordinator Pro IV:</w:t>
      </w:r>
      <w:r w:rsidRPr="7CDF0AB1">
        <w:rPr>
          <w:i/>
          <w:color w:val="3A3838"/>
        </w:rPr>
        <w:t xml:space="preserve"> </w:t>
      </w:r>
      <w:r w:rsidR="0045352E" w:rsidRPr="7CDF0AB1">
        <w:rPr>
          <w:i/>
          <w:color w:val="3A3838"/>
        </w:rPr>
        <w:t>(</w:t>
      </w:r>
      <w:r w:rsidR="005F3429" w:rsidRPr="7CDF0AB1">
        <w:rPr>
          <w:color w:val="000000" w:themeColor="text1"/>
        </w:rPr>
        <w:t>Annual Salary: $81,266.00</w:t>
      </w:r>
      <w:r w:rsidR="0045352E" w:rsidRPr="7CDF0AB1">
        <w:rPr>
          <w:color w:val="000000" w:themeColor="text1"/>
        </w:rPr>
        <w:t>)</w:t>
      </w:r>
      <w:r w:rsidR="005F3429" w:rsidRPr="7CDF0AB1">
        <w:rPr>
          <w:color w:val="000000" w:themeColor="text1"/>
        </w:rPr>
        <w:t xml:space="preserve">. </w:t>
      </w:r>
      <w:r w:rsidRPr="7CDF0AB1">
        <w:rPr>
          <w:color w:val="000000" w:themeColor="text1"/>
        </w:rPr>
        <w:t xml:space="preserve">Budget range for Grade 21, </w:t>
      </w:r>
      <w:r w:rsidR="7CDF0AB1" w:rsidRPr="7CDF0AB1">
        <w:rPr>
          <w:color w:val="000000" w:themeColor="text1"/>
        </w:rPr>
        <w:t>Steps</w:t>
      </w:r>
      <w:r w:rsidRPr="7CDF0AB1">
        <w:rPr>
          <w:color w:val="000000" w:themeColor="text1"/>
        </w:rPr>
        <w:t xml:space="preserve"> 1 to 9 ($31.71 to $39. 07) for a Pro</w:t>
      </w:r>
      <w:r w:rsidR="0045352E" w:rsidRPr="7CDF0AB1">
        <w:rPr>
          <w:color w:val="000000" w:themeColor="text1"/>
        </w:rPr>
        <w:t>.</w:t>
      </w:r>
      <w:r w:rsidRPr="7CDF0AB1">
        <w:rPr>
          <w:color w:val="000000" w:themeColor="text1"/>
        </w:rPr>
        <w:t xml:space="preserve"> IV Class Description. This grade is allowed to supervise large contracts and coordinate large budgets with multiple deadlines. This staff person will be responsible for overseeing contracts and coordination. </w:t>
      </w:r>
      <w:r w:rsidRPr="7CDF0AB1">
        <w:rPr>
          <w:rFonts w:eastAsia="Calibri"/>
        </w:rPr>
        <w:t xml:space="preserve"> </w:t>
      </w:r>
    </w:p>
    <w:p w14:paraId="3EACA1E9" w14:textId="77777777" w:rsidR="009F10A8" w:rsidRDefault="00DA5514" w:rsidP="00A34FF4">
      <w:pPr>
        <w:pStyle w:val="Heading3"/>
        <w:spacing w:before="0"/>
      </w:pPr>
      <w:r>
        <w:t>Travel</w:t>
      </w:r>
    </w:p>
    <w:p w14:paraId="39CD8A36" w14:textId="77777777" w:rsidR="005B0B6E" w:rsidRDefault="005B0B6E" w:rsidP="00A34FF4">
      <w:r w:rsidRPr="7CDF0AB1">
        <w:rPr>
          <w:rFonts w:eastAsia="Calibri"/>
          <w:color w:val="000000" w:themeColor="text1"/>
        </w:rPr>
        <w:t>The budget</w:t>
      </w:r>
      <w:r w:rsidRPr="04997142">
        <w:rPr>
          <w:rFonts w:eastAsia="Calibri"/>
          <w:color w:val="000000" w:themeColor="text1"/>
        </w:rPr>
        <w:t xml:space="preserve"> allows for two conferences/workshops/per year split between personnel. </w:t>
      </w:r>
      <w:r>
        <w:t xml:space="preserve">Travel costs were budgeted based on the average costs to attend the DOE Tribal Energy Conference and National Tribal and Indigenous Climate Conferences, which occur every other year (2026, 2028) and usually involve a full week of travel, the National Congress of American Indian (NCAI) which occurs every year, and the Affiliated Tribes of Northwest Indians (ATNI) Tribal Climate </w:t>
      </w:r>
      <w:proofErr w:type="spellStart"/>
      <w:r>
        <w:t>Leaders</w:t>
      </w:r>
      <w:proofErr w:type="spellEnd"/>
      <w:r>
        <w:t xml:space="preserve"> Summit. ATNI and NCAI occur every year, but we assume that staff will alternate years or may choose to attend a tribal economic development conference instead. Reporting will include which conferences were selected and the outcomes of attendance.  </w:t>
      </w:r>
    </w:p>
    <w:p w14:paraId="72F1C812" w14:textId="77777777" w:rsidR="001D0FDD" w:rsidRDefault="00C209D0" w:rsidP="00A34FF4">
      <w:pPr>
        <w:pStyle w:val="Heading3"/>
        <w:spacing w:before="0"/>
      </w:pPr>
      <w:r>
        <w:t xml:space="preserve">Equipment: </w:t>
      </w:r>
    </w:p>
    <w:p w14:paraId="1CB57863" w14:textId="5B5F52A1" w:rsidR="00C209D0" w:rsidRPr="001D0FDD" w:rsidRDefault="00C209D0" w:rsidP="00A34FF4">
      <w:pPr>
        <w:rPr>
          <w:i/>
          <w:iCs/>
        </w:rPr>
      </w:pPr>
      <w:r w:rsidRPr="001D0FDD">
        <w:rPr>
          <w:i/>
          <w:iCs/>
        </w:rPr>
        <w:t>Not Applicable</w:t>
      </w:r>
    </w:p>
    <w:p w14:paraId="141264F1" w14:textId="1424ACD4" w:rsidR="00DA5514" w:rsidRDefault="009F10A8" w:rsidP="00A34FF4">
      <w:pPr>
        <w:pStyle w:val="Heading3"/>
        <w:spacing w:before="0"/>
      </w:pPr>
      <w:r>
        <w:t>Supplies</w:t>
      </w:r>
    </w:p>
    <w:p w14:paraId="45B884D0" w14:textId="7967B349" w:rsidR="005E4C8B" w:rsidRDefault="005E4C8B" w:rsidP="00A34FF4">
      <w:pPr>
        <w:rPr>
          <w:rFonts w:eastAsia="Calibri"/>
          <w:color w:val="000000" w:themeColor="text1"/>
        </w:rPr>
      </w:pPr>
      <w:r w:rsidRPr="0FDE461F">
        <w:rPr>
          <w:rFonts w:eastAsia="Calibri"/>
          <w:color w:val="000000" w:themeColor="text1"/>
        </w:rPr>
        <w:t xml:space="preserve">Office Supplies – Supplies purchased for the creation of two new personnel positions. Desks, computers, and office supplies. 2 </w:t>
      </w:r>
      <w:proofErr w:type="gramStart"/>
      <w:r w:rsidRPr="0FDE461F">
        <w:rPr>
          <w:rFonts w:eastAsia="Calibri"/>
          <w:color w:val="000000" w:themeColor="text1"/>
        </w:rPr>
        <w:t>laptop</w:t>
      </w:r>
      <w:proofErr w:type="gramEnd"/>
      <w:r w:rsidRPr="0FDE461F">
        <w:rPr>
          <w:rFonts w:eastAsia="Calibri"/>
          <w:color w:val="000000" w:themeColor="text1"/>
        </w:rPr>
        <w:t xml:space="preserve"> for travel and meetings will be purchased for new staff members.</w:t>
      </w:r>
    </w:p>
    <w:p w14:paraId="4E2B9CEF" w14:textId="555658B4" w:rsidR="009F10A8" w:rsidRDefault="00757DC4" w:rsidP="00A34FF4">
      <w:pPr>
        <w:pStyle w:val="Heading3"/>
        <w:spacing w:before="0"/>
      </w:pPr>
      <w:r>
        <w:t>Contractual</w:t>
      </w:r>
    </w:p>
    <w:p w14:paraId="2FA4CB06" w14:textId="3DF21752" w:rsidR="002213F1" w:rsidRDefault="00A1199F" w:rsidP="00A34FF4">
      <w:r>
        <w:t xml:space="preserve">The standard rate for </w:t>
      </w:r>
      <w:r w:rsidR="00181C9D">
        <w:t xml:space="preserve">installed photovoltaic solar panels </w:t>
      </w:r>
      <w:r>
        <w:t xml:space="preserve">is </w:t>
      </w:r>
      <w:r w:rsidR="008B29F1">
        <w:t>just under $3.00 per kWh</w:t>
      </w:r>
      <w:r w:rsidR="00181C9D">
        <w:t xml:space="preserve"> for rooftop arrays</w:t>
      </w:r>
      <w:r w:rsidR="00E862D0">
        <w:t xml:space="preserve"> </w:t>
      </w:r>
      <w:r w:rsidR="00181C9D">
        <w:t xml:space="preserve">and $4.00 per kWh for </w:t>
      </w:r>
      <w:r w:rsidR="00E862D0">
        <w:t>ground mount or parking lot arrays</w:t>
      </w:r>
      <w:r w:rsidR="00181C9D">
        <w:t xml:space="preserve">. </w:t>
      </w:r>
      <w:r w:rsidR="008B29F1">
        <w:t xml:space="preserve">Projects the tribe has already installed averaged out to </w:t>
      </w:r>
      <w:r w:rsidR="00181C9D">
        <w:t>those rates</w:t>
      </w:r>
      <w:r w:rsidR="683BD90C">
        <w:t>,</w:t>
      </w:r>
      <w:r w:rsidR="00181C9D">
        <w:t xml:space="preserve"> so we based our cost estimates on those rates. </w:t>
      </w:r>
      <w:r w:rsidR="00EF7F8D">
        <w:t xml:space="preserve"> </w:t>
      </w:r>
      <w:r w:rsidR="00611374">
        <w:t xml:space="preserve">For the CRC, the rooftop </w:t>
      </w:r>
      <w:r w:rsidR="00314D48">
        <w:t xml:space="preserve">and parking lot have </w:t>
      </w:r>
      <w:r w:rsidR="00611374">
        <w:t xml:space="preserve">the capacity </w:t>
      </w:r>
      <w:r w:rsidR="004036FA">
        <w:t xml:space="preserve">to produce </w:t>
      </w:r>
      <w:r w:rsidR="00207D11" w:rsidRPr="00314D48">
        <w:t xml:space="preserve">182,500 </w:t>
      </w:r>
      <w:r w:rsidR="00314D48" w:rsidRPr="00314D48">
        <w:t>and 2,920,000 kW</w:t>
      </w:r>
      <w:r w:rsidR="001871DE">
        <w:t>h</w:t>
      </w:r>
      <w:r w:rsidR="7CDF0AB1">
        <w:t>,</w:t>
      </w:r>
      <w:r w:rsidR="00314D48" w:rsidRPr="00314D48">
        <w:t xml:space="preserve"> respectively</w:t>
      </w:r>
      <w:r w:rsidR="7CDF0AB1">
        <w:t>,</w:t>
      </w:r>
      <w:r w:rsidR="00314D48" w:rsidRPr="00314D48">
        <w:t xml:space="preserve"> annually</w:t>
      </w:r>
      <w:r w:rsidR="7CDF0AB1">
        <w:t>,</w:t>
      </w:r>
      <w:r w:rsidR="00314D48" w:rsidRPr="00314D48">
        <w:t xml:space="preserve"> </w:t>
      </w:r>
      <w:r w:rsidR="0040661C" w:rsidRPr="00314D48">
        <w:t>given our local irradiation factors</w:t>
      </w:r>
      <w:r w:rsidR="00144403">
        <w:t xml:space="preserve">. This would be 375 solar panels on the rooftop and </w:t>
      </w:r>
      <w:r w:rsidR="003962FF">
        <w:t xml:space="preserve">5,714 covering the parking lots. </w:t>
      </w:r>
      <w:r w:rsidR="009E177F">
        <w:t xml:space="preserve"> For the JFO, the rooftops could provide </w:t>
      </w:r>
      <w:r w:rsidR="00BF0EF3">
        <w:t>24,100 kWh (105 panels), and the parking lot array could produce 36,000 kWh</w:t>
      </w:r>
      <w:r w:rsidR="00A83B83">
        <w:t xml:space="preserve"> (132 panels). </w:t>
      </w:r>
    </w:p>
    <w:p w14:paraId="3D898B34" w14:textId="12D73788" w:rsidR="00AD6815" w:rsidRDefault="00AD6815" w:rsidP="00A34FF4"/>
    <w:p w14:paraId="39383080" w14:textId="75A5654D" w:rsidR="009F1C2F" w:rsidRDefault="002213F1" w:rsidP="00A34FF4">
      <w:r w:rsidRPr="009B3C53">
        <w:t xml:space="preserve">Tesla </w:t>
      </w:r>
      <w:proofErr w:type="spellStart"/>
      <w:r>
        <w:t>Power</w:t>
      </w:r>
      <w:r w:rsidR="519EAC27">
        <w:t>w</w:t>
      </w:r>
      <w:r>
        <w:t>alls</w:t>
      </w:r>
      <w:proofErr w:type="spellEnd"/>
      <w:r w:rsidRPr="009B3C53">
        <w:t xml:space="preserve"> to pair with residential solar on homes that need battery backup during wildfires, floods, and </w:t>
      </w:r>
      <w:r w:rsidR="14E5D3DD">
        <w:t>cold snaps</w:t>
      </w:r>
      <w:r>
        <w:t>.</w:t>
      </w:r>
      <w:r w:rsidRPr="009B3C53">
        <w:t xml:space="preserve"> (60 installed each year over five years. Assumes average cost of $10,000/wall).</w:t>
      </w:r>
      <w:r>
        <w:t xml:space="preserve"> </w:t>
      </w:r>
      <w:r w:rsidR="0084006D">
        <w:t xml:space="preserve">Tesla does have cost savings for residential </w:t>
      </w:r>
      <w:r w:rsidR="00152D6B">
        <w:t xml:space="preserve">purchases for multiple </w:t>
      </w:r>
      <w:proofErr w:type="spellStart"/>
      <w:r w:rsidR="40BBFEC3">
        <w:t>P</w:t>
      </w:r>
      <w:r w:rsidR="00E56325">
        <w:t>owerwalls</w:t>
      </w:r>
      <w:proofErr w:type="spellEnd"/>
      <w:r w:rsidR="00E56325">
        <w:t xml:space="preserve"> but</w:t>
      </w:r>
      <w:r w:rsidR="00152D6B">
        <w:t xml:space="preserve"> given how likely the demand is to increase for </w:t>
      </w:r>
      <w:proofErr w:type="spellStart"/>
      <w:r w:rsidR="2CA0AEDD">
        <w:t>P</w:t>
      </w:r>
      <w:r w:rsidR="00152D6B">
        <w:t>owerwalls</w:t>
      </w:r>
      <w:proofErr w:type="spellEnd"/>
      <w:r w:rsidR="00152D6B">
        <w:t xml:space="preserve"> once CPRG funding is unleashed, we </w:t>
      </w:r>
      <w:r w:rsidR="009B356A">
        <w:t xml:space="preserve">estimated the </w:t>
      </w:r>
      <w:r w:rsidR="00F41E9F">
        <w:t xml:space="preserve">current cost installed </w:t>
      </w:r>
      <w:r w:rsidR="009B356A">
        <w:t xml:space="preserve">for </w:t>
      </w:r>
      <w:proofErr w:type="spellStart"/>
      <w:r w:rsidR="55ECF714">
        <w:t>P</w:t>
      </w:r>
      <w:r w:rsidR="009B356A">
        <w:t>owerwalls</w:t>
      </w:r>
      <w:proofErr w:type="spellEnd"/>
      <w:r w:rsidR="009B356A">
        <w:t xml:space="preserve">. </w:t>
      </w:r>
      <w:r w:rsidR="00E56325">
        <w:t>Tesla Megapacks installed cost about two million dollars</w:t>
      </w:r>
      <w:r w:rsidR="00221A6D">
        <w:t>, and we have found Tesla’s</w:t>
      </w:r>
      <w:r w:rsidR="005A45D5">
        <w:t xml:space="preserve"> speedy</w:t>
      </w:r>
      <w:r w:rsidR="00221A6D">
        <w:t xml:space="preserve"> technological </w:t>
      </w:r>
      <w:r w:rsidR="0067375F">
        <w:t xml:space="preserve">innovation </w:t>
      </w:r>
      <w:r w:rsidR="005A45D5">
        <w:t xml:space="preserve">to lead to </w:t>
      </w:r>
      <w:r w:rsidR="009D2D58">
        <w:t xml:space="preserve">dramatic changes in their battery technology that can either make it more, or less affordable so we included a realistic price for installed </w:t>
      </w:r>
      <w:proofErr w:type="spellStart"/>
      <w:r w:rsidR="009D2D58">
        <w:t>MegaPack</w:t>
      </w:r>
      <w:proofErr w:type="spellEnd"/>
      <w:r w:rsidR="009D2D58">
        <w:t xml:space="preserve"> XLs in 2024.</w:t>
      </w:r>
    </w:p>
    <w:p w14:paraId="3B0F5565" w14:textId="77777777" w:rsidR="00EB3995" w:rsidRDefault="00EB3995" w:rsidP="00A34FF4"/>
    <w:p w14:paraId="398AF3AA" w14:textId="4AFC9215" w:rsidR="000940BE" w:rsidRDefault="009D2D58" w:rsidP="00A34FF4">
      <w:r>
        <w:t xml:space="preserve">The Joseph Fisheries office will require a roof replacement to </w:t>
      </w:r>
      <w:r w:rsidR="001F753A">
        <w:t>install the solar arrays</w:t>
      </w:r>
      <w:r w:rsidR="00EB3995">
        <w:t>, and upgrades to two electrical panels.</w:t>
      </w:r>
      <w:r w:rsidR="00996038">
        <w:t xml:space="preserve"> The costs were based upon an online calculator for average roof replacement costs, and </w:t>
      </w:r>
      <w:r w:rsidR="00157AE3">
        <w:t xml:space="preserve">an assessment from a local electrical contracting firm that was completed for past proposals. </w:t>
      </w:r>
      <w:r w:rsidR="00EB3995">
        <w:t xml:space="preserve">The Tesla </w:t>
      </w:r>
      <w:proofErr w:type="spellStart"/>
      <w:r w:rsidR="00EB3995">
        <w:t>Powerwalls</w:t>
      </w:r>
      <w:proofErr w:type="spellEnd"/>
      <w:r w:rsidR="00EB3995">
        <w:t xml:space="preserve"> will be installed in three buildings,</w:t>
      </w:r>
      <w:r w:rsidR="00002AEB">
        <w:t xml:space="preserve"> and connected to three different arrays, but only two panels require upgrades. </w:t>
      </w:r>
      <w:r w:rsidR="001F753A">
        <w:t>This roof replacement will transition the buildings to metal, standing seam rooftops that are more fire resilient than the current roof materials</w:t>
      </w:r>
      <w:r w:rsidR="000940BE">
        <w:t xml:space="preserve">, and assure that the rooftop endures for the lifetime of the solar arrays. </w:t>
      </w:r>
    </w:p>
    <w:p w14:paraId="7EA2FDB8" w14:textId="3D8BBA61" w:rsidR="00E37D5D" w:rsidRDefault="00EC2DB1" w:rsidP="00E43524">
      <w:pPr>
        <w:pStyle w:val="Heading3"/>
      </w:pPr>
      <w:r>
        <w:lastRenderedPageBreak/>
        <w:t>Other</w:t>
      </w:r>
    </w:p>
    <w:p w14:paraId="2B4A0411" w14:textId="3CAC27DF" w:rsidR="00705C84" w:rsidRDefault="00705C84" w:rsidP="00A34FF4">
      <w:r>
        <w:t xml:space="preserve">Tribal and local emergency managers have requested training specific to </w:t>
      </w:r>
      <w:r w:rsidR="004E4CF4">
        <w:t xml:space="preserve">NEC and fire codes for solar </w:t>
      </w:r>
      <w:proofErr w:type="spellStart"/>
      <w:r w:rsidR="004E4CF4">
        <w:t>pv</w:t>
      </w:r>
      <w:proofErr w:type="spellEnd"/>
      <w:r w:rsidR="004E4CF4">
        <w:t xml:space="preserve"> arrays and batteries. We estimate that six personnel would take online courses</w:t>
      </w:r>
      <w:r w:rsidR="00577D90">
        <w:t xml:space="preserve"> from </w:t>
      </w:r>
      <w:r w:rsidR="00A34FF4">
        <w:t xml:space="preserve">Solar Energy International. </w:t>
      </w:r>
      <w:r w:rsidR="00577D90">
        <w:t xml:space="preserve"> </w:t>
      </w:r>
    </w:p>
    <w:p w14:paraId="16381D8F" w14:textId="0910023C" w:rsidR="00AE5408" w:rsidRDefault="00BF2708" w:rsidP="00A34FF4">
      <w:r>
        <w:t>In addition, most conference registrations cost approximately $500 per event</w:t>
      </w:r>
      <w:r w:rsidR="00AE5408">
        <w:t>, and we estimated 2 conferences per person per year. Staff will be housed in Enterprises office space without network printers. The printer lease fees are $300.00 per year.</w:t>
      </w:r>
    </w:p>
    <w:p w14:paraId="7EDE56FD" w14:textId="34768B96" w:rsidR="00EC2DB1" w:rsidRDefault="00EC2DB1" w:rsidP="00E43524">
      <w:pPr>
        <w:pStyle w:val="Heading3"/>
      </w:pPr>
      <w:r>
        <w:t>Indirect</w:t>
      </w:r>
    </w:p>
    <w:p w14:paraId="7FF1FA31" w14:textId="774608BE" w:rsidR="005E270E" w:rsidRDefault="005E270E" w:rsidP="005E270E">
      <w:pPr>
        <w:widowControl/>
        <w:ind w:right="135"/>
        <w:jc w:val="left"/>
        <w:textAlignment w:val="baseline"/>
      </w:pPr>
      <w:r>
        <w:rPr>
          <w:rFonts w:ascii="Calibri" w:eastAsia="Times New Roman" w:hAnsi="Calibri" w:cs="Calibri"/>
          <w:szCs w:val="22"/>
        </w:rPr>
        <w:t xml:space="preserve">Measure 2: $256,990 over five years, $32,818 in FY1; and $56,043 for FY 2- 5.  </w:t>
      </w:r>
      <w:r w:rsidRPr="00C575D4">
        <w:rPr>
          <w:rFonts w:ascii="Calibri" w:eastAsia="Times New Roman" w:hAnsi="Calibri" w:cs="Calibri"/>
          <w:szCs w:val="22"/>
        </w:rPr>
        <w:t>Nez Perce Tribe FY24 approved IDC rate is 20.89%. Base = direct costs less equipment, in-kind contributions, and pass-through funds.</w:t>
      </w:r>
      <w:r w:rsidRPr="00C575D4">
        <w:rPr>
          <w:rFonts w:ascii="Calibri" w:eastAsia="Times New Roman" w:hAnsi="Calibri" w:cs="Calibri"/>
          <w:b/>
          <w:bCs/>
          <w:szCs w:val="22"/>
        </w:rPr>
        <w:t> </w:t>
      </w:r>
      <w:r w:rsidRPr="00C575D4">
        <w:rPr>
          <w:rFonts w:ascii="Calibri" w:eastAsia="Times New Roman" w:hAnsi="Calibri" w:cs="Calibri"/>
          <w:szCs w:val="22"/>
        </w:rPr>
        <w:t> </w:t>
      </w:r>
    </w:p>
    <w:p w14:paraId="41FB83C9" w14:textId="77777777" w:rsidR="00D8756A" w:rsidRDefault="00D8756A" w:rsidP="00A34FF4"/>
    <w:p w14:paraId="4AC1C10B" w14:textId="453A1C85" w:rsidR="00AE5408" w:rsidRPr="00EB13F8" w:rsidRDefault="00AE5408" w:rsidP="00AE5408">
      <w:pPr>
        <w:pStyle w:val="Heading1"/>
        <w:keepNext w:val="0"/>
        <w:keepLines w:val="0"/>
      </w:pPr>
      <w:r w:rsidRPr="00FD23A4">
        <w:rPr>
          <w:rFonts w:eastAsia="Calibri" w:cstheme="minorHAnsi"/>
          <w:color w:val="auto"/>
        </w:rPr>
        <w:t xml:space="preserve">Measure </w:t>
      </w:r>
      <w:r>
        <w:rPr>
          <w:rFonts w:eastAsia="Calibri" w:cstheme="minorHAnsi"/>
          <w:color w:val="auto"/>
        </w:rPr>
        <w:t>3</w:t>
      </w:r>
      <w:r w:rsidR="00B96AEF">
        <w:rPr>
          <w:rFonts w:eastAsia="Calibri" w:cstheme="minorHAnsi"/>
          <w:color w:val="auto"/>
        </w:rPr>
        <w:t>:</w:t>
      </w:r>
      <w:r w:rsidR="00B96AEF" w:rsidRPr="00B96AEF">
        <w:rPr>
          <w:rFonts w:eastAsia="Calibri" w:cstheme="minorHAnsi"/>
          <w:color w:val="auto"/>
        </w:rPr>
        <w:t xml:space="preserve"> Transportation; EV Charging Stations in Joseph, OR, and Kamiah, ID</w:t>
      </w:r>
    </w:p>
    <w:p w14:paraId="148CC883" w14:textId="1108444F" w:rsidR="00CA741D" w:rsidRDefault="00CA741D" w:rsidP="00A34FF4">
      <w:r w:rsidRPr="00CA741D">
        <w:drawing>
          <wp:inline distT="0" distB="0" distL="0" distR="0" wp14:anchorId="45AA26B6" wp14:editId="1D504CFB">
            <wp:extent cx="6311900" cy="45773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18248" cy="4581984"/>
                    </a:xfrm>
                    <a:prstGeom prst="rect">
                      <a:avLst/>
                    </a:prstGeom>
                    <a:noFill/>
                    <a:ln>
                      <a:noFill/>
                    </a:ln>
                  </pic:spPr>
                </pic:pic>
              </a:graphicData>
            </a:graphic>
          </wp:inline>
        </w:drawing>
      </w:r>
    </w:p>
    <w:p w14:paraId="0B4CF5FB" w14:textId="77777777" w:rsidR="00CA741D" w:rsidRDefault="00CA741D" w:rsidP="00A34FF4"/>
    <w:p w14:paraId="15A88285" w14:textId="77F4F44C" w:rsidR="009E3F57" w:rsidRDefault="009E3F57" w:rsidP="00A34FF4">
      <w:r>
        <w:t>Travel:</w:t>
      </w:r>
      <w:r w:rsidR="003C1921">
        <w:t xml:space="preserve"> Total of $720.00 YI and Y2: </w:t>
      </w:r>
      <w:r w:rsidR="00D73837">
        <w:t xml:space="preserve">$270.00 in Y1 and $450 in year 2. </w:t>
      </w:r>
    </w:p>
    <w:p w14:paraId="526378B6" w14:textId="0594B90F" w:rsidR="003C1921" w:rsidRPr="003C1921" w:rsidRDefault="003C1921" w:rsidP="00D73837">
      <w:pPr>
        <w:widowControl/>
        <w:rPr>
          <w:rFonts w:ascii="Calibri" w:eastAsia="Times New Roman" w:hAnsi="Calibri" w:cs="Calibri"/>
          <w:color w:val="3A3838"/>
        </w:rPr>
      </w:pPr>
      <w:r w:rsidRPr="003C1921">
        <w:rPr>
          <w:rFonts w:ascii="Calibri" w:eastAsia="Times New Roman" w:hAnsi="Calibri" w:cs="Calibri"/>
          <w:color w:val="3A3838"/>
        </w:rPr>
        <w:t>Local Mileage Reimbursement for existing maintenance staff: 403 miles (3 trips Kamiah) YR1 &amp; 671 miles (3 trips to Joseph) YR</w:t>
      </w:r>
      <w:proofErr w:type="gramStart"/>
      <w:r w:rsidRPr="003C1921">
        <w:rPr>
          <w:rFonts w:ascii="Calibri" w:eastAsia="Times New Roman" w:hAnsi="Calibri" w:cs="Calibri"/>
          <w:color w:val="3A3838"/>
        </w:rPr>
        <w:t>2  at</w:t>
      </w:r>
      <w:proofErr w:type="gramEnd"/>
      <w:r w:rsidRPr="003C1921">
        <w:rPr>
          <w:rFonts w:ascii="Calibri" w:eastAsia="Times New Roman" w:hAnsi="Calibri" w:cs="Calibri"/>
          <w:color w:val="3A3838"/>
        </w:rPr>
        <w:t xml:space="preserve"> $0.67/mi </w:t>
      </w:r>
      <w:r w:rsidR="00C84B40">
        <w:rPr>
          <w:rFonts w:ascii="Calibri" w:eastAsia="Times New Roman" w:hAnsi="Calibri" w:cs="Calibri"/>
          <w:color w:val="3A3838"/>
        </w:rPr>
        <w:t>GSA</w:t>
      </w:r>
      <w:r w:rsidRPr="003C1921">
        <w:rPr>
          <w:rFonts w:ascii="Calibri" w:eastAsia="Times New Roman" w:hAnsi="Calibri" w:cs="Calibri"/>
          <w:color w:val="3A3838"/>
        </w:rPr>
        <w:t xml:space="preserve"> 2024 </w:t>
      </w:r>
      <w:r w:rsidR="00C84B40">
        <w:rPr>
          <w:rFonts w:ascii="Calibri" w:eastAsia="Times New Roman" w:hAnsi="Calibri" w:cs="Calibri"/>
          <w:color w:val="3A3838"/>
        </w:rPr>
        <w:t>POV</w:t>
      </w:r>
      <w:r w:rsidRPr="003C1921">
        <w:rPr>
          <w:rFonts w:ascii="Calibri" w:eastAsia="Times New Roman" w:hAnsi="Calibri" w:cs="Calibri"/>
          <w:color w:val="3A3838"/>
        </w:rPr>
        <w:t xml:space="preserve"> rate</w:t>
      </w:r>
      <w:r w:rsidR="00D73837" w:rsidRPr="23316780">
        <w:rPr>
          <w:rFonts w:ascii="Calibri" w:eastAsia="Times New Roman" w:hAnsi="Calibri" w:cs="Calibri"/>
          <w:color w:val="3A3838"/>
        </w:rPr>
        <w:t xml:space="preserve">. </w:t>
      </w:r>
    </w:p>
    <w:p w14:paraId="2BFC394F" w14:textId="01E64757" w:rsidR="00386780" w:rsidRDefault="00386780" w:rsidP="00386780">
      <w:pPr>
        <w:rPr>
          <w:rFonts w:ascii="Calibri" w:eastAsia="Times New Roman" w:hAnsi="Calibri" w:cs="Calibri"/>
          <w:color w:val="3A3838"/>
          <w:szCs w:val="22"/>
        </w:rPr>
      </w:pPr>
      <w:r>
        <w:t xml:space="preserve">Equipment: </w:t>
      </w:r>
      <w:r w:rsidR="00241749">
        <w:t xml:space="preserve">Total of $61,000 in Year 2 for a </w:t>
      </w:r>
      <w:r w:rsidRPr="00386780">
        <w:rPr>
          <w:rFonts w:ascii="Calibri" w:eastAsia="Times New Roman" w:hAnsi="Calibri" w:cs="Calibri"/>
          <w:color w:val="3A3838"/>
          <w:szCs w:val="22"/>
        </w:rPr>
        <w:t>Level III Charger Cost Estimate for</w:t>
      </w:r>
      <w:r w:rsidR="00241749">
        <w:rPr>
          <w:rFonts w:ascii="Calibri" w:eastAsia="Times New Roman" w:hAnsi="Calibri" w:cs="Calibri"/>
          <w:color w:val="3A3838"/>
          <w:szCs w:val="22"/>
        </w:rPr>
        <w:t xml:space="preserve"> the JFO. </w:t>
      </w:r>
    </w:p>
    <w:p w14:paraId="3EFB1BF1" w14:textId="35AB99C5" w:rsidR="00241749" w:rsidRPr="00386780" w:rsidRDefault="008C68CB" w:rsidP="00386780">
      <w:pPr>
        <w:rPr>
          <w:rFonts w:ascii="Calibri" w:eastAsia="Times New Roman" w:hAnsi="Calibri" w:cs="Calibri"/>
          <w:color w:val="3A3838"/>
          <w:szCs w:val="22"/>
        </w:rPr>
      </w:pPr>
      <w:r>
        <w:rPr>
          <w:rFonts w:ascii="Calibri" w:eastAsia="Times New Roman" w:hAnsi="Calibri" w:cs="Calibri"/>
          <w:color w:val="3A3838"/>
          <w:szCs w:val="22"/>
        </w:rPr>
        <w:t xml:space="preserve">Contractual: </w:t>
      </w:r>
    </w:p>
    <w:p w14:paraId="1721B622" w14:textId="588BFDE1" w:rsidR="00716F5D" w:rsidRDefault="00716F5D" w:rsidP="00A34FF4">
      <w:r>
        <w:t xml:space="preserve">The measure 3 contractual budget includes power supply upgrades for the </w:t>
      </w:r>
      <w:r w:rsidR="00E827C6">
        <w:t xml:space="preserve">JFO </w:t>
      </w:r>
      <w:r>
        <w:t xml:space="preserve">in Joseph, OR and the </w:t>
      </w:r>
      <w:proofErr w:type="spellStart"/>
      <w:r>
        <w:t>It’se</w:t>
      </w:r>
      <w:proofErr w:type="spellEnd"/>
      <w:r>
        <w:t xml:space="preserve"> Ye </w:t>
      </w:r>
      <w:proofErr w:type="spellStart"/>
      <w:r>
        <w:t>Ye</w:t>
      </w:r>
      <w:proofErr w:type="spellEnd"/>
      <w:r>
        <w:t xml:space="preserve"> Casino in Kamiah, Idaho. </w:t>
      </w:r>
      <w:r w:rsidR="00146E46">
        <w:t xml:space="preserve">The power supply upgrade in based upon </w:t>
      </w:r>
      <w:r w:rsidR="00E827C6">
        <w:t xml:space="preserve">estimates provided by local electricians. The JFO upgrade would be combined with panel </w:t>
      </w:r>
      <w:proofErr w:type="gramStart"/>
      <w:r w:rsidR="00E827C6">
        <w:t>upgrades</w:t>
      </w:r>
      <w:proofErr w:type="gramEnd"/>
      <w:r w:rsidR="00E827C6">
        <w:t xml:space="preserve"> so it is less expensive than the Kamiah upgrade. </w:t>
      </w:r>
    </w:p>
    <w:p w14:paraId="57538454" w14:textId="3A5B4D8B" w:rsidR="00DE4327" w:rsidRDefault="00DE4327" w:rsidP="00A34FF4">
      <w:r>
        <w:t xml:space="preserve">The Level II charges are based upon the installed prices of </w:t>
      </w:r>
      <w:r w:rsidR="003E36FB" w:rsidRPr="003E36FB">
        <w:t>Tesla - Universal Wall Connector Level 2 Hardwired Electric Vehicle (EV) Charger – up to 48A</w:t>
      </w:r>
      <w:r w:rsidR="003E36FB">
        <w:t>)</w:t>
      </w:r>
      <w:r w:rsidR="00EC6FBB">
        <w:t xml:space="preserve">. This would include running conduit from the new electrical panel </w:t>
      </w:r>
      <w:r w:rsidR="00967014">
        <w:lastRenderedPageBreak/>
        <w:t xml:space="preserve">underground to parking locations and mounting chargers on </w:t>
      </w:r>
      <w:r w:rsidR="00861C87">
        <w:t xml:space="preserve">posts near the sidewalk. </w:t>
      </w:r>
    </w:p>
    <w:p w14:paraId="5ADA64FA" w14:textId="77777777" w:rsidR="00604596" w:rsidRDefault="00604596" w:rsidP="00A34FF4"/>
    <w:p w14:paraId="7FADF185" w14:textId="441859B1" w:rsidR="002D20F2" w:rsidRDefault="002D20F2" w:rsidP="00604596">
      <w:pPr>
        <w:pStyle w:val="Heading1"/>
      </w:pPr>
      <w:r w:rsidRPr="00A444E3">
        <w:t xml:space="preserve">Reasonableness of Cost </w:t>
      </w:r>
      <w:r w:rsidR="00FC08B9">
        <w:t>for Measures 2 and 3</w:t>
      </w:r>
    </w:p>
    <w:p w14:paraId="0A130717" w14:textId="77777777" w:rsidR="005E270E" w:rsidRDefault="005E270E" w:rsidP="00E43524">
      <w:pPr>
        <w:pStyle w:val="Heading3"/>
      </w:pPr>
      <w:r>
        <w:t>Personnel</w:t>
      </w:r>
    </w:p>
    <w:p w14:paraId="08E61635" w14:textId="73DF2A9A" w:rsidR="00B7235A" w:rsidRDefault="0048280C" w:rsidP="00A34FF4">
      <w:pPr>
        <w:ind w:left="-20" w:right="-20"/>
        <w:rPr>
          <w:rFonts w:ascii="Calibri" w:eastAsia="Calibri" w:hAnsi="Calibri" w:cs="Calibri"/>
        </w:rPr>
      </w:pPr>
      <w:r>
        <w:rPr>
          <w:rFonts w:ascii="Calibri" w:eastAsia="Calibri" w:hAnsi="Calibri" w:cs="Calibri"/>
          <w:color w:val="000000" w:themeColor="text1"/>
        </w:rPr>
        <w:t>All measures</w:t>
      </w:r>
      <w:r w:rsidR="00C575D4">
        <w:rPr>
          <w:rFonts w:ascii="Calibri" w:eastAsia="Calibri" w:hAnsi="Calibri" w:cs="Calibri"/>
          <w:color w:val="000000" w:themeColor="text1"/>
        </w:rPr>
        <w:t>:</w:t>
      </w:r>
      <w:r w:rsidR="00C575D4">
        <w:rPr>
          <w:rFonts w:ascii="Calibri" w:eastAsia="Calibri" w:hAnsi="Calibri" w:cs="Calibri"/>
          <w:color w:val="000000" w:themeColor="text1"/>
        </w:rPr>
        <w:t xml:space="preserve"> </w:t>
      </w:r>
      <w:r w:rsidR="00B7235A" w:rsidRPr="7CDF0AB1">
        <w:rPr>
          <w:rFonts w:ascii="Calibri" w:eastAsia="Calibri" w:hAnsi="Calibri" w:cs="Calibri"/>
          <w:color w:val="000000" w:themeColor="text1"/>
        </w:rPr>
        <w:t xml:space="preserve">Existing staff do not have the capacity to do the coordination, management, subcontracting, and planning required to implement </w:t>
      </w:r>
      <w:r w:rsidR="00543983">
        <w:rPr>
          <w:rFonts w:ascii="Calibri" w:eastAsia="Calibri" w:hAnsi="Calibri" w:cs="Calibri"/>
          <w:color w:val="000000" w:themeColor="text1"/>
        </w:rPr>
        <w:t xml:space="preserve">two large solar projects, and </w:t>
      </w:r>
      <w:r w:rsidR="002D1E84">
        <w:rPr>
          <w:rFonts w:ascii="Calibri" w:eastAsia="Calibri" w:hAnsi="Calibri" w:cs="Calibri"/>
          <w:color w:val="000000" w:themeColor="text1"/>
        </w:rPr>
        <w:t>all</w:t>
      </w:r>
      <w:r w:rsidR="004E5E86">
        <w:rPr>
          <w:rFonts w:ascii="Calibri" w:eastAsia="Calibri" w:hAnsi="Calibri" w:cs="Calibri"/>
          <w:color w:val="000000" w:themeColor="text1"/>
        </w:rPr>
        <w:t xml:space="preserve"> the associated subcontracting, hiring, </w:t>
      </w:r>
      <w:r w:rsidR="00012B48">
        <w:rPr>
          <w:rFonts w:ascii="Calibri" w:eastAsia="Calibri" w:hAnsi="Calibri" w:cs="Calibri"/>
          <w:color w:val="000000" w:themeColor="text1"/>
        </w:rPr>
        <w:t xml:space="preserve">oversight, and </w:t>
      </w:r>
      <w:r w:rsidR="0050672E">
        <w:rPr>
          <w:rFonts w:ascii="Calibri" w:eastAsia="Calibri" w:hAnsi="Calibri" w:cs="Calibri"/>
          <w:color w:val="000000" w:themeColor="text1"/>
        </w:rPr>
        <w:t xml:space="preserve">community-based coordination </w:t>
      </w:r>
      <w:r>
        <w:rPr>
          <w:rFonts w:ascii="Calibri" w:eastAsia="Calibri" w:hAnsi="Calibri" w:cs="Calibri"/>
          <w:color w:val="000000" w:themeColor="text1"/>
        </w:rPr>
        <w:t xml:space="preserve">(Measure 2) </w:t>
      </w:r>
      <w:r w:rsidR="0050672E">
        <w:rPr>
          <w:rFonts w:ascii="Calibri" w:eastAsia="Calibri" w:hAnsi="Calibri" w:cs="Calibri"/>
          <w:color w:val="000000" w:themeColor="text1"/>
        </w:rPr>
        <w:t>involved for these projects. Also, the tribe has capacity issues that this funding could address that would magnify their efforts and make some of these efforts scalable.</w:t>
      </w:r>
      <w:r w:rsidR="00911095">
        <w:rPr>
          <w:rFonts w:ascii="Calibri" w:eastAsia="Calibri" w:hAnsi="Calibri" w:cs="Calibri"/>
          <w:color w:val="000000" w:themeColor="text1"/>
        </w:rPr>
        <w:t xml:space="preserve"> Measure 3 will be achieved with existing staff as Other Duties as Assigned. </w:t>
      </w:r>
    </w:p>
    <w:p w14:paraId="04583278" w14:textId="4D5F6280" w:rsidR="00AE5408" w:rsidRDefault="005E270E" w:rsidP="00E43524">
      <w:pPr>
        <w:pStyle w:val="Heading3"/>
      </w:pPr>
      <w:r>
        <w:t xml:space="preserve">Travel: </w:t>
      </w:r>
    </w:p>
    <w:p w14:paraId="7AA228B1" w14:textId="5E7375F8" w:rsidR="00DD50B2" w:rsidRPr="00AD1871" w:rsidRDefault="00DD50B2" w:rsidP="00A34FF4">
      <w:pPr>
        <w:rPr>
          <w:rFonts w:eastAsia="Calibri"/>
          <w:color w:val="000000" w:themeColor="text1"/>
        </w:rPr>
      </w:pPr>
      <w:r w:rsidRPr="04997142">
        <w:rPr>
          <w:rFonts w:eastAsia="Calibri"/>
          <w:color w:val="000000" w:themeColor="text1"/>
        </w:rPr>
        <w:t xml:space="preserve">Travel </w:t>
      </w:r>
      <w:r w:rsidRPr="4AED85B2">
        <w:rPr>
          <w:rFonts w:eastAsia="Calibri"/>
          <w:color w:val="000000" w:themeColor="text1"/>
        </w:rPr>
        <w:t>allow</w:t>
      </w:r>
      <w:r>
        <w:rPr>
          <w:rFonts w:eastAsia="Calibri"/>
          <w:color w:val="000000" w:themeColor="text1"/>
        </w:rPr>
        <w:t>s</w:t>
      </w:r>
      <w:r w:rsidRPr="4AED85B2">
        <w:rPr>
          <w:rFonts w:eastAsia="Calibri"/>
          <w:color w:val="000000" w:themeColor="text1"/>
        </w:rPr>
        <w:t xml:space="preserve"> for </w:t>
      </w:r>
      <w:r w:rsidRPr="04997142">
        <w:rPr>
          <w:rFonts w:eastAsia="Calibri"/>
          <w:color w:val="000000" w:themeColor="text1"/>
        </w:rPr>
        <w:t xml:space="preserve">capacity and relationship building to implement GHG measures. </w:t>
      </w:r>
      <w:r w:rsidRPr="253FFD16">
        <w:rPr>
          <w:rFonts w:eastAsia="Calibri"/>
          <w:color w:val="000000" w:themeColor="text1"/>
        </w:rPr>
        <w:t>Budget for two conferences/year split between personnel. Topic areas:</w:t>
      </w:r>
      <w:r w:rsidRPr="04997142">
        <w:rPr>
          <w:rFonts w:eastAsia="Calibri"/>
          <w:color w:val="000000" w:themeColor="text1"/>
        </w:rPr>
        <w:t xml:space="preserve"> energy, weatherization, residential wood smoke and wood </w:t>
      </w:r>
      <w:r w:rsidRPr="253FFD16">
        <w:rPr>
          <w:rFonts w:eastAsia="Calibri"/>
          <w:color w:val="000000" w:themeColor="text1"/>
        </w:rPr>
        <w:t>heaters</w:t>
      </w:r>
      <w:r w:rsidRPr="04997142">
        <w:rPr>
          <w:rFonts w:eastAsia="Calibri"/>
          <w:color w:val="000000" w:themeColor="text1"/>
        </w:rPr>
        <w:t xml:space="preserve">, </w:t>
      </w:r>
      <w:r>
        <w:rPr>
          <w:rFonts w:eastAsia="Calibri"/>
          <w:color w:val="000000" w:themeColor="text1"/>
        </w:rPr>
        <w:t>tribal climate</w:t>
      </w:r>
      <w:r w:rsidRPr="7CDF0AB1">
        <w:rPr>
          <w:rFonts w:eastAsia="Calibri"/>
          <w:color w:val="000000" w:themeColor="text1"/>
        </w:rPr>
        <w:t>,</w:t>
      </w:r>
      <w:r>
        <w:rPr>
          <w:rFonts w:eastAsia="Calibri"/>
          <w:color w:val="000000" w:themeColor="text1"/>
        </w:rPr>
        <w:t xml:space="preserve"> and air quality</w:t>
      </w:r>
      <w:r w:rsidRPr="04997142">
        <w:rPr>
          <w:rFonts w:eastAsia="Calibri"/>
          <w:color w:val="000000" w:themeColor="text1"/>
        </w:rPr>
        <w:t>.</w:t>
      </w:r>
      <w:r>
        <w:rPr>
          <w:rFonts w:eastAsia="Calibri"/>
          <w:color w:val="000000" w:themeColor="text1"/>
        </w:rPr>
        <w:t xml:space="preserve">  </w:t>
      </w:r>
      <w:r w:rsidRPr="253FFD16">
        <w:rPr>
          <w:rFonts w:eastAsia="Calibri"/>
          <w:color w:val="000000" w:themeColor="text1"/>
        </w:rPr>
        <w:t xml:space="preserve">National conferences are often hosted in Eastern U.S. </w:t>
      </w:r>
      <w:r w:rsidRPr="04997142">
        <w:rPr>
          <w:rFonts w:eastAsia="Calibri"/>
          <w:color w:val="000000" w:themeColor="text1"/>
        </w:rPr>
        <w:t xml:space="preserve">Airfare, hotel, and per diem are based on travel to New Orleans, LA as point of destination. </w:t>
      </w:r>
      <w:r>
        <w:rPr>
          <w:rFonts w:eastAsia="Calibri"/>
          <w:color w:val="000000" w:themeColor="text1"/>
        </w:rPr>
        <w:t>N</w:t>
      </w:r>
      <w:r w:rsidRPr="04997142">
        <w:rPr>
          <w:rFonts w:eastAsia="Calibri"/>
          <w:color w:val="000000" w:themeColor="text1"/>
        </w:rPr>
        <w:t xml:space="preserve">earest airports are in Lewiston, Idaho (15 miles from Lapwai </w:t>
      </w:r>
      <w:r>
        <w:rPr>
          <w:rFonts w:eastAsia="Calibri"/>
          <w:color w:val="000000" w:themeColor="text1"/>
        </w:rPr>
        <w:t>-</w:t>
      </w:r>
      <w:r w:rsidRPr="04997142">
        <w:rPr>
          <w:rFonts w:eastAsia="Calibri"/>
          <w:color w:val="000000" w:themeColor="text1"/>
        </w:rPr>
        <w:t xml:space="preserve"> Tribal HQ locat</w:t>
      </w:r>
      <w:r>
        <w:rPr>
          <w:rFonts w:eastAsia="Calibri"/>
          <w:color w:val="000000" w:themeColor="text1"/>
        </w:rPr>
        <w:t>ion</w:t>
      </w:r>
      <w:r w:rsidRPr="04997142">
        <w:rPr>
          <w:rFonts w:eastAsia="Calibri"/>
          <w:color w:val="000000" w:themeColor="text1"/>
        </w:rPr>
        <w:t>) or Spokane Airport (120 miles from Lapwai). Spokane flights may cost less, but a hotel may be required for an early morning flight</w:t>
      </w:r>
      <w:r w:rsidRPr="7CDF0AB1">
        <w:rPr>
          <w:rFonts w:eastAsia="Calibri"/>
          <w:color w:val="000000" w:themeColor="text1"/>
        </w:rPr>
        <w:t>,</w:t>
      </w:r>
      <w:r w:rsidRPr="04997142">
        <w:rPr>
          <w:rFonts w:eastAsia="Calibri"/>
          <w:color w:val="000000" w:themeColor="text1"/>
        </w:rPr>
        <w:t xml:space="preserve"> and parking costs are higher than </w:t>
      </w:r>
      <w:r w:rsidRPr="7CDF0AB1">
        <w:rPr>
          <w:rFonts w:eastAsia="Calibri"/>
          <w:color w:val="000000" w:themeColor="text1"/>
        </w:rPr>
        <w:t>at</w:t>
      </w:r>
      <w:r w:rsidRPr="04997142">
        <w:rPr>
          <w:rFonts w:eastAsia="Calibri"/>
          <w:color w:val="000000" w:themeColor="text1"/>
        </w:rPr>
        <w:t xml:space="preserve"> Lewiston </w:t>
      </w:r>
      <w:r w:rsidRPr="7CDF0AB1">
        <w:rPr>
          <w:rFonts w:eastAsia="Calibri"/>
          <w:color w:val="000000" w:themeColor="text1"/>
        </w:rPr>
        <w:t>Airport.</w:t>
      </w:r>
      <w:r w:rsidRPr="04997142">
        <w:rPr>
          <w:rFonts w:eastAsia="Calibri"/>
          <w:color w:val="000000" w:themeColor="text1"/>
        </w:rPr>
        <w:t xml:space="preserve"> Parking is based on the possibility of a conference/workshop being held regionally or towards airport parking costs per year. For local travel,</w:t>
      </w:r>
      <w:r w:rsidR="00D07EBC">
        <w:rPr>
          <w:rFonts w:eastAsia="Calibri"/>
          <w:color w:val="000000" w:themeColor="text1"/>
        </w:rPr>
        <w:t xml:space="preserve"> </w:t>
      </w:r>
      <w:r w:rsidR="002D1E84">
        <w:rPr>
          <w:rFonts w:eastAsia="Calibri"/>
          <w:color w:val="000000" w:themeColor="text1"/>
        </w:rPr>
        <w:t>o</w:t>
      </w:r>
      <w:r w:rsidRPr="04997142">
        <w:rPr>
          <w:rFonts w:eastAsia="Calibri"/>
          <w:color w:val="000000" w:themeColor="text1"/>
        </w:rPr>
        <w:t>ne project comm</w:t>
      </w:r>
      <w:r w:rsidR="00C75437">
        <w:rPr>
          <w:rFonts w:eastAsia="Calibri"/>
          <w:color w:val="000000" w:themeColor="text1"/>
        </w:rPr>
        <w:t>ute</w:t>
      </w:r>
      <w:r w:rsidRPr="04997142">
        <w:rPr>
          <w:rFonts w:eastAsia="Calibri"/>
          <w:color w:val="000000" w:themeColor="text1"/>
        </w:rPr>
        <w:t xml:space="preserve"> is 120 miles/roundtrip from Lapwai. Staff will be reimbursed for their personal vehicle use.</w:t>
      </w:r>
      <w:r w:rsidR="00D07EBC">
        <w:rPr>
          <w:rFonts w:eastAsia="Calibri"/>
          <w:color w:val="000000" w:themeColor="text1"/>
        </w:rPr>
        <w:t xml:space="preserve"> For Measure 2</w:t>
      </w:r>
      <w:r w:rsidR="00CB51AC">
        <w:rPr>
          <w:rFonts w:eastAsia="Calibri"/>
          <w:color w:val="000000" w:themeColor="text1"/>
        </w:rPr>
        <w:t xml:space="preserve"> mileage for local travel was estimated at </w:t>
      </w:r>
      <w:r w:rsidR="00CB51AC" w:rsidRPr="00CB51AC">
        <w:rPr>
          <w:rFonts w:eastAsia="Calibri"/>
          <w:color w:val="000000" w:themeColor="text1"/>
        </w:rPr>
        <w:t xml:space="preserve">1,492 miles per year at $0.67/mi </w:t>
      </w:r>
      <w:r w:rsidR="00C84B40">
        <w:rPr>
          <w:rFonts w:eastAsia="Calibri"/>
          <w:color w:val="000000" w:themeColor="text1"/>
        </w:rPr>
        <w:t>GSA</w:t>
      </w:r>
      <w:r w:rsidR="00CB51AC" w:rsidRPr="00CB51AC">
        <w:rPr>
          <w:rFonts w:eastAsia="Calibri"/>
          <w:color w:val="000000" w:themeColor="text1"/>
        </w:rPr>
        <w:t xml:space="preserve"> 2024 </w:t>
      </w:r>
      <w:r w:rsidR="00C84B40">
        <w:rPr>
          <w:rFonts w:eastAsia="Calibri"/>
          <w:color w:val="000000" w:themeColor="text1"/>
        </w:rPr>
        <w:t>POV</w:t>
      </w:r>
      <w:r w:rsidR="00CB51AC" w:rsidRPr="00CB51AC">
        <w:rPr>
          <w:rFonts w:eastAsia="Calibri"/>
          <w:color w:val="000000" w:themeColor="text1"/>
        </w:rPr>
        <w:t xml:space="preserve"> rate</w:t>
      </w:r>
      <w:r w:rsidR="00327E73">
        <w:rPr>
          <w:rFonts w:eastAsia="Calibri"/>
          <w:color w:val="000000" w:themeColor="text1"/>
        </w:rPr>
        <w:t xml:space="preserve">. </w:t>
      </w:r>
      <w:r w:rsidR="009C4E86">
        <w:rPr>
          <w:rFonts w:eastAsia="Calibri"/>
          <w:color w:val="000000" w:themeColor="text1"/>
        </w:rPr>
        <w:t xml:space="preserve">Since we will not be utilizing GSA vehicles for </w:t>
      </w:r>
      <w:r w:rsidR="00A35F81">
        <w:rPr>
          <w:rFonts w:eastAsia="Calibri"/>
          <w:color w:val="000000" w:themeColor="text1"/>
        </w:rPr>
        <w:t xml:space="preserve">implementation, we expect to reimburse staff for personal vehicle use which will involve driving to area homes to evaluate rooftops and </w:t>
      </w:r>
      <w:r w:rsidR="00314838">
        <w:rPr>
          <w:rFonts w:eastAsia="Calibri"/>
          <w:color w:val="000000" w:themeColor="text1"/>
        </w:rPr>
        <w:t>electrical panels for solar arrays and batteries</w:t>
      </w:r>
      <w:r w:rsidR="00FB6F77">
        <w:rPr>
          <w:rFonts w:eastAsia="Calibri"/>
          <w:color w:val="000000" w:themeColor="text1"/>
        </w:rPr>
        <w:t xml:space="preserve">. For Measure 3 we estimated only 3 trips per year </w:t>
      </w:r>
      <w:r w:rsidR="001275BD">
        <w:rPr>
          <w:rFonts w:eastAsia="Calibri"/>
          <w:color w:val="000000" w:themeColor="text1"/>
        </w:rPr>
        <w:t xml:space="preserve">for each year for Energy coordinator staff to visit Kamiah and Joseph, Oregon. </w:t>
      </w:r>
    </w:p>
    <w:p w14:paraId="7536920F" w14:textId="1B13FEEC" w:rsidR="00AE5408" w:rsidRDefault="00C273AF" w:rsidP="00E43524">
      <w:pPr>
        <w:pStyle w:val="Heading3"/>
      </w:pPr>
      <w:r>
        <w:t xml:space="preserve">Equipment: </w:t>
      </w:r>
    </w:p>
    <w:p w14:paraId="4B848D01" w14:textId="27FB9ECC" w:rsidR="00C273AF" w:rsidRDefault="00C273AF" w:rsidP="00A34FF4">
      <w:r>
        <w:t xml:space="preserve">Level III chargers cost from $24,000 to $200,000. We chose a mid-grade ChargePoint charger </w:t>
      </w:r>
      <w:r w:rsidR="00AC2167">
        <w:t>and averaged the cost based on several prices found through a google search</w:t>
      </w:r>
      <w:r w:rsidR="00AC6F2D">
        <w:t xml:space="preserve"> </w:t>
      </w:r>
      <w:r w:rsidR="001A2D29">
        <w:t xml:space="preserve">and estimated the cost at $61,000. The investment in exorbitantly priced Tesla chargers did not seem worth it for this first project at JFO, and the charger will be </w:t>
      </w:r>
      <w:proofErr w:type="gramStart"/>
      <w:r w:rsidR="001A2D29">
        <w:t>similar to</w:t>
      </w:r>
      <w:proofErr w:type="gramEnd"/>
      <w:r w:rsidR="001A2D29">
        <w:t xml:space="preserve"> the ones installed at the CRC already, and the one to be installed in Kamiah, reducing the learning curve for troubleshooting. </w:t>
      </w:r>
      <w:r w:rsidR="00AC2167">
        <w:t xml:space="preserve"> </w:t>
      </w:r>
    </w:p>
    <w:p w14:paraId="00DD44FE" w14:textId="11C91D5F" w:rsidR="00E951C1" w:rsidRDefault="00E951C1" w:rsidP="00E951C1">
      <w:pPr>
        <w:pStyle w:val="Heading3"/>
      </w:pPr>
      <w:r>
        <w:t xml:space="preserve">Supplies: </w:t>
      </w:r>
    </w:p>
    <w:p w14:paraId="7339862C" w14:textId="1463AC92" w:rsidR="00E951C1" w:rsidRDefault="00E951C1" w:rsidP="00A34FF4">
      <w:r>
        <w:t xml:space="preserve">Costs of computers, laptops, external </w:t>
      </w:r>
      <w:proofErr w:type="spellStart"/>
      <w:r>
        <w:t>harddrives</w:t>
      </w:r>
      <w:proofErr w:type="spellEnd"/>
      <w:r>
        <w:t xml:space="preserve">, workstations, and office supplies were based upon historical experience and comparison shopping online. </w:t>
      </w:r>
      <w:r w:rsidR="006D1453">
        <w:t xml:space="preserve">The tribe has a minimalist office </w:t>
      </w:r>
      <w:r w:rsidR="008F4561">
        <w:t xml:space="preserve">furniture style and usually purchases furniture and equipment that is low cost. </w:t>
      </w:r>
    </w:p>
    <w:p w14:paraId="785C1FC9" w14:textId="29AF2FE8" w:rsidR="00C273AF" w:rsidRDefault="00C273AF" w:rsidP="00E43524">
      <w:pPr>
        <w:pStyle w:val="Heading3"/>
      </w:pPr>
      <w:r>
        <w:t xml:space="preserve">Contractual: </w:t>
      </w:r>
    </w:p>
    <w:p w14:paraId="5AFDF75C" w14:textId="22550DD9" w:rsidR="00063D5D" w:rsidRPr="00063D5D" w:rsidRDefault="00063D5D" w:rsidP="008F4561">
      <w:r>
        <w:t>We based the cost estimates for solar arrays on local industry averages and past experiences with installations at the Tribe</w:t>
      </w:r>
      <w:r w:rsidR="00D50F2E">
        <w:t>.</w:t>
      </w:r>
      <w:r w:rsidR="003F106D">
        <w:t xml:space="preserve"> The costs usually come in right below $3.00 or $4.00 a kWh for installed rooftop and parking lot arrays, but we</w:t>
      </w:r>
      <w:r>
        <w:t xml:space="preserve"> averaged up to an even $3.00 or $4.00 per hour to ensure that subcontractors can meet prevailing wage and Davis Bacon wage requirements.</w:t>
      </w:r>
      <w:r w:rsidR="003F106D">
        <w:t xml:space="preserve"> Most solar installers make </w:t>
      </w:r>
      <w:r w:rsidR="00C620FC">
        <w:t xml:space="preserve">about $3.00 less/hour than Davis Bacon Wage Requirements, but supplies are usually the highest cost for solar installations. </w:t>
      </w:r>
      <w:r>
        <w:t xml:space="preserve">There are likely to be some bulk cost savings </w:t>
      </w:r>
      <w:proofErr w:type="gramStart"/>
      <w:r>
        <w:t>in light of</w:t>
      </w:r>
      <w:proofErr w:type="gramEnd"/>
      <w:r>
        <w:t xml:space="preserve"> how large these projects are that could cut costs, and some extra costs associated with higher wages, so we think this estimate is accurate and fair for contractors. </w:t>
      </w:r>
      <w:r w:rsidR="00E951C1">
        <w:t xml:space="preserve"> The installed cost of a Tesla Megapack XL was quoted at $2,000,000 which seemed comparable to information found through internet searches. </w:t>
      </w:r>
    </w:p>
    <w:p w14:paraId="24EE0196" w14:textId="77777777" w:rsidR="00E951C1" w:rsidRPr="00063D5D" w:rsidRDefault="00E951C1" w:rsidP="00A34FF4"/>
    <w:p w14:paraId="76BD1C52" w14:textId="64F704CF" w:rsidR="002D20F2" w:rsidRDefault="002D20F2" w:rsidP="00A34FF4">
      <w:r>
        <w:t xml:space="preserve">Battery storage </w:t>
      </w:r>
      <w:r w:rsidR="00C620FC">
        <w:t xml:space="preserve">(the </w:t>
      </w:r>
      <w:proofErr w:type="spellStart"/>
      <w:r w:rsidR="00C620FC">
        <w:t>MegaPacks</w:t>
      </w:r>
      <w:proofErr w:type="spellEnd"/>
      <w:r w:rsidR="00C620FC">
        <w:t xml:space="preserve"> and </w:t>
      </w:r>
      <w:proofErr w:type="spellStart"/>
      <w:r w:rsidR="00C620FC">
        <w:t>PowerWalls</w:t>
      </w:r>
      <w:proofErr w:type="spellEnd"/>
      <w:r w:rsidR="00C620FC">
        <w:t xml:space="preserve">) </w:t>
      </w:r>
      <w:r>
        <w:t>hurt ou</w:t>
      </w:r>
      <w:r w:rsidR="00C620FC">
        <w:t>r</w:t>
      </w:r>
      <w:r>
        <w:t xml:space="preserve"> GHG calculations</w:t>
      </w:r>
      <w:r w:rsidR="00C620FC">
        <w:t xml:space="preserve"> because we were unable to pair the residential </w:t>
      </w:r>
      <w:proofErr w:type="spellStart"/>
      <w:r w:rsidR="00C620FC">
        <w:t>PowerWalls</w:t>
      </w:r>
      <w:proofErr w:type="spellEnd"/>
      <w:r w:rsidR="00C620FC">
        <w:t xml:space="preserve"> with the offsets associated with the solar arrays that they will be paired with. However, these arrays are </w:t>
      </w:r>
      <w:r>
        <w:t>so critical for the Tribe’s resiliency and will lead to savings that will be reinvested in more solar and storage projects</w:t>
      </w:r>
      <w:r w:rsidR="008551F7">
        <w:t xml:space="preserve">, and the entire project </w:t>
      </w:r>
      <w:proofErr w:type="gramStart"/>
      <w:r w:rsidR="008551F7">
        <w:t>as a whole will</w:t>
      </w:r>
      <w:proofErr w:type="gramEnd"/>
      <w:r w:rsidR="008551F7">
        <w:t xml:space="preserve"> lead to greater GHG reductions than the amount that </w:t>
      </w:r>
      <w:r w:rsidR="00C30D30">
        <w:t>the CPRG will be funded.  W</w:t>
      </w:r>
      <w:r>
        <w:t xml:space="preserve">e hope the reviewer will understand that given more time, we would have shown a </w:t>
      </w:r>
      <w:r>
        <w:lastRenderedPageBreak/>
        <w:t>cost benefits analysis that reflected the added benefits from storage in terms of cost efficiency.</w:t>
      </w:r>
    </w:p>
    <w:p w14:paraId="0C39F834" w14:textId="77777777" w:rsidR="00875F1C" w:rsidRPr="00F03996" w:rsidRDefault="00875F1C" w:rsidP="00A34FF4">
      <w:pPr>
        <w:widowControl/>
        <w:rPr>
          <w:rFonts w:ascii="Calibri" w:eastAsia="Times New Roman" w:hAnsi="Calibri" w:cs="Calibri"/>
          <w:color w:val="000000"/>
          <w:sz w:val="20"/>
          <w:szCs w:val="20"/>
        </w:rPr>
      </w:pPr>
    </w:p>
    <w:p w14:paraId="26F3A0C9" w14:textId="54E23E5D" w:rsidR="00875F1C" w:rsidRDefault="00875F1C" w:rsidP="00A34FF4">
      <w:r>
        <w:t>The parking lot solar arrays will benefit the CRC and JFO by lessening snow and ice removal costs, increasing shading near the building</w:t>
      </w:r>
      <w:r w:rsidR="00D10F76">
        <w:t>s</w:t>
      </w:r>
      <w:r>
        <w:t xml:space="preserve"> on hot days, and</w:t>
      </w:r>
      <w:r w:rsidR="00D10F76">
        <w:t xml:space="preserve"> provided</w:t>
      </w:r>
      <w:r>
        <w:t xml:space="preserve"> covered workspace for repairs to equipment in inclement weather or heatwaves</w:t>
      </w:r>
      <w:r w:rsidR="00D10F76">
        <w:t xml:space="preserve">, or shade for booths at tribal events and powwows. It will reduce the </w:t>
      </w:r>
      <w:r w:rsidR="003E5212">
        <w:t xml:space="preserve">temperature inside automobiles potentially reducing the amount of fuel used for automotive air conditioning. The arrays will </w:t>
      </w:r>
      <w:r>
        <w:t>also offset additional power needed to power EV charging stations</w:t>
      </w:r>
      <w:r w:rsidR="003E5212">
        <w:t xml:space="preserve"> from the grid</w:t>
      </w:r>
      <w:r>
        <w:t xml:space="preserve">.  </w:t>
      </w:r>
    </w:p>
    <w:p w14:paraId="036A49E0" w14:textId="77777777" w:rsidR="00F03996" w:rsidRPr="00F03996" w:rsidRDefault="00F03996" w:rsidP="00A34FF4">
      <w:pPr>
        <w:jc w:val="left"/>
        <w:rPr>
          <w:rFonts w:eastAsia="Calibri" w:cstheme="minorHAnsi"/>
          <w:sz w:val="20"/>
          <w:szCs w:val="20"/>
        </w:rPr>
      </w:pPr>
    </w:p>
    <w:p w14:paraId="6D4635A4" w14:textId="18F2C1F2" w:rsidR="000847E9" w:rsidRDefault="00AC2167" w:rsidP="00A34FF4">
      <w:pPr>
        <w:jc w:val="left"/>
        <w:rPr>
          <w:rFonts w:eastAsia="Calibri" w:cstheme="minorHAnsi"/>
        </w:rPr>
      </w:pPr>
      <w:r>
        <w:rPr>
          <w:rFonts w:eastAsia="Calibri" w:cstheme="minorHAnsi"/>
        </w:rPr>
        <w:t xml:space="preserve">Quotes from local electricians were used for the costs of panel upgrades, step down transformers, and </w:t>
      </w:r>
      <w:r w:rsidR="000847E9">
        <w:rPr>
          <w:rFonts w:eastAsia="Calibri" w:cstheme="minorHAnsi"/>
        </w:rPr>
        <w:t>conduit upgrades</w:t>
      </w:r>
      <w:r w:rsidR="001A2D29">
        <w:rPr>
          <w:rFonts w:eastAsia="Calibri" w:cstheme="minorHAnsi"/>
        </w:rPr>
        <w:t xml:space="preserve"> for Measure 3</w:t>
      </w:r>
      <w:r w:rsidR="000847E9">
        <w:rPr>
          <w:rFonts w:eastAsia="Calibri" w:cstheme="minorHAnsi"/>
        </w:rPr>
        <w:t>. These costs seemed reasonable and comparable to each other. The Kamiah Level III charger installation is less expensive because the cost the cost of the ChargePoint station was covered otherwise.</w:t>
      </w:r>
    </w:p>
    <w:p w14:paraId="2EFE64EC" w14:textId="77777777" w:rsidR="00913748" w:rsidRDefault="00913748" w:rsidP="00E43524">
      <w:pPr>
        <w:pStyle w:val="Heading3"/>
      </w:pPr>
      <w:r>
        <w:t xml:space="preserve">Other: </w:t>
      </w:r>
    </w:p>
    <w:p w14:paraId="0F1F05E6" w14:textId="25B0D0A7" w:rsidR="00415EEB" w:rsidRDefault="00415EEB" w:rsidP="00415EEB">
      <w:r>
        <w:t xml:space="preserve">Online trainings were chosen </w:t>
      </w:r>
      <w:r w:rsidR="001A307F">
        <w:t xml:space="preserve">for education </w:t>
      </w:r>
      <w:r>
        <w:t xml:space="preserve">to NEC and fire codes for solar </w:t>
      </w:r>
      <w:proofErr w:type="spellStart"/>
      <w:r>
        <w:t>pv</w:t>
      </w:r>
      <w:proofErr w:type="spellEnd"/>
      <w:r>
        <w:t xml:space="preserve"> arrays and batteries. We estimate that six personnel would take online courses from Solar Energy International.  In addition, most conference registrations cost approximately $500 per event, and we estimated 2 conferences per person per year. Staff will be housed in Enterprises office space without network printers. The printer lease fees are $300.00 per year.</w:t>
      </w:r>
    </w:p>
    <w:p w14:paraId="56E0E18E" w14:textId="2C10F527" w:rsidR="00875F1C" w:rsidRDefault="005E270E" w:rsidP="00E43524">
      <w:pPr>
        <w:pStyle w:val="Heading3"/>
      </w:pPr>
      <w:r>
        <w:t xml:space="preserve">Indirect: </w:t>
      </w:r>
    </w:p>
    <w:p w14:paraId="7483A661" w14:textId="7682062B" w:rsidR="005E270E" w:rsidRPr="003A722D" w:rsidRDefault="005E270E" w:rsidP="003A722D">
      <w:r w:rsidRPr="00C575D4">
        <w:t>Nez Perce Tribe FY24 approved IDC rate is 20.89%. Base = direct costs less equipment, in-kind contributions, and pass-through funds.  </w:t>
      </w:r>
      <w:r w:rsidRPr="003A722D">
        <w:t xml:space="preserve">The Tribe’s indirect cost rate is </w:t>
      </w:r>
      <w:r w:rsidR="003A722D" w:rsidRPr="003A722D">
        <w:t>less than half of local universities and</w:t>
      </w:r>
      <w:r w:rsidRPr="003A722D">
        <w:t xml:space="preserve"> parallels the indirect rate of local non-profits. Since most the funds will be in contractual, the total indirect is minimized. </w:t>
      </w:r>
    </w:p>
    <w:p w14:paraId="1E3994BA" w14:textId="77777777" w:rsidR="005E270E" w:rsidRPr="003A722D" w:rsidRDefault="005E270E" w:rsidP="003A722D"/>
    <w:p w14:paraId="5CBCD1CC" w14:textId="7EE8DE82" w:rsidR="00033E42" w:rsidRPr="00AD1871" w:rsidRDefault="00033E42" w:rsidP="00A34FF4">
      <w:pPr>
        <w:pStyle w:val="Heading3"/>
        <w:tabs>
          <w:tab w:val="num" w:pos="360"/>
        </w:tabs>
        <w:jc w:val="left"/>
        <w:rPr>
          <w:sz w:val="26"/>
          <w:szCs w:val="26"/>
        </w:rPr>
      </w:pPr>
      <w:r w:rsidRPr="27BE9977">
        <w:rPr>
          <w:color w:val="262626" w:themeColor="text1" w:themeTint="D9"/>
          <w:sz w:val="26"/>
          <w:szCs w:val="26"/>
        </w:rPr>
        <w:t>Expenditure of Awarded Funds</w:t>
      </w:r>
    </w:p>
    <w:p w14:paraId="52C95952" w14:textId="77777777" w:rsidR="00033E42" w:rsidRPr="00AD1871" w:rsidRDefault="00033E42" w:rsidP="00A34FF4">
      <w:pPr>
        <w:jc w:val="left"/>
        <w:rPr>
          <w:b/>
        </w:rPr>
      </w:pPr>
    </w:p>
    <w:p w14:paraId="307EB4BA" w14:textId="4790105C" w:rsidR="7985B936" w:rsidRDefault="7985B936" w:rsidP="00A34FF4">
      <w:pPr>
        <w:spacing w:after="160"/>
        <w:ind w:left="-20" w:right="-20"/>
        <w:jc w:val="left"/>
        <w:rPr>
          <w:rFonts w:ascii="Calibri" w:eastAsia="Calibri" w:hAnsi="Calibri" w:cs="Calibri"/>
        </w:rPr>
      </w:pPr>
      <w:r w:rsidRPr="139A17E9">
        <w:rPr>
          <w:rFonts w:ascii="Calibri" w:eastAsia="Calibri" w:hAnsi="Calibri" w:cs="Calibri"/>
        </w:rPr>
        <w:t>To ensure the efficient utilization of awarded funds, the Nez Perce Tribe's Water Resources Division Director will serve as the Project Manager for the grant.</w:t>
      </w:r>
      <w:r w:rsidR="3AF9401E" w:rsidRPr="139A17E9">
        <w:rPr>
          <w:rFonts w:ascii="Calibri" w:eastAsia="Calibri" w:hAnsi="Calibri" w:cs="Calibri"/>
        </w:rPr>
        <w:t xml:space="preserve"> A robust oversight system has been established, supported by a dedicated administrative team, including the Grants and Contracts Coordinator, the Housing Director and Manager for Measure 1, and the Deputy Executive Director and Nez Perce Tribal Enterprises Executive Officer for Measures 2 and 3. Regular monthly meetings will be conducted to closely monitor the progress of grant objectives </w:t>
      </w:r>
      <w:r w:rsidR="2A65E159" w:rsidRPr="36ACC87C">
        <w:rPr>
          <w:rFonts w:ascii="Calibri" w:eastAsia="Calibri" w:hAnsi="Calibri" w:cs="Calibri"/>
        </w:rPr>
        <w:t>while also ensuring</w:t>
      </w:r>
      <w:r w:rsidR="3AF9401E" w:rsidRPr="139A17E9">
        <w:rPr>
          <w:rFonts w:ascii="Calibri" w:eastAsia="Calibri" w:hAnsi="Calibri" w:cs="Calibri"/>
        </w:rPr>
        <w:t xml:space="preserve"> adherence to the </w:t>
      </w:r>
      <w:r w:rsidR="2A65E159" w:rsidRPr="7AA1486D">
        <w:rPr>
          <w:rFonts w:ascii="Calibri" w:eastAsia="Calibri" w:hAnsi="Calibri" w:cs="Calibri"/>
        </w:rPr>
        <w:t>project budget and that grant funds are expended</w:t>
      </w:r>
      <w:r w:rsidR="2A65E159" w:rsidRPr="2840231A">
        <w:rPr>
          <w:rFonts w:ascii="Calibri" w:eastAsia="Calibri" w:hAnsi="Calibri" w:cs="Calibri"/>
        </w:rPr>
        <w:t xml:space="preserve"> in a timely and efficient manner during the grant period. </w:t>
      </w:r>
    </w:p>
    <w:p w14:paraId="166CAB61" w14:textId="6FCFF646" w:rsidR="6ECA7867" w:rsidRDefault="3EFD3C71" w:rsidP="00A34FF4">
      <w:pPr>
        <w:jc w:val="left"/>
      </w:pPr>
      <w:r w:rsidRPr="0D2BA188">
        <w:rPr>
          <w:rFonts w:ascii="Calibri" w:eastAsia="Calibri" w:hAnsi="Calibri" w:cs="Calibri"/>
          <w:szCs w:val="22"/>
        </w:rPr>
        <w:t>Commitment to financial transparency and accountability is demonstrated through strict adherence to the Finance Manual of Tribal Government Policies and Procedures. This manual provides standardized guidelines for financial management activities, ensuring consistency and accuracy in financial reporting. By following these procedures, the Tribe will facilitate the efficient processing of financial transactions, enabling timely reporting of financial outcomes. This meticulous approach empowers management to strategically allocate resources and achieve the Tribe's objectives while complying with all governing regulations.</w:t>
      </w:r>
    </w:p>
    <w:p w14:paraId="6CA6EBD0" w14:textId="00ECA732" w:rsidR="69B4E02B" w:rsidRDefault="69B4E02B" w:rsidP="00A34FF4">
      <w:pPr>
        <w:jc w:val="left"/>
        <w:rPr>
          <w:rFonts w:ascii="Calibri" w:eastAsia="Calibri" w:hAnsi="Calibri" w:cs="Calibri"/>
          <w:szCs w:val="22"/>
        </w:rPr>
      </w:pPr>
    </w:p>
    <w:p w14:paraId="0E77FFE0" w14:textId="1D863370" w:rsidR="3EFD3C71" w:rsidRDefault="3EFD3C71" w:rsidP="00A34FF4">
      <w:pPr>
        <w:spacing w:after="160"/>
        <w:ind w:left="-20" w:right="-20"/>
        <w:jc w:val="left"/>
        <w:rPr>
          <w:rFonts w:ascii="Calibri" w:eastAsia="Calibri" w:hAnsi="Calibri" w:cs="Calibri"/>
        </w:rPr>
      </w:pPr>
      <w:r w:rsidRPr="65879968">
        <w:rPr>
          <w:rFonts w:ascii="Calibri" w:eastAsia="Calibri" w:hAnsi="Calibri" w:cs="Calibri"/>
        </w:rPr>
        <w:t>Moreover, the management team's track record of successful grant management and financial stewardship positions it well to utilize awarded funds effectively. Previous projects have been executed with diligence and fiscal responsibility, resulting in the timely completion of objectives and the achievement of desired outcomes. Additionally, the team's collective expertise and experience in project management, financial administration, and regulatory compliance further enhance their capacity to navigate the complexities of grant expenditure.</w:t>
      </w:r>
    </w:p>
    <w:p w14:paraId="3509F9FB" w14:textId="77777777" w:rsidR="00033E42" w:rsidRPr="00AD1871" w:rsidRDefault="00033E42" w:rsidP="00A34FF4">
      <w:pPr>
        <w:jc w:val="left"/>
        <w:rPr>
          <w:rFonts w:cstheme="minorHAnsi"/>
          <w:b/>
          <w:bCs/>
        </w:rPr>
      </w:pPr>
      <w:r w:rsidRPr="00AD1871">
        <w:rPr>
          <w:rFonts w:cstheme="minorHAnsi"/>
          <w:b/>
          <w:bCs/>
        </w:rPr>
        <w:t>Note: Funds disbursed under the CPRG are subject to Davis Bacon Prevailing Wage requirements as explained in Section VI.C and to Build America, Buy America (BABA) as explained in Section VI.D.</w:t>
      </w:r>
    </w:p>
    <w:p w14:paraId="4C7918E4" w14:textId="32602A5F" w:rsidR="00033E42" w:rsidRDefault="00033E42" w:rsidP="00A34FF4">
      <w:pPr>
        <w:jc w:val="left"/>
        <w:rPr>
          <w:b/>
        </w:rPr>
      </w:pPr>
    </w:p>
    <w:p w14:paraId="2D4A7C7C" w14:textId="4BC05B21" w:rsidR="00033E42" w:rsidRPr="0099361E" w:rsidRDefault="00033E42" w:rsidP="00A34FF4">
      <w:pPr>
        <w:jc w:val="left"/>
        <w:rPr>
          <w:b/>
        </w:rPr>
      </w:pPr>
    </w:p>
    <w:sectPr w:rsidR="00033E42" w:rsidRPr="0099361E" w:rsidSect="009B3C53">
      <w:pgSz w:w="12240" w:h="15840"/>
      <w:pgMar w:top="864" w:right="1008" w:bottom="864"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AEA96" w14:textId="77777777" w:rsidR="00D45F56" w:rsidRDefault="00D45F56" w:rsidP="003927AA">
      <w:r>
        <w:separator/>
      </w:r>
    </w:p>
  </w:endnote>
  <w:endnote w:type="continuationSeparator" w:id="0">
    <w:p w14:paraId="1F41C744" w14:textId="77777777" w:rsidR="00D45F56" w:rsidRDefault="00D45F56" w:rsidP="003927AA">
      <w:r>
        <w:continuationSeparator/>
      </w:r>
    </w:p>
  </w:endnote>
  <w:endnote w:type="continuationNotice" w:id="1">
    <w:p w14:paraId="70281734" w14:textId="77777777" w:rsidR="00D45F56" w:rsidRDefault="00D45F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venir Next LT Pro Demi">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639330"/>
      <w:docPartObj>
        <w:docPartGallery w:val="Page Numbers (Bottom of Page)"/>
        <w:docPartUnique/>
      </w:docPartObj>
    </w:sdtPr>
    <w:sdtEndPr>
      <w:rPr>
        <w:noProof/>
      </w:rPr>
    </w:sdtEndPr>
    <w:sdtContent>
      <w:p w14:paraId="0253B79D" w14:textId="77777777" w:rsidR="006C1493" w:rsidRDefault="006C1493" w:rsidP="007D599A">
        <w:pPr>
          <w:pStyle w:val="Footer"/>
          <w:jc w:val="right"/>
        </w:pPr>
      </w:p>
      <w:p w14:paraId="7C8DFA63" w14:textId="21C30944" w:rsidR="007D599A" w:rsidRPr="003007DA" w:rsidRDefault="007D599A" w:rsidP="003007DA">
        <w:pPr>
          <w:pStyle w:val="Footer"/>
          <w:jc w:val="right"/>
          <w:rPr>
            <w:rFonts w:ascii="Avenir Next LT Pro Demi" w:hAnsi="Avenir Next LT Pro Demi"/>
            <w:noProof/>
            <w:sz w:val="18"/>
            <w:szCs w:val="18"/>
          </w:rPr>
        </w:pPr>
        <w:r w:rsidRPr="006C1493">
          <w:rPr>
            <w:rFonts w:ascii="Avenir Next LT Pro Demi" w:hAnsi="Avenir Next LT Pro Demi"/>
            <w:sz w:val="18"/>
            <w:szCs w:val="18"/>
          </w:rPr>
          <w:t xml:space="preserve">Page | </w:t>
        </w:r>
        <w:r w:rsidRPr="006C1493">
          <w:rPr>
            <w:rFonts w:ascii="Avenir Next LT Pro Demi" w:hAnsi="Avenir Next LT Pro Demi"/>
            <w:sz w:val="18"/>
            <w:szCs w:val="18"/>
          </w:rPr>
          <w:fldChar w:fldCharType="begin"/>
        </w:r>
        <w:r w:rsidRPr="006C1493">
          <w:rPr>
            <w:rFonts w:ascii="Avenir Next LT Pro Demi" w:hAnsi="Avenir Next LT Pro Demi"/>
            <w:sz w:val="18"/>
            <w:szCs w:val="18"/>
          </w:rPr>
          <w:instrText xml:space="preserve"> PAGE   \* MERGEFORMAT </w:instrText>
        </w:r>
        <w:r w:rsidRPr="006C1493">
          <w:rPr>
            <w:rFonts w:ascii="Avenir Next LT Pro Demi" w:hAnsi="Avenir Next LT Pro Demi"/>
            <w:sz w:val="18"/>
            <w:szCs w:val="18"/>
          </w:rPr>
          <w:fldChar w:fldCharType="separate"/>
        </w:r>
        <w:r w:rsidRPr="006C1493">
          <w:rPr>
            <w:rFonts w:ascii="Avenir Next LT Pro Demi" w:hAnsi="Avenir Next LT Pro Demi"/>
            <w:noProof/>
            <w:sz w:val="18"/>
            <w:szCs w:val="18"/>
          </w:rPr>
          <w:t>2</w:t>
        </w:r>
        <w:r w:rsidRPr="006C1493">
          <w:rPr>
            <w:rFonts w:ascii="Avenir Next LT Pro Demi" w:hAnsi="Avenir Next LT Pro Demi"/>
            <w:noProof/>
            <w:sz w:val="18"/>
            <w:szCs w:val="18"/>
          </w:rPr>
          <w:fldChar w:fldCharType="end"/>
        </w:r>
        <w:r w:rsidRPr="006C1493">
          <w:rPr>
            <w:rFonts w:ascii="Avenir Next LT Pro Demi" w:hAnsi="Avenir Next LT Pro Demi"/>
            <w:noProof/>
            <w:sz w:val="18"/>
            <w:szCs w:val="18"/>
          </w:rPr>
          <w:t xml:space="preserve">    Nez Perce Tribe CPRG Implementation Grant Budget Narrative</w:t>
        </w:r>
        <w:r w:rsidR="003007DA">
          <w:rPr>
            <w:rFonts w:ascii="Avenir Next LT Pro Demi" w:hAnsi="Avenir Next LT Pro Demi"/>
            <w:noProof/>
            <w:sz w:val="18"/>
            <w:szCs w:val="18"/>
          </w:rPr>
          <w:t xml:space="preserve"> – General Competition</w:t>
        </w:r>
      </w:p>
    </w:sdtContent>
  </w:sdt>
  <w:p w14:paraId="4468FAB5" w14:textId="3CB16574" w:rsidR="007D599A" w:rsidRDefault="007D5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E59A9" w14:textId="77777777" w:rsidR="00D45F56" w:rsidRDefault="00D45F56" w:rsidP="003927AA">
      <w:r>
        <w:separator/>
      </w:r>
    </w:p>
  </w:footnote>
  <w:footnote w:type="continuationSeparator" w:id="0">
    <w:p w14:paraId="70CFFBF6" w14:textId="77777777" w:rsidR="00D45F56" w:rsidRDefault="00D45F56" w:rsidP="003927AA">
      <w:r>
        <w:continuationSeparator/>
      </w:r>
    </w:p>
  </w:footnote>
  <w:footnote w:type="continuationNotice" w:id="1">
    <w:p w14:paraId="43EBD9ED" w14:textId="77777777" w:rsidR="00D45F56" w:rsidRDefault="00D45F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D880579"/>
    <w:multiLevelType w:val="hybridMultilevel"/>
    <w:tmpl w:val="238AC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1B549E"/>
    <w:multiLevelType w:val="hybridMultilevel"/>
    <w:tmpl w:val="50DC9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BF7C2E"/>
    <w:multiLevelType w:val="hybridMultilevel"/>
    <w:tmpl w:val="E520C4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4F68E3"/>
    <w:multiLevelType w:val="hybridMultilevel"/>
    <w:tmpl w:val="2C1475EE"/>
    <w:lvl w:ilvl="0" w:tplc="C8748A24">
      <w:start w:val="1"/>
      <w:numFmt w:val="lowerRoman"/>
      <w:lvlText w:val="%1."/>
      <w:lvlJc w:val="right"/>
      <w:pPr>
        <w:ind w:left="2160" w:hanging="360"/>
      </w:pPr>
    </w:lvl>
    <w:lvl w:ilvl="1" w:tplc="1A8CF540">
      <w:start w:val="1"/>
      <w:numFmt w:val="lowerRoman"/>
      <w:lvlText w:val="%2."/>
      <w:lvlJc w:val="right"/>
      <w:pPr>
        <w:ind w:left="2160" w:hanging="360"/>
      </w:pPr>
    </w:lvl>
    <w:lvl w:ilvl="2" w:tplc="55E0011E">
      <w:start w:val="1"/>
      <w:numFmt w:val="lowerRoman"/>
      <w:lvlText w:val="%3."/>
      <w:lvlJc w:val="right"/>
      <w:pPr>
        <w:ind w:left="2160" w:hanging="360"/>
      </w:pPr>
    </w:lvl>
    <w:lvl w:ilvl="3" w:tplc="575260BE">
      <w:start w:val="1"/>
      <w:numFmt w:val="lowerRoman"/>
      <w:lvlText w:val="%4."/>
      <w:lvlJc w:val="right"/>
      <w:pPr>
        <w:ind w:left="2160" w:hanging="360"/>
      </w:pPr>
    </w:lvl>
    <w:lvl w:ilvl="4" w:tplc="D4EE6800">
      <w:start w:val="1"/>
      <w:numFmt w:val="lowerRoman"/>
      <w:lvlText w:val="%5."/>
      <w:lvlJc w:val="right"/>
      <w:pPr>
        <w:ind w:left="2160" w:hanging="360"/>
      </w:pPr>
    </w:lvl>
    <w:lvl w:ilvl="5" w:tplc="2A3E1234">
      <w:start w:val="1"/>
      <w:numFmt w:val="lowerRoman"/>
      <w:lvlText w:val="%6."/>
      <w:lvlJc w:val="right"/>
      <w:pPr>
        <w:ind w:left="2160" w:hanging="360"/>
      </w:pPr>
    </w:lvl>
    <w:lvl w:ilvl="6" w:tplc="A3DA9060">
      <w:start w:val="1"/>
      <w:numFmt w:val="lowerRoman"/>
      <w:lvlText w:val="%7."/>
      <w:lvlJc w:val="right"/>
      <w:pPr>
        <w:ind w:left="2160" w:hanging="360"/>
      </w:pPr>
    </w:lvl>
    <w:lvl w:ilvl="7" w:tplc="2F8448E6">
      <w:start w:val="1"/>
      <w:numFmt w:val="lowerRoman"/>
      <w:lvlText w:val="%8."/>
      <w:lvlJc w:val="right"/>
      <w:pPr>
        <w:ind w:left="2160" w:hanging="360"/>
      </w:pPr>
    </w:lvl>
    <w:lvl w:ilvl="8" w:tplc="333C0EC4">
      <w:start w:val="1"/>
      <w:numFmt w:val="lowerRoman"/>
      <w:lvlText w:val="%9."/>
      <w:lvlJc w:val="right"/>
      <w:pPr>
        <w:ind w:left="2160" w:hanging="360"/>
      </w:pPr>
    </w:lvl>
  </w:abstractNum>
  <w:abstractNum w:abstractNumId="5" w15:restartNumberingAfterBreak="0">
    <w:nsid w:val="69D14DF4"/>
    <w:multiLevelType w:val="hybridMultilevel"/>
    <w:tmpl w:val="87A65D3E"/>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num w:numId="1" w16cid:durableId="1563714783">
    <w:abstractNumId w:val="0"/>
  </w:num>
  <w:num w:numId="2" w16cid:durableId="64883323">
    <w:abstractNumId w:val="2"/>
  </w:num>
  <w:num w:numId="3" w16cid:durableId="811598978">
    <w:abstractNumId w:val="3"/>
  </w:num>
  <w:num w:numId="4" w16cid:durableId="107697136">
    <w:abstractNumId w:val="5"/>
  </w:num>
  <w:num w:numId="5" w16cid:durableId="1681080226">
    <w:abstractNumId w:val="4"/>
  </w:num>
  <w:num w:numId="6" w16cid:durableId="977149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663"/>
    <w:rsid w:val="0000228C"/>
    <w:rsid w:val="00002AEB"/>
    <w:rsid w:val="00005924"/>
    <w:rsid w:val="0000783C"/>
    <w:rsid w:val="00010160"/>
    <w:rsid w:val="000102D6"/>
    <w:rsid w:val="000115AF"/>
    <w:rsid w:val="000120EF"/>
    <w:rsid w:val="00012B48"/>
    <w:rsid w:val="00012EDF"/>
    <w:rsid w:val="00013CA2"/>
    <w:rsid w:val="00014107"/>
    <w:rsid w:val="00020631"/>
    <w:rsid w:val="00020C24"/>
    <w:rsid w:val="00021338"/>
    <w:rsid w:val="000220CD"/>
    <w:rsid w:val="00022EFF"/>
    <w:rsid w:val="000234B0"/>
    <w:rsid w:val="000240DC"/>
    <w:rsid w:val="000279AE"/>
    <w:rsid w:val="00027FFE"/>
    <w:rsid w:val="00033E42"/>
    <w:rsid w:val="00033E88"/>
    <w:rsid w:val="00034649"/>
    <w:rsid w:val="00036B94"/>
    <w:rsid w:val="0003724A"/>
    <w:rsid w:val="00037E75"/>
    <w:rsid w:val="000439AE"/>
    <w:rsid w:val="00044560"/>
    <w:rsid w:val="00044E2D"/>
    <w:rsid w:val="00045FA9"/>
    <w:rsid w:val="00050C4B"/>
    <w:rsid w:val="00051566"/>
    <w:rsid w:val="00054310"/>
    <w:rsid w:val="00054C79"/>
    <w:rsid w:val="00055BC1"/>
    <w:rsid w:val="000601D3"/>
    <w:rsid w:val="00061B81"/>
    <w:rsid w:val="00063D5D"/>
    <w:rsid w:val="0006462A"/>
    <w:rsid w:val="000652C2"/>
    <w:rsid w:val="00071025"/>
    <w:rsid w:val="0007234F"/>
    <w:rsid w:val="00073A6D"/>
    <w:rsid w:val="00073DB8"/>
    <w:rsid w:val="0007544D"/>
    <w:rsid w:val="00076DCA"/>
    <w:rsid w:val="00077809"/>
    <w:rsid w:val="00083C36"/>
    <w:rsid w:val="00084477"/>
    <w:rsid w:val="000847E9"/>
    <w:rsid w:val="00085EA7"/>
    <w:rsid w:val="00087B42"/>
    <w:rsid w:val="000906B9"/>
    <w:rsid w:val="00091022"/>
    <w:rsid w:val="000927B1"/>
    <w:rsid w:val="000940BE"/>
    <w:rsid w:val="000956BA"/>
    <w:rsid w:val="00096811"/>
    <w:rsid w:val="00096C4C"/>
    <w:rsid w:val="000A3B1A"/>
    <w:rsid w:val="000A569B"/>
    <w:rsid w:val="000A5CA0"/>
    <w:rsid w:val="000A73C9"/>
    <w:rsid w:val="000A7512"/>
    <w:rsid w:val="000B153D"/>
    <w:rsid w:val="000B15E6"/>
    <w:rsid w:val="000B3D34"/>
    <w:rsid w:val="000B47B5"/>
    <w:rsid w:val="000B5663"/>
    <w:rsid w:val="000B6E2C"/>
    <w:rsid w:val="000B772A"/>
    <w:rsid w:val="000C0DC6"/>
    <w:rsid w:val="000C14BF"/>
    <w:rsid w:val="000C7E0B"/>
    <w:rsid w:val="000D042D"/>
    <w:rsid w:val="000D2916"/>
    <w:rsid w:val="000D3AA5"/>
    <w:rsid w:val="000D6D66"/>
    <w:rsid w:val="000E06FB"/>
    <w:rsid w:val="000E12BE"/>
    <w:rsid w:val="000E14AF"/>
    <w:rsid w:val="000E2020"/>
    <w:rsid w:val="000E581F"/>
    <w:rsid w:val="000E7E2F"/>
    <w:rsid w:val="000E7F90"/>
    <w:rsid w:val="000F27E8"/>
    <w:rsid w:val="000F3550"/>
    <w:rsid w:val="000F4E7B"/>
    <w:rsid w:val="000F52DD"/>
    <w:rsid w:val="000F6835"/>
    <w:rsid w:val="00102844"/>
    <w:rsid w:val="00107FE9"/>
    <w:rsid w:val="0011009D"/>
    <w:rsid w:val="001132DB"/>
    <w:rsid w:val="001134EB"/>
    <w:rsid w:val="00114213"/>
    <w:rsid w:val="001142AA"/>
    <w:rsid w:val="001142D3"/>
    <w:rsid w:val="001168C3"/>
    <w:rsid w:val="001217B1"/>
    <w:rsid w:val="00121AEE"/>
    <w:rsid w:val="00122C3F"/>
    <w:rsid w:val="001243B8"/>
    <w:rsid w:val="0012535B"/>
    <w:rsid w:val="001275BD"/>
    <w:rsid w:val="00130718"/>
    <w:rsid w:val="001321C1"/>
    <w:rsid w:val="001405C9"/>
    <w:rsid w:val="00142093"/>
    <w:rsid w:val="0014226C"/>
    <w:rsid w:val="00144403"/>
    <w:rsid w:val="00146BD4"/>
    <w:rsid w:val="00146E46"/>
    <w:rsid w:val="00151156"/>
    <w:rsid w:val="00151463"/>
    <w:rsid w:val="001529B5"/>
    <w:rsid w:val="00152D6B"/>
    <w:rsid w:val="00152E90"/>
    <w:rsid w:val="00156980"/>
    <w:rsid w:val="001575FC"/>
    <w:rsid w:val="00157AE3"/>
    <w:rsid w:val="001603A3"/>
    <w:rsid w:val="00160C21"/>
    <w:rsid w:val="001612C8"/>
    <w:rsid w:val="00161A32"/>
    <w:rsid w:val="00163F13"/>
    <w:rsid w:val="00164A07"/>
    <w:rsid w:val="0017127B"/>
    <w:rsid w:val="00174189"/>
    <w:rsid w:val="00175759"/>
    <w:rsid w:val="00177FC8"/>
    <w:rsid w:val="00181C9D"/>
    <w:rsid w:val="00185020"/>
    <w:rsid w:val="001871DE"/>
    <w:rsid w:val="00190F1D"/>
    <w:rsid w:val="0019212E"/>
    <w:rsid w:val="00195C53"/>
    <w:rsid w:val="00195D93"/>
    <w:rsid w:val="00196956"/>
    <w:rsid w:val="00197433"/>
    <w:rsid w:val="001A050E"/>
    <w:rsid w:val="001A2639"/>
    <w:rsid w:val="001A2D29"/>
    <w:rsid w:val="001A307F"/>
    <w:rsid w:val="001A40C9"/>
    <w:rsid w:val="001A5364"/>
    <w:rsid w:val="001A6214"/>
    <w:rsid w:val="001B28D5"/>
    <w:rsid w:val="001B3562"/>
    <w:rsid w:val="001B4093"/>
    <w:rsid w:val="001B4DD6"/>
    <w:rsid w:val="001B5379"/>
    <w:rsid w:val="001B73E1"/>
    <w:rsid w:val="001C2312"/>
    <w:rsid w:val="001C5EB5"/>
    <w:rsid w:val="001C731E"/>
    <w:rsid w:val="001C7414"/>
    <w:rsid w:val="001D0FDD"/>
    <w:rsid w:val="001D1581"/>
    <w:rsid w:val="001D3C72"/>
    <w:rsid w:val="001D4084"/>
    <w:rsid w:val="001E1E8D"/>
    <w:rsid w:val="001E1F39"/>
    <w:rsid w:val="001E2213"/>
    <w:rsid w:val="001E33A5"/>
    <w:rsid w:val="001E4346"/>
    <w:rsid w:val="001E4403"/>
    <w:rsid w:val="001E6A4F"/>
    <w:rsid w:val="001F0467"/>
    <w:rsid w:val="001F088B"/>
    <w:rsid w:val="001F2978"/>
    <w:rsid w:val="001F3C66"/>
    <w:rsid w:val="001F5573"/>
    <w:rsid w:val="001F6002"/>
    <w:rsid w:val="001F63A9"/>
    <w:rsid w:val="001F753A"/>
    <w:rsid w:val="00200015"/>
    <w:rsid w:val="00200262"/>
    <w:rsid w:val="00201E0A"/>
    <w:rsid w:val="002048FE"/>
    <w:rsid w:val="002057B7"/>
    <w:rsid w:val="00205D24"/>
    <w:rsid w:val="00205E8D"/>
    <w:rsid w:val="002079FA"/>
    <w:rsid w:val="00207B47"/>
    <w:rsid w:val="00207D11"/>
    <w:rsid w:val="00210092"/>
    <w:rsid w:val="00211BC3"/>
    <w:rsid w:val="00212B9C"/>
    <w:rsid w:val="00213DF4"/>
    <w:rsid w:val="00213EAB"/>
    <w:rsid w:val="00214011"/>
    <w:rsid w:val="00220DF4"/>
    <w:rsid w:val="002213F1"/>
    <w:rsid w:val="00221A6D"/>
    <w:rsid w:val="00221BB5"/>
    <w:rsid w:val="002231B3"/>
    <w:rsid w:val="00225063"/>
    <w:rsid w:val="002308B4"/>
    <w:rsid w:val="00231611"/>
    <w:rsid w:val="00236B34"/>
    <w:rsid w:val="00237782"/>
    <w:rsid w:val="00237A98"/>
    <w:rsid w:val="00241749"/>
    <w:rsid w:val="00241A39"/>
    <w:rsid w:val="00242D77"/>
    <w:rsid w:val="0024309D"/>
    <w:rsid w:val="00245E6F"/>
    <w:rsid w:val="00246B11"/>
    <w:rsid w:val="00253562"/>
    <w:rsid w:val="002535FA"/>
    <w:rsid w:val="00255472"/>
    <w:rsid w:val="002557AF"/>
    <w:rsid w:val="0026149D"/>
    <w:rsid w:val="0026233C"/>
    <w:rsid w:val="00263672"/>
    <w:rsid w:val="00272736"/>
    <w:rsid w:val="00273586"/>
    <w:rsid w:val="002748D6"/>
    <w:rsid w:val="0027664B"/>
    <w:rsid w:val="0027688D"/>
    <w:rsid w:val="0028219F"/>
    <w:rsid w:val="00282617"/>
    <w:rsid w:val="00282A47"/>
    <w:rsid w:val="00282FD3"/>
    <w:rsid w:val="00285041"/>
    <w:rsid w:val="00285D80"/>
    <w:rsid w:val="002877BB"/>
    <w:rsid w:val="002909B2"/>
    <w:rsid w:val="00295125"/>
    <w:rsid w:val="002A04CB"/>
    <w:rsid w:val="002A6575"/>
    <w:rsid w:val="002A766B"/>
    <w:rsid w:val="002A77B7"/>
    <w:rsid w:val="002A7A6D"/>
    <w:rsid w:val="002B12AC"/>
    <w:rsid w:val="002B1DF3"/>
    <w:rsid w:val="002B31C9"/>
    <w:rsid w:val="002B33BA"/>
    <w:rsid w:val="002B4460"/>
    <w:rsid w:val="002B7838"/>
    <w:rsid w:val="002B7923"/>
    <w:rsid w:val="002C020C"/>
    <w:rsid w:val="002C06C1"/>
    <w:rsid w:val="002C1690"/>
    <w:rsid w:val="002C220C"/>
    <w:rsid w:val="002C3322"/>
    <w:rsid w:val="002C371B"/>
    <w:rsid w:val="002C3EA5"/>
    <w:rsid w:val="002C4030"/>
    <w:rsid w:val="002C55DD"/>
    <w:rsid w:val="002C720D"/>
    <w:rsid w:val="002D1E84"/>
    <w:rsid w:val="002D20F2"/>
    <w:rsid w:val="002D2B02"/>
    <w:rsid w:val="002D3892"/>
    <w:rsid w:val="002D5B0A"/>
    <w:rsid w:val="002E04D4"/>
    <w:rsid w:val="002E0D05"/>
    <w:rsid w:val="002E3240"/>
    <w:rsid w:val="002E6C51"/>
    <w:rsid w:val="002F00D4"/>
    <w:rsid w:val="002F28FB"/>
    <w:rsid w:val="002F4758"/>
    <w:rsid w:val="002F51CF"/>
    <w:rsid w:val="002F5B35"/>
    <w:rsid w:val="003007DA"/>
    <w:rsid w:val="0030292B"/>
    <w:rsid w:val="00304DAB"/>
    <w:rsid w:val="00310EBC"/>
    <w:rsid w:val="00314838"/>
    <w:rsid w:val="00314D48"/>
    <w:rsid w:val="003153E3"/>
    <w:rsid w:val="00315903"/>
    <w:rsid w:val="00321CFE"/>
    <w:rsid w:val="0032557B"/>
    <w:rsid w:val="00325CC4"/>
    <w:rsid w:val="00326D31"/>
    <w:rsid w:val="003271EC"/>
    <w:rsid w:val="00327E73"/>
    <w:rsid w:val="00331925"/>
    <w:rsid w:val="00331DC1"/>
    <w:rsid w:val="0033283F"/>
    <w:rsid w:val="003344B3"/>
    <w:rsid w:val="00334BE7"/>
    <w:rsid w:val="003356B1"/>
    <w:rsid w:val="00336398"/>
    <w:rsid w:val="003402F0"/>
    <w:rsid w:val="00340EC3"/>
    <w:rsid w:val="003412F7"/>
    <w:rsid w:val="0034289A"/>
    <w:rsid w:val="00342EB0"/>
    <w:rsid w:val="00343841"/>
    <w:rsid w:val="00344C98"/>
    <w:rsid w:val="00346085"/>
    <w:rsid w:val="003471CF"/>
    <w:rsid w:val="0035146E"/>
    <w:rsid w:val="00353E8C"/>
    <w:rsid w:val="00354242"/>
    <w:rsid w:val="00355C6E"/>
    <w:rsid w:val="00356B32"/>
    <w:rsid w:val="00357A06"/>
    <w:rsid w:val="00357C08"/>
    <w:rsid w:val="00357DD9"/>
    <w:rsid w:val="00362ED3"/>
    <w:rsid w:val="003630E3"/>
    <w:rsid w:val="00363E49"/>
    <w:rsid w:val="00366772"/>
    <w:rsid w:val="0036780D"/>
    <w:rsid w:val="00370680"/>
    <w:rsid w:val="003706DB"/>
    <w:rsid w:val="003707D3"/>
    <w:rsid w:val="00371D57"/>
    <w:rsid w:val="00373F2A"/>
    <w:rsid w:val="003744D6"/>
    <w:rsid w:val="0037513A"/>
    <w:rsid w:val="003803F1"/>
    <w:rsid w:val="00380B81"/>
    <w:rsid w:val="00385453"/>
    <w:rsid w:val="00385507"/>
    <w:rsid w:val="00386780"/>
    <w:rsid w:val="0038749C"/>
    <w:rsid w:val="003927AA"/>
    <w:rsid w:val="003936B7"/>
    <w:rsid w:val="00393FBD"/>
    <w:rsid w:val="003941B9"/>
    <w:rsid w:val="003962FF"/>
    <w:rsid w:val="0039688A"/>
    <w:rsid w:val="003A02DD"/>
    <w:rsid w:val="003A0B7E"/>
    <w:rsid w:val="003A29F6"/>
    <w:rsid w:val="003A5795"/>
    <w:rsid w:val="003A5B33"/>
    <w:rsid w:val="003A701B"/>
    <w:rsid w:val="003A722D"/>
    <w:rsid w:val="003B04E7"/>
    <w:rsid w:val="003B0518"/>
    <w:rsid w:val="003B22C3"/>
    <w:rsid w:val="003B4836"/>
    <w:rsid w:val="003B60BA"/>
    <w:rsid w:val="003B61E7"/>
    <w:rsid w:val="003B79A2"/>
    <w:rsid w:val="003C0068"/>
    <w:rsid w:val="003C1921"/>
    <w:rsid w:val="003C516F"/>
    <w:rsid w:val="003C78AA"/>
    <w:rsid w:val="003C7907"/>
    <w:rsid w:val="003D0529"/>
    <w:rsid w:val="003D06AC"/>
    <w:rsid w:val="003D0E7B"/>
    <w:rsid w:val="003D1712"/>
    <w:rsid w:val="003D3AF5"/>
    <w:rsid w:val="003D5226"/>
    <w:rsid w:val="003D65C1"/>
    <w:rsid w:val="003D677F"/>
    <w:rsid w:val="003D7613"/>
    <w:rsid w:val="003E2DD5"/>
    <w:rsid w:val="003E36FB"/>
    <w:rsid w:val="003E5212"/>
    <w:rsid w:val="003E6294"/>
    <w:rsid w:val="003E6EA5"/>
    <w:rsid w:val="003F0436"/>
    <w:rsid w:val="003F106D"/>
    <w:rsid w:val="003F36AF"/>
    <w:rsid w:val="003F4E2E"/>
    <w:rsid w:val="003F5E19"/>
    <w:rsid w:val="003F6E93"/>
    <w:rsid w:val="004005EA"/>
    <w:rsid w:val="004036FA"/>
    <w:rsid w:val="0040442E"/>
    <w:rsid w:val="0040536E"/>
    <w:rsid w:val="0040538B"/>
    <w:rsid w:val="00405A3B"/>
    <w:rsid w:val="0040661C"/>
    <w:rsid w:val="00406B01"/>
    <w:rsid w:val="0041001E"/>
    <w:rsid w:val="0041062B"/>
    <w:rsid w:val="004112DC"/>
    <w:rsid w:val="0041518F"/>
    <w:rsid w:val="00415EEB"/>
    <w:rsid w:val="00417E1B"/>
    <w:rsid w:val="004210E3"/>
    <w:rsid w:val="00423B2F"/>
    <w:rsid w:val="00424461"/>
    <w:rsid w:val="00425D36"/>
    <w:rsid w:val="00427F08"/>
    <w:rsid w:val="00431C70"/>
    <w:rsid w:val="00433236"/>
    <w:rsid w:val="00433E6E"/>
    <w:rsid w:val="00443080"/>
    <w:rsid w:val="00443853"/>
    <w:rsid w:val="00443EFE"/>
    <w:rsid w:val="004451AE"/>
    <w:rsid w:val="00446217"/>
    <w:rsid w:val="004466F5"/>
    <w:rsid w:val="0045352E"/>
    <w:rsid w:val="00453D7D"/>
    <w:rsid w:val="0045456D"/>
    <w:rsid w:val="00455B27"/>
    <w:rsid w:val="00460BAA"/>
    <w:rsid w:val="004617D2"/>
    <w:rsid w:val="00462982"/>
    <w:rsid w:val="00464B24"/>
    <w:rsid w:val="004660B1"/>
    <w:rsid w:val="0046742E"/>
    <w:rsid w:val="00467614"/>
    <w:rsid w:val="00470E68"/>
    <w:rsid w:val="00473403"/>
    <w:rsid w:val="00474268"/>
    <w:rsid w:val="0047699D"/>
    <w:rsid w:val="00480621"/>
    <w:rsid w:val="00480ADF"/>
    <w:rsid w:val="0048280C"/>
    <w:rsid w:val="0048531B"/>
    <w:rsid w:val="004871AF"/>
    <w:rsid w:val="00495041"/>
    <w:rsid w:val="004957F2"/>
    <w:rsid w:val="004970AA"/>
    <w:rsid w:val="004A0005"/>
    <w:rsid w:val="004A096E"/>
    <w:rsid w:val="004A12FC"/>
    <w:rsid w:val="004A1C12"/>
    <w:rsid w:val="004A6CEB"/>
    <w:rsid w:val="004A774B"/>
    <w:rsid w:val="004B1D3F"/>
    <w:rsid w:val="004B29A2"/>
    <w:rsid w:val="004B6D50"/>
    <w:rsid w:val="004B7EB5"/>
    <w:rsid w:val="004C067C"/>
    <w:rsid w:val="004C09CE"/>
    <w:rsid w:val="004C1A8E"/>
    <w:rsid w:val="004C516F"/>
    <w:rsid w:val="004C538A"/>
    <w:rsid w:val="004C6998"/>
    <w:rsid w:val="004C7562"/>
    <w:rsid w:val="004C78AD"/>
    <w:rsid w:val="004D20FC"/>
    <w:rsid w:val="004E0342"/>
    <w:rsid w:val="004E252A"/>
    <w:rsid w:val="004E4CF4"/>
    <w:rsid w:val="004E5E86"/>
    <w:rsid w:val="004E6628"/>
    <w:rsid w:val="004E6CAE"/>
    <w:rsid w:val="004E6EB5"/>
    <w:rsid w:val="004E7A3C"/>
    <w:rsid w:val="004F12ED"/>
    <w:rsid w:val="004F3F05"/>
    <w:rsid w:val="004F7BF7"/>
    <w:rsid w:val="004FEFD3"/>
    <w:rsid w:val="005003FA"/>
    <w:rsid w:val="005046BB"/>
    <w:rsid w:val="0050498C"/>
    <w:rsid w:val="0050672E"/>
    <w:rsid w:val="0050772F"/>
    <w:rsid w:val="00507BBF"/>
    <w:rsid w:val="00510F57"/>
    <w:rsid w:val="00512793"/>
    <w:rsid w:val="005137AA"/>
    <w:rsid w:val="00515CA3"/>
    <w:rsid w:val="00522A1A"/>
    <w:rsid w:val="00522F04"/>
    <w:rsid w:val="00523EB0"/>
    <w:rsid w:val="00524516"/>
    <w:rsid w:val="00525A9A"/>
    <w:rsid w:val="00532C6B"/>
    <w:rsid w:val="005345A4"/>
    <w:rsid w:val="00534DB2"/>
    <w:rsid w:val="005355CC"/>
    <w:rsid w:val="005379BD"/>
    <w:rsid w:val="00541BB6"/>
    <w:rsid w:val="00541D45"/>
    <w:rsid w:val="00541D4B"/>
    <w:rsid w:val="00543440"/>
    <w:rsid w:val="0054344C"/>
    <w:rsid w:val="00543983"/>
    <w:rsid w:val="00544CAF"/>
    <w:rsid w:val="00546091"/>
    <w:rsid w:val="00547A4E"/>
    <w:rsid w:val="005505F9"/>
    <w:rsid w:val="00551F4E"/>
    <w:rsid w:val="0055248C"/>
    <w:rsid w:val="005534DB"/>
    <w:rsid w:val="005546D5"/>
    <w:rsid w:val="00556692"/>
    <w:rsid w:val="005568A4"/>
    <w:rsid w:val="00556E9B"/>
    <w:rsid w:val="00557080"/>
    <w:rsid w:val="00564AF8"/>
    <w:rsid w:val="00565D82"/>
    <w:rsid w:val="00566A14"/>
    <w:rsid w:val="005701A1"/>
    <w:rsid w:val="005722D8"/>
    <w:rsid w:val="0057566D"/>
    <w:rsid w:val="00577D90"/>
    <w:rsid w:val="00577E5C"/>
    <w:rsid w:val="00580B12"/>
    <w:rsid w:val="00581C9F"/>
    <w:rsid w:val="0058204C"/>
    <w:rsid w:val="00584E33"/>
    <w:rsid w:val="0058685C"/>
    <w:rsid w:val="00586A54"/>
    <w:rsid w:val="005876DD"/>
    <w:rsid w:val="005908CC"/>
    <w:rsid w:val="00591497"/>
    <w:rsid w:val="005934E6"/>
    <w:rsid w:val="00593A03"/>
    <w:rsid w:val="00594F1D"/>
    <w:rsid w:val="005A00D8"/>
    <w:rsid w:val="005A28D6"/>
    <w:rsid w:val="005A3EED"/>
    <w:rsid w:val="005A45D5"/>
    <w:rsid w:val="005A7B01"/>
    <w:rsid w:val="005B00E8"/>
    <w:rsid w:val="005B0460"/>
    <w:rsid w:val="005B06F7"/>
    <w:rsid w:val="005B0B6E"/>
    <w:rsid w:val="005C2C4F"/>
    <w:rsid w:val="005C3431"/>
    <w:rsid w:val="005C40F9"/>
    <w:rsid w:val="005C44B5"/>
    <w:rsid w:val="005C4AA4"/>
    <w:rsid w:val="005D3150"/>
    <w:rsid w:val="005D6067"/>
    <w:rsid w:val="005D7831"/>
    <w:rsid w:val="005E056F"/>
    <w:rsid w:val="005E0A57"/>
    <w:rsid w:val="005E270E"/>
    <w:rsid w:val="005E271F"/>
    <w:rsid w:val="005E2E23"/>
    <w:rsid w:val="005E4C8B"/>
    <w:rsid w:val="005E6B91"/>
    <w:rsid w:val="005E7583"/>
    <w:rsid w:val="005F01CA"/>
    <w:rsid w:val="005F1CFD"/>
    <w:rsid w:val="005F3429"/>
    <w:rsid w:val="005F3731"/>
    <w:rsid w:val="005F3AD2"/>
    <w:rsid w:val="005F4891"/>
    <w:rsid w:val="005F69A9"/>
    <w:rsid w:val="005F7FC9"/>
    <w:rsid w:val="00600175"/>
    <w:rsid w:val="00600F75"/>
    <w:rsid w:val="0060221C"/>
    <w:rsid w:val="00602525"/>
    <w:rsid w:val="00602836"/>
    <w:rsid w:val="00604596"/>
    <w:rsid w:val="006057C7"/>
    <w:rsid w:val="006068BF"/>
    <w:rsid w:val="0061074A"/>
    <w:rsid w:val="00610817"/>
    <w:rsid w:val="00611374"/>
    <w:rsid w:val="00613569"/>
    <w:rsid w:val="006137BD"/>
    <w:rsid w:val="00614DEA"/>
    <w:rsid w:val="006205E0"/>
    <w:rsid w:val="00624C6A"/>
    <w:rsid w:val="006256A2"/>
    <w:rsid w:val="00626FCC"/>
    <w:rsid w:val="006276B3"/>
    <w:rsid w:val="0063323C"/>
    <w:rsid w:val="006360CB"/>
    <w:rsid w:val="0063645E"/>
    <w:rsid w:val="0063788A"/>
    <w:rsid w:val="00642570"/>
    <w:rsid w:val="0064267A"/>
    <w:rsid w:val="006429EF"/>
    <w:rsid w:val="006456F4"/>
    <w:rsid w:val="00647288"/>
    <w:rsid w:val="0065197D"/>
    <w:rsid w:val="006522A7"/>
    <w:rsid w:val="006532A2"/>
    <w:rsid w:val="006534D3"/>
    <w:rsid w:val="006542F8"/>
    <w:rsid w:val="00654D5B"/>
    <w:rsid w:val="006564B5"/>
    <w:rsid w:val="006637CD"/>
    <w:rsid w:val="006637D5"/>
    <w:rsid w:val="0066433E"/>
    <w:rsid w:val="00665D50"/>
    <w:rsid w:val="006664AD"/>
    <w:rsid w:val="00667912"/>
    <w:rsid w:val="0067004D"/>
    <w:rsid w:val="0067375F"/>
    <w:rsid w:val="00675309"/>
    <w:rsid w:val="00681878"/>
    <w:rsid w:val="00684D4B"/>
    <w:rsid w:val="00685DFA"/>
    <w:rsid w:val="006866E7"/>
    <w:rsid w:val="00686C80"/>
    <w:rsid w:val="006917DA"/>
    <w:rsid w:val="006931C1"/>
    <w:rsid w:val="0069457C"/>
    <w:rsid w:val="00694B09"/>
    <w:rsid w:val="00695160"/>
    <w:rsid w:val="00696513"/>
    <w:rsid w:val="006A4F21"/>
    <w:rsid w:val="006A51E0"/>
    <w:rsid w:val="006A678E"/>
    <w:rsid w:val="006A7E2E"/>
    <w:rsid w:val="006B0552"/>
    <w:rsid w:val="006B1AFA"/>
    <w:rsid w:val="006B6E49"/>
    <w:rsid w:val="006C1493"/>
    <w:rsid w:val="006C348A"/>
    <w:rsid w:val="006C5E6D"/>
    <w:rsid w:val="006D0336"/>
    <w:rsid w:val="006D0424"/>
    <w:rsid w:val="006D0873"/>
    <w:rsid w:val="006D1453"/>
    <w:rsid w:val="006D2558"/>
    <w:rsid w:val="006D2636"/>
    <w:rsid w:val="006D6C59"/>
    <w:rsid w:val="006D74A1"/>
    <w:rsid w:val="006E2B8F"/>
    <w:rsid w:val="006E4EDC"/>
    <w:rsid w:val="006E6CAA"/>
    <w:rsid w:val="006E74A5"/>
    <w:rsid w:val="006E7813"/>
    <w:rsid w:val="006F0D27"/>
    <w:rsid w:val="006F17B9"/>
    <w:rsid w:val="006F24E5"/>
    <w:rsid w:val="006F296A"/>
    <w:rsid w:val="006F318D"/>
    <w:rsid w:val="006F4501"/>
    <w:rsid w:val="006F4A7C"/>
    <w:rsid w:val="006F4DDE"/>
    <w:rsid w:val="006F621F"/>
    <w:rsid w:val="006F7C46"/>
    <w:rsid w:val="007016F2"/>
    <w:rsid w:val="007047F6"/>
    <w:rsid w:val="00704845"/>
    <w:rsid w:val="00705C84"/>
    <w:rsid w:val="00706E9F"/>
    <w:rsid w:val="0070785F"/>
    <w:rsid w:val="0071051A"/>
    <w:rsid w:val="00711E41"/>
    <w:rsid w:val="0071244E"/>
    <w:rsid w:val="00714071"/>
    <w:rsid w:val="00716F5D"/>
    <w:rsid w:val="00720877"/>
    <w:rsid w:val="00720EE5"/>
    <w:rsid w:val="00722005"/>
    <w:rsid w:val="00722633"/>
    <w:rsid w:val="00724B4D"/>
    <w:rsid w:val="00724C50"/>
    <w:rsid w:val="007270F1"/>
    <w:rsid w:val="00733876"/>
    <w:rsid w:val="00735589"/>
    <w:rsid w:val="007358B3"/>
    <w:rsid w:val="00735DB0"/>
    <w:rsid w:val="00737171"/>
    <w:rsid w:val="00740EF5"/>
    <w:rsid w:val="007415A5"/>
    <w:rsid w:val="00741B0A"/>
    <w:rsid w:val="007424E6"/>
    <w:rsid w:val="00744537"/>
    <w:rsid w:val="00744A66"/>
    <w:rsid w:val="00746B15"/>
    <w:rsid w:val="00751366"/>
    <w:rsid w:val="00752E27"/>
    <w:rsid w:val="00754218"/>
    <w:rsid w:val="007548FF"/>
    <w:rsid w:val="00755D00"/>
    <w:rsid w:val="00756881"/>
    <w:rsid w:val="00756C34"/>
    <w:rsid w:val="00757029"/>
    <w:rsid w:val="007577A8"/>
    <w:rsid w:val="00757DC4"/>
    <w:rsid w:val="00761B20"/>
    <w:rsid w:val="00761D77"/>
    <w:rsid w:val="00762F3C"/>
    <w:rsid w:val="007633BE"/>
    <w:rsid w:val="007673A5"/>
    <w:rsid w:val="00770839"/>
    <w:rsid w:val="00771C72"/>
    <w:rsid w:val="00773F17"/>
    <w:rsid w:val="00774DED"/>
    <w:rsid w:val="007753F8"/>
    <w:rsid w:val="00782565"/>
    <w:rsid w:val="00782D53"/>
    <w:rsid w:val="0078368E"/>
    <w:rsid w:val="00785800"/>
    <w:rsid w:val="00787897"/>
    <w:rsid w:val="007911F6"/>
    <w:rsid w:val="007930CF"/>
    <w:rsid w:val="00794568"/>
    <w:rsid w:val="00794B72"/>
    <w:rsid w:val="0079619C"/>
    <w:rsid w:val="0079634E"/>
    <w:rsid w:val="007A1D18"/>
    <w:rsid w:val="007A40B9"/>
    <w:rsid w:val="007A625A"/>
    <w:rsid w:val="007B0051"/>
    <w:rsid w:val="007B1767"/>
    <w:rsid w:val="007B338F"/>
    <w:rsid w:val="007B3F49"/>
    <w:rsid w:val="007B61E4"/>
    <w:rsid w:val="007B6C17"/>
    <w:rsid w:val="007B7038"/>
    <w:rsid w:val="007C00AC"/>
    <w:rsid w:val="007C061F"/>
    <w:rsid w:val="007C2C5F"/>
    <w:rsid w:val="007D154F"/>
    <w:rsid w:val="007D2BEF"/>
    <w:rsid w:val="007D3145"/>
    <w:rsid w:val="007D3A1F"/>
    <w:rsid w:val="007D42E5"/>
    <w:rsid w:val="007D5566"/>
    <w:rsid w:val="007D599A"/>
    <w:rsid w:val="007E0954"/>
    <w:rsid w:val="007E0DE8"/>
    <w:rsid w:val="007E101E"/>
    <w:rsid w:val="007E20A1"/>
    <w:rsid w:val="007E49E6"/>
    <w:rsid w:val="007E5C95"/>
    <w:rsid w:val="007E6210"/>
    <w:rsid w:val="007E7407"/>
    <w:rsid w:val="007F1BDF"/>
    <w:rsid w:val="007F2B4C"/>
    <w:rsid w:val="007F3A31"/>
    <w:rsid w:val="007F42C9"/>
    <w:rsid w:val="007F53F8"/>
    <w:rsid w:val="007F7D65"/>
    <w:rsid w:val="008000D9"/>
    <w:rsid w:val="008004D2"/>
    <w:rsid w:val="008018DD"/>
    <w:rsid w:val="0080682F"/>
    <w:rsid w:val="00810710"/>
    <w:rsid w:val="00810906"/>
    <w:rsid w:val="00810F40"/>
    <w:rsid w:val="00811676"/>
    <w:rsid w:val="00812BDF"/>
    <w:rsid w:val="00813EA8"/>
    <w:rsid w:val="00817BCA"/>
    <w:rsid w:val="008221CB"/>
    <w:rsid w:val="00822645"/>
    <w:rsid w:val="00822697"/>
    <w:rsid w:val="00823459"/>
    <w:rsid w:val="00823462"/>
    <w:rsid w:val="008242B6"/>
    <w:rsid w:val="00824950"/>
    <w:rsid w:val="008253C4"/>
    <w:rsid w:val="0082558C"/>
    <w:rsid w:val="00827746"/>
    <w:rsid w:val="00830C03"/>
    <w:rsid w:val="00835922"/>
    <w:rsid w:val="0084006D"/>
    <w:rsid w:val="00842738"/>
    <w:rsid w:val="00842BC8"/>
    <w:rsid w:val="00844DA0"/>
    <w:rsid w:val="00844FB2"/>
    <w:rsid w:val="00847559"/>
    <w:rsid w:val="00847E9B"/>
    <w:rsid w:val="008529D6"/>
    <w:rsid w:val="0085359B"/>
    <w:rsid w:val="008541A5"/>
    <w:rsid w:val="008551F7"/>
    <w:rsid w:val="0085573E"/>
    <w:rsid w:val="00855865"/>
    <w:rsid w:val="008573FC"/>
    <w:rsid w:val="00861C87"/>
    <w:rsid w:val="00864ECF"/>
    <w:rsid w:val="0086627D"/>
    <w:rsid w:val="008666DD"/>
    <w:rsid w:val="00873AB9"/>
    <w:rsid w:val="00875412"/>
    <w:rsid w:val="00875F1C"/>
    <w:rsid w:val="00883D2C"/>
    <w:rsid w:val="00885988"/>
    <w:rsid w:val="00886F43"/>
    <w:rsid w:val="00887602"/>
    <w:rsid w:val="00891053"/>
    <w:rsid w:val="00892EDA"/>
    <w:rsid w:val="008947B8"/>
    <w:rsid w:val="008A2F80"/>
    <w:rsid w:val="008A32D6"/>
    <w:rsid w:val="008A47D6"/>
    <w:rsid w:val="008A5669"/>
    <w:rsid w:val="008A5AD3"/>
    <w:rsid w:val="008A6C8C"/>
    <w:rsid w:val="008B2812"/>
    <w:rsid w:val="008B29F1"/>
    <w:rsid w:val="008B429F"/>
    <w:rsid w:val="008C0E50"/>
    <w:rsid w:val="008C3089"/>
    <w:rsid w:val="008C351E"/>
    <w:rsid w:val="008C48FC"/>
    <w:rsid w:val="008C68CB"/>
    <w:rsid w:val="008D038D"/>
    <w:rsid w:val="008D37C5"/>
    <w:rsid w:val="008D3846"/>
    <w:rsid w:val="008D4875"/>
    <w:rsid w:val="008D7880"/>
    <w:rsid w:val="008D7CAF"/>
    <w:rsid w:val="008E0939"/>
    <w:rsid w:val="008E5228"/>
    <w:rsid w:val="008E6231"/>
    <w:rsid w:val="008E77B2"/>
    <w:rsid w:val="008E7961"/>
    <w:rsid w:val="008E7D2F"/>
    <w:rsid w:val="008F1660"/>
    <w:rsid w:val="008F282C"/>
    <w:rsid w:val="008F2C7F"/>
    <w:rsid w:val="008F3140"/>
    <w:rsid w:val="008F38C8"/>
    <w:rsid w:val="008F4561"/>
    <w:rsid w:val="008F4A7C"/>
    <w:rsid w:val="008F5AE0"/>
    <w:rsid w:val="008F5B3A"/>
    <w:rsid w:val="008F5E94"/>
    <w:rsid w:val="008F7739"/>
    <w:rsid w:val="00900A79"/>
    <w:rsid w:val="0090287F"/>
    <w:rsid w:val="00902D75"/>
    <w:rsid w:val="00905157"/>
    <w:rsid w:val="00905290"/>
    <w:rsid w:val="009055AC"/>
    <w:rsid w:val="0090696F"/>
    <w:rsid w:val="00907779"/>
    <w:rsid w:val="00911095"/>
    <w:rsid w:val="0091125C"/>
    <w:rsid w:val="00913748"/>
    <w:rsid w:val="00913E9E"/>
    <w:rsid w:val="009145F6"/>
    <w:rsid w:val="009167F8"/>
    <w:rsid w:val="00920174"/>
    <w:rsid w:val="00921B1A"/>
    <w:rsid w:val="00923DD2"/>
    <w:rsid w:val="0092430F"/>
    <w:rsid w:val="009245B9"/>
    <w:rsid w:val="0092521E"/>
    <w:rsid w:val="00925441"/>
    <w:rsid w:val="00933583"/>
    <w:rsid w:val="009343CE"/>
    <w:rsid w:val="00935912"/>
    <w:rsid w:val="00936506"/>
    <w:rsid w:val="0093747C"/>
    <w:rsid w:val="00937D5A"/>
    <w:rsid w:val="009401C6"/>
    <w:rsid w:val="009423E7"/>
    <w:rsid w:val="00944877"/>
    <w:rsid w:val="00946282"/>
    <w:rsid w:val="0095155F"/>
    <w:rsid w:val="0095275A"/>
    <w:rsid w:val="00952C46"/>
    <w:rsid w:val="009536A5"/>
    <w:rsid w:val="00957BBF"/>
    <w:rsid w:val="00962508"/>
    <w:rsid w:val="009625E8"/>
    <w:rsid w:val="00963668"/>
    <w:rsid w:val="0096651E"/>
    <w:rsid w:val="009669DE"/>
    <w:rsid w:val="00967014"/>
    <w:rsid w:val="0097008F"/>
    <w:rsid w:val="00970930"/>
    <w:rsid w:val="009715F2"/>
    <w:rsid w:val="00974154"/>
    <w:rsid w:val="00976465"/>
    <w:rsid w:val="00977611"/>
    <w:rsid w:val="0097A25B"/>
    <w:rsid w:val="00980AB6"/>
    <w:rsid w:val="00981BE9"/>
    <w:rsid w:val="00982AB5"/>
    <w:rsid w:val="009865E6"/>
    <w:rsid w:val="009873E1"/>
    <w:rsid w:val="0099049E"/>
    <w:rsid w:val="00990845"/>
    <w:rsid w:val="00993160"/>
    <w:rsid w:val="00993594"/>
    <w:rsid w:val="0099361B"/>
    <w:rsid w:val="0099361E"/>
    <w:rsid w:val="00996038"/>
    <w:rsid w:val="00996D27"/>
    <w:rsid w:val="00997158"/>
    <w:rsid w:val="009A057E"/>
    <w:rsid w:val="009A17CB"/>
    <w:rsid w:val="009A1D1A"/>
    <w:rsid w:val="009A22FC"/>
    <w:rsid w:val="009A63B5"/>
    <w:rsid w:val="009B31AA"/>
    <w:rsid w:val="009B356A"/>
    <w:rsid w:val="009B3C53"/>
    <w:rsid w:val="009B53AA"/>
    <w:rsid w:val="009B60BD"/>
    <w:rsid w:val="009B7D1D"/>
    <w:rsid w:val="009C2BE9"/>
    <w:rsid w:val="009C340C"/>
    <w:rsid w:val="009C4E86"/>
    <w:rsid w:val="009D0AAB"/>
    <w:rsid w:val="009D10A1"/>
    <w:rsid w:val="009D1347"/>
    <w:rsid w:val="009D1C78"/>
    <w:rsid w:val="009D2D58"/>
    <w:rsid w:val="009D48D1"/>
    <w:rsid w:val="009D49F7"/>
    <w:rsid w:val="009D6308"/>
    <w:rsid w:val="009E13A0"/>
    <w:rsid w:val="009E177F"/>
    <w:rsid w:val="009E1817"/>
    <w:rsid w:val="009E1DB2"/>
    <w:rsid w:val="009E3F57"/>
    <w:rsid w:val="009E4DDF"/>
    <w:rsid w:val="009E68FD"/>
    <w:rsid w:val="009F038C"/>
    <w:rsid w:val="009F0931"/>
    <w:rsid w:val="009F10A8"/>
    <w:rsid w:val="009F1A13"/>
    <w:rsid w:val="009F1B7B"/>
    <w:rsid w:val="009F1C2F"/>
    <w:rsid w:val="009F28B3"/>
    <w:rsid w:val="009F4308"/>
    <w:rsid w:val="009F43F0"/>
    <w:rsid w:val="009F456F"/>
    <w:rsid w:val="009F4D21"/>
    <w:rsid w:val="00A000FA"/>
    <w:rsid w:val="00A013D3"/>
    <w:rsid w:val="00A01EF0"/>
    <w:rsid w:val="00A04EA3"/>
    <w:rsid w:val="00A100B0"/>
    <w:rsid w:val="00A1199F"/>
    <w:rsid w:val="00A14689"/>
    <w:rsid w:val="00A1636C"/>
    <w:rsid w:val="00A17950"/>
    <w:rsid w:val="00A17CAA"/>
    <w:rsid w:val="00A230D9"/>
    <w:rsid w:val="00A24082"/>
    <w:rsid w:val="00A25AED"/>
    <w:rsid w:val="00A26655"/>
    <w:rsid w:val="00A26A7B"/>
    <w:rsid w:val="00A3213D"/>
    <w:rsid w:val="00A3297E"/>
    <w:rsid w:val="00A32E50"/>
    <w:rsid w:val="00A3328E"/>
    <w:rsid w:val="00A34FF4"/>
    <w:rsid w:val="00A35F81"/>
    <w:rsid w:val="00A3728D"/>
    <w:rsid w:val="00A40919"/>
    <w:rsid w:val="00A43BA5"/>
    <w:rsid w:val="00A440CB"/>
    <w:rsid w:val="00A444E3"/>
    <w:rsid w:val="00A47130"/>
    <w:rsid w:val="00A50D4E"/>
    <w:rsid w:val="00A52A8B"/>
    <w:rsid w:val="00A56952"/>
    <w:rsid w:val="00A5789E"/>
    <w:rsid w:val="00A62A5F"/>
    <w:rsid w:val="00A658DB"/>
    <w:rsid w:val="00A714A1"/>
    <w:rsid w:val="00A724F0"/>
    <w:rsid w:val="00A73B04"/>
    <w:rsid w:val="00A73DC2"/>
    <w:rsid w:val="00A81A0D"/>
    <w:rsid w:val="00A81EED"/>
    <w:rsid w:val="00A82FC2"/>
    <w:rsid w:val="00A83B83"/>
    <w:rsid w:val="00A844F1"/>
    <w:rsid w:val="00A8651C"/>
    <w:rsid w:val="00A871A4"/>
    <w:rsid w:val="00A92EE0"/>
    <w:rsid w:val="00A935DE"/>
    <w:rsid w:val="00A941B3"/>
    <w:rsid w:val="00AA0016"/>
    <w:rsid w:val="00AA0271"/>
    <w:rsid w:val="00AA0BFE"/>
    <w:rsid w:val="00AA4880"/>
    <w:rsid w:val="00AA76CE"/>
    <w:rsid w:val="00AB0A81"/>
    <w:rsid w:val="00AB1F02"/>
    <w:rsid w:val="00AB3A72"/>
    <w:rsid w:val="00AB4A2D"/>
    <w:rsid w:val="00AC187B"/>
    <w:rsid w:val="00AC1A51"/>
    <w:rsid w:val="00AC2167"/>
    <w:rsid w:val="00AC51B4"/>
    <w:rsid w:val="00AC6F2D"/>
    <w:rsid w:val="00AC72F9"/>
    <w:rsid w:val="00AC731C"/>
    <w:rsid w:val="00AC7CE4"/>
    <w:rsid w:val="00AD03EC"/>
    <w:rsid w:val="00AD042C"/>
    <w:rsid w:val="00AD0B36"/>
    <w:rsid w:val="00AD1871"/>
    <w:rsid w:val="00AD3B9D"/>
    <w:rsid w:val="00AD508A"/>
    <w:rsid w:val="00AD6815"/>
    <w:rsid w:val="00AD7D03"/>
    <w:rsid w:val="00AD7D80"/>
    <w:rsid w:val="00AE1148"/>
    <w:rsid w:val="00AE1380"/>
    <w:rsid w:val="00AE27A7"/>
    <w:rsid w:val="00AE4585"/>
    <w:rsid w:val="00AE5408"/>
    <w:rsid w:val="00AE61FB"/>
    <w:rsid w:val="00AE6ADC"/>
    <w:rsid w:val="00AE78C9"/>
    <w:rsid w:val="00AF1582"/>
    <w:rsid w:val="00AF1E3A"/>
    <w:rsid w:val="00AF28A8"/>
    <w:rsid w:val="00AF37F5"/>
    <w:rsid w:val="00B0362D"/>
    <w:rsid w:val="00B04C5C"/>
    <w:rsid w:val="00B04D3D"/>
    <w:rsid w:val="00B05AB9"/>
    <w:rsid w:val="00B06041"/>
    <w:rsid w:val="00B102C8"/>
    <w:rsid w:val="00B10C1A"/>
    <w:rsid w:val="00B11ED1"/>
    <w:rsid w:val="00B120AA"/>
    <w:rsid w:val="00B16D10"/>
    <w:rsid w:val="00B226EB"/>
    <w:rsid w:val="00B23CD7"/>
    <w:rsid w:val="00B24306"/>
    <w:rsid w:val="00B248A5"/>
    <w:rsid w:val="00B25365"/>
    <w:rsid w:val="00B27D88"/>
    <w:rsid w:val="00B30424"/>
    <w:rsid w:val="00B31C3E"/>
    <w:rsid w:val="00B31E0E"/>
    <w:rsid w:val="00B31F04"/>
    <w:rsid w:val="00B31F4F"/>
    <w:rsid w:val="00B324B3"/>
    <w:rsid w:val="00B33E73"/>
    <w:rsid w:val="00B3409F"/>
    <w:rsid w:val="00B356E7"/>
    <w:rsid w:val="00B3788F"/>
    <w:rsid w:val="00B40941"/>
    <w:rsid w:val="00B42A64"/>
    <w:rsid w:val="00B42BE2"/>
    <w:rsid w:val="00B42E8D"/>
    <w:rsid w:val="00B43A23"/>
    <w:rsid w:val="00B46091"/>
    <w:rsid w:val="00B4679F"/>
    <w:rsid w:val="00B47315"/>
    <w:rsid w:val="00B504A8"/>
    <w:rsid w:val="00B52565"/>
    <w:rsid w:val="00B52847"/>
    <w:rsid w:val="00B53180"/>
    <w:rsid w:val="00B53B73"/>
    <w:rsid w:val="00B55DD1"/>
    <w:rsid w:val="00B56475"/>
    <w:rsid w:val="00B57C3A"/>
    <w:rsid w:val="00B603B3"/>
    <w:rsid w:val="00B653F5"/>
    <w:rsid w:val="00B65E6B"/>
    <w:rsid w:val="00B668DA"/>
    <w:rsid w:val="00B67D37"/>
    <w:rsid w:val="00B71255"/>
    <w:rsid w:val="00B71DBB"/>
    <w:rsid w:val="00B7235A"/>
    <w:rsid w:val="00B74FCD"/>
    <w:rsid w:val="00B75037"/>
    <w:rsid w:val="00B7783A"/>
    <w:rsid w:val="00B8093B"/>
    <w:rsid w:val="00B80B56"/>
    <w:rsid w:val="00B852A8"/>
    <w:rsid w:val="00B876BD"/>
    <w:rsid w:val="00B87797"/>
    <w:rsid w:val="00B87BDB"/>
    <w:rsid w:val="00B87E62"/>
    <w:rsid w:val="00B908A0"/>
    <w:rsid w:val="00B93194"/>
    <w:rsid w:val="00B93A88"/>
    <w:rsid w:val="00B9449F"/>
    <w:rsid w:val="00B96AEF"/>
    <w:rsid w:val="00B96E3F"/>
    <w:rsid w:val="00B97ED6"/>
    <w:rsid w:val="00BA32B3"/>
    <w:rsid w:val="00BA469E"/>
    <w:rsid w:val="00BA47ED"/>
    <w:rsid w:val="00BA48C6"/>
    <w:rsid w:val="00BA5BBC"/>
    <w:rsid w:val="00BA72FF"/>
    <w:rsid w:val="00BB113B"/>
    <w:rsid w:val="00BB49D9"/>
    <w:rsid w:val="00BC3D69"/>
    <w:rsid w:val="00BC3DEB"/>
    <w:rsid w:val="00BC4470"/>
    <w:rsid w:val="00BC4523"/>
    <w:rsid w:val="00BC570D"/>
    <w:rsid w:val="00BD1002"/>
    <w:rsid w:val="00BD2C27"/>
    <w:rsid w:val="00BD3E80"/>
    <w:rsid w:val="00BD5D3D"/>
    <w:rsid w:val="00BD6686"/>
    <w:rsid w:val="00BD7AFB"/>
    <w:rsid w:val="00BE3E35"/>
    <w:rsid w:val="00BE45F6"/>
    <w:rsid w:val="00BF022F"/>
    <w:rsid w:val="00BF0EF3"/>
    <w:rsid w:val="00BF0F5C"/>
    <w:rsid w:val="00BF2584"/>
    <w:rsid w:val="00BF2708"/>
    <w:rsid w:val="00C0015C"/>
    <w:rsid w:val="00C0129A"/>
    <w:rsid w:val="00C02876"/>
    <w:rsid w:val="00C03EB5"/>
    <w:rsid w:val="00C040A2"/>
    <w:rsid w:val="00C04D23"/>
    <w:rsid w:val="00C1136C"/>
    <w:rsid w:val="00C126A8"/>
    <w:rsid w:val="00C12D69"/>
    <w:rsid w:val="00C13198"/>
    <w:rsid w:val="00C17810"/>
    <w:rsid w:val="00C209D0"/>
    <w:rsid w:val="00C219C1"/>
    <w:rsid w:val="00C2290F"/>
    <w:rsid w:val="00C238C2"/>
    <w:rsid w:val="00C24788"/>
    <w:rsid w:val="00C249C0"/>
    <w:rsid w:val="00C24B00"/>
    <w:rsid w:val="00C26333"/>
    <w:rsid w:val="00C273AF"/>
    <w:rsid w:val="00C273F1"/>
    <w:rsid w:val="00C2760D"/>
    <w:rsid w:val="00C27C64"/>
    <w:rsid w:val="00C30D30"/>
    <w:rsid w:val="00C30E01"/>
    <w:rsid w:val="00C3151E"/>
    <w:rsid w:val="00C32E55"/>
    <w:rsid w:val="00C354A3"/>
    <w:rsid w:val="00C41171"/>
    <w:rsid w:val="00C42730"/>
    <w:rsid w:val="00C4310E"/>
    <w:rsid w:val="00C439C7"/>
    <w:rsid w:val="00C45360"/>
    <w:rsid w:val="00C46B9F"/>
    <w:rsid w:val="00C476E2"/>
    <w:rsid w:val="00C50FBF"/>
    <w:rsid w:val="00C52FBB"/>
    <w:rsid w:val="00C53D49"/>
    <w:rsid w:val="00C541FF"/>
    <w:rsid w:val="00C55040"/>
    <w:rsid w:val="00C5513C"/>
    <w:rsid w:val="00C55168"/>
    <w:rsid w:val="00C575D4"/>
    <w:rsid w:val="00C60274"/>
    <w:rsid w:val="00C61197"/>
    <w:rsid w:val="00C61260"/>
    <w:rsid w:val="00C620FC"/>
    <w:rsid w:val="00C629EF"/>
    <w:rsid w:val="00C62CEE"/>
    <w:rsid w:val="00C70E81"/>
    <w:rsid w:val="00C711A8"/>
    <w:rsid w:val="00C72DC0"/>
    <w:rsid w:val="00C75437"/>
    <w:rsid w:val="00C75517"/>
    <w:rsid w:val="00C758CA"/>
    <w:rsid w:val="00C8071F"/>
    <w:rsid w:val="00C81BCD"/>
    <w:rsid w:val="00C82520"/>
    <w:rsid w:val="00C831DD"/>
    <w:rsid w:val="00C84B40"/>
    <w:rsid w:val="00C8649A"/>
    <w:rsid w:val="00C864E4"/>
    <w:rsid w:val="00C867DF"/>
    <w:rsid w:val="00C904EB"/>
    <w:rsid w:val="00C91769"/>
    <w:rsid w:val="00C919EB"/>
    <w:rsid w:val="00C9355D"/>
    <w:rsid w:val="00C941B9"/>
    <w:rsid w:val="00C96363"/>
    <w:rsid w:val="00CA21C0"/>
    <w:rsid w:val="00CA4443"/>
    <w:rsid w:val="00CA477C"/>
    <w:rsid w:val="00CA741D"/>
    <w:rsid w:val="00CA7E4B"/>
    <w:rsid w:val="00CB331D"/>
    <w:rsid w:val="00CB395F"/>
    <w:rsid w:val="00CB51AC"/>
    <w:rsid w:val="00CC04F3"/>
    <w:rsid w:val="00CC1A8E"/>
    <w:rsid w:val="00CC1E4B"/>
    <w:rsid w:val="00CC201E"/>
    <w:rsid w:val="00CC3938"/>
    <w:rsid w:val="00CC3A42"/>
    <w:rsid w:val="00CC519C"/>
    <w:rsid w:val="00CC5F1E"/>
    <w:rsid w:val="00CC623E"/>
    <w:rsid w:val="00CC6B5E"/>
    <w:rsid w:val="00CD2B14"/>
    <w:rsid w:val="00CD588C"/>
    <w:rsid w:val="00CD79A8"/>
    <w:rsid w:val="00CE464D"/>
    <w:rsid w:val="00CE5ECA"/>
    <w:rsid w:val="00CF06AC"/>
    <w:rsid w:val="00CF1816"/>
    <w:rsid w:val="00CF26C3"/>
    <w:rsid w:val="00CF38A9"/>
    <w:rsid w:val="00CF7B99"/>
    <w:rsid w:val="00D001D1"/>
    <w:rsid w:val="00D005A9"/>
    <w:rsid w:val="00D00619"/>
    <w:rsid w:val="00D026FD"/>
    <w:rsid w:val="00D02B84"/>
    <w:rsid w:val="00D07343"/>
    <w:rsid w:val="00D07EBC"/>
    <w:rsid w:val="00D101D0"/>
    <w:rsid w:val="00D10F76"/>
    <w:rsid w:val="00D112D3"/>
    <w:rsid w:val="00D14E22"/>
    <w:rsid w:val="00D22324"/>
    <w:rsid w:val="00D2257D"/>
    <w:rsid w:val="00D22D9B"/>
    <w:rsid w:val="00D2456A"/>
    <w:rsid w:val="00D26445"/>
    <w:rsid w:val="00D30212"/>
    <w:rsid w:val="00D30523"/>
    <w:rsid w:val="00D30A15"/>
    <w:rsid w:val="00D3114F"/>
    <w:rsid w:val="00D33109"/>
    <w:rsid w:val="00D4093B"/>
    <w:rsid w:val="00D42812"/>
    <w:rsid w:val="00D43818"/>
    <w:rsid w:val="00D45973"/>
    <w:rsid w:val="00D45EB2"/>
    <w:rsid w:val="00D45F56"/>
    <w:rsid w:val="00D46537"/>
    <w:rsid w:val="00D50405"/>
    <w:rsid w:val="00D50F2E"/>
    <w:rsid w:val="00D51041"/>
    <w:rsid w:val="00D51B4C"/>
    <w:rsid w:val="00D540D8"/>
    <w:rsid w:val="00D5491E"/>
    <w:rsid w:val="00D557BC"/>
    <w:rsid w:val="00D601EB"/>
    <w:rsid w:val="00D62D9A"/>
    <w:rsid w:val="00D63DA2"/>
    <w:rsid w:val="00D65FC9"/>
    <w:rsid w:val="00D67383"/>
    <w:rsid w:val="00D7081E"/>
    <w:rsid w:val="00D71262"/>
    <w:rsid w:val="00D71FBA"/>
    <w:rsid w:val="00D73837"/>
    <w:rsid w:val="00D73A17"/>
    <w:rsid w:val="00D743D2"/>
    <w:rsid w:val="00D74A9F"/>
    <w:rsid w:val="00D752DC"/>
    <w:rsid w:val="00D76754"/>
    <w:rsid w:val="00D80CFF"/>
    <w:rsid w:val="00D81D19"/>
    <w:rsid w:val="00D83174"/>
    <w:rsid w:val="00D842A5"/>
    <w:rsid w:val="00D84579"/>
    <w:rsid w:val="00D84D58"/>
    <w:rsid w:val="00D85B5F"/>
    <w:rsid w:val="00D85CD2"/>
    <w:rsid w:val="00D86803"/>
    <w:rsid w:val="00D8756A"/>
    <w:rsid w:val="00D87FB4"/>
    <w:rsid w:val="00D91CC7"/>
    <w:rsid w:val="00D933F1"/>
    <w:rsid w:val="00D94F18"/>
    <w:rsid w:val="00D96170"/>
    <w:rsid w:val="00D96224"/>
    <w:rsid w:val="00D96797"/>
    <w:rsid w:val="00D96A93"/>
    <w:rsid w:val="00DA12E5"/>
    <w:rsid w:val="00DA1DC9"/>
    <w:rsid w:val="00DA365A"/>
    <w:rsid w:val="00DA5459"/>
    <w:rsid w:val="00DA5514"/>
    <w:rsid w:val="00DA751F"/>
    <w:rsid w:val="00DB35A4"/>
    <w:rsid w:val="00DB3731"/>
    <w:rsid w:val="00DB57F3"/>
    <w:rsid w:val="00DB6B1B"/>
    <w:rsid w:val="00DC096F"/>
    <w:rsid w:val="00DC0CBA"/>
    <w:rsid w:val="00DC22DC"/>
    <w:rsid w:val="00DC3E53"/>
    <w:rsid w:val="00DC75C2"/>
    <w:rsid w:val="00DD0BD3"/>
    <w:rsid w:val="00DD2534"/>
    <w:rsid w:val="00DD3843"/>
    <w:rsid w:val="00DD50B2"/>
    <w:rsid w:val="00DD515F"/>
    <w:rsid w:val="00DD6067"/>
    <w:rsid w:val="00DD6EAD"/>
    <w:rsid w:val="00DD70A0"/>
    <w:rsid w:val="00DE0BE8"/>
    <w:rsid w:val="00DE0D67"/>
    <w:rsid w:val="00DE0E18"/>
    <w:rsid w:val="00DE19BD"/>
    <w:rsid w:val="00DE2D76"/>
    <w:rsid w:val="00DE3544"/>
    <w:rsid w:val="00DE3A64"/>
    <w:rsid w:val="00DE4327"/>
    <w:rsid w:val="00DF0937"/>
    <w:rsid w:val="00DF4198"/>
    <w:rsid w:val="00DF7B52"/>
    <w:rsid w:val="00DF7BA6"/>
    <w:rsid w:val="00E03A0B"/>
    <w:rsid w:val="00E0461F"/>
    <w:rsid w:val="00E055E5"/>
    <w:rsid w:val="00E16B90"/>
    <w:rsid w:val="00E16CA8"/>
    <w:rsid w:val="00E20FA7"/>
    <w:rsid w:val="00E21FD0"/>
    <w:rsid w:val="00E22BB7"/>
    <w:rsid w:val="00E232A3"/>
    <w:rsid w:val="00E24D35"/>
    <w:rsid w:val="00E31540"/>
    <w:rsid w:val="00E33BF0"/>
    <w:rsid w:val="00E34003"/>
    <w:rsid w:val="00E37998"/>
    <w:rsid w:val="00E37D5D"/>
    <w:rsid w:val="00E4071E"/>
    <w:rsid w:val="00E4260D"/>
    <w:rsid w:val="00E43524"/>
    <w:rsid w:val="00E45699"/>
    <w:rsid w:val="00E45F5A"/>
    <w:rsid w:val="00E45FD7"/>
    <w:rsid w:val="00E46493"/>
    <w:rsid w:val="00E475F7"/>
    <w:rsid w:val="00E5174D"/>
    <w:rsid w:val="00E54965"/>
    <w:rsid w:val="00E55C83"/>
    <w:rsid w:val="00E56325"/>
    <w:rsid w:val="00E5716F"/>
    <w:rsid w:val="00E61A63"/>
    <w:rsid w:val="00E61EE2"/>
    <w:rsid w:val="00E63B47"/>
    <w:rsid w:val="00E65892"/>
    <w:rsid w:val="00E734EF"/>
    <w:rsid w:val="00E743F9"/>
    <w:rsid w:val="00E7565B"/>
    <w:rsid w:val="00E7714A"/>
    <w:rsid w:val="00E8058C"/>
    <w:rsid w:val="00E81D32"/>
    <w:rsid w:val="00E821E1"/>
    <w:rsid w:val="00E827C6"/>
    <w:rsid w:val="00E83946"/>
    <w:rsid w:val="00E8431A"/>
    <w:rsid w:val="00E84960"/>
    <w:rsid w:val="00E8618D"/>
    <w:rsid w:val="00E862D0"/>
    <w:rsid w:val="00E87110"/>
    <w:rsid w:val="00E9103E"/>
    <w:rsid w:val="00E95177"/>
    <w:rsid w:val="00E951C1"/>
    <w:rsid w:val="00E9567C"/>
    <w:rsid w:val="00E974D8"/>
    <w:rsid w:val="00E9763C"/>
    <w:rsid w:val="00EA1618"/>
    <w:rsid w:val="00EA3890"/>
    <w:rsid w:val="00EA54A5"/>
    <w:rsid w:val="00EA636C"/>
    <w:rsid w:val="00EB13F8"/>
    <w:rsid w:val="00EB15B5"/>
    <w:rsid w:val="00EB3995"/>
    <w:rsid w:val="00EB3A27"/>
    <w:rsid w:val="00EB4313"/>
    <w:rsid w:val="00EB50A1"/>
    <w:rsid w:val="00EB5EF7"/>
    <w:rsid w:val="00EC25C1"/>
    <w:rsid w:val="00EC2DB1"/>
    <w:rsid w:val="00EC5814"/>
    <w:rsid w:val="00EC5CA3"/>
    <w:rsid w:val="00EC6590"/>
    <w:rsid w:val="00EC6FBB"/>
    <w:rsid w:val="00EC72BD"/>
    <w:rsid w:val="00ED426E"/>
    <w:rsid w:val="00ED5015"/>
    <w:rsid w:val="00EE1D18"/>
    <w:rsid w:val="00EE3691"/>
    <w:rsid w:val="00EE56ED"/>
    <w:rsid w:val="00EE5996"/>
    <w:rsid w:val="00EE6318"/>
    <w:rsid w:val="00EF01A2"/>
    <w:rsid w:val="00EF230C"/>
    <w:rsid w:val="00EF72BD"/>
    <w:rsid w:val="00EF781F"/>
    <w:rsid w:val="00EF7F8D"/>
    <w:rsid w:val="00F0179B"/>
    <w:rsid w:val="00F01F49"/>
    <w:rsid w:val="00F029CD"/>
    <w:rsid w:val="00F03996"/>
    <w:rsid w:val="00F05291"/>
    <w:rsid w:val="00F07D32"/>
    <w:rsid w:val="00F110D4"/>
    <w:rsid w:val="00F17809"/>
    <w:rsid w:val="00F17897"/>
    <w:rsid w:val="00F20348"/>
    <w:rsid w:val="00F20D7F"/>
    <w:rsid w:val="00F234CA"/>
    <w:rsid w:val="00F23C96"/>
    <w:rsid w:val="00F30838"/>
    <w:rsid w:val="00F30AE8"/>
    <w:rsid w:val="00F3335B"/>
    <w:rsid w:val="00F35DA4"/>
    <w:rsid w:val="00F36A8E"/>
    <w:rsid w:val="00F3718C"/>
    <w:rsid w:val="00F37EC9"/>
    <w:rsid w:val="00F401F2"/>
    <w:rsid w:val="00F405DC"/>
    <w:rsid w:val="00F41318"/>
    <w:rsid w:val="00F41E9F"/>
    <w:rsid w:val="00F4280E"/>
    <w:rsid w:val="00F42A25"/>
    <w:rsid w:val="00F43DC4"/>
    <w:rsid w:val="00F47744"/>
    <w:rsid w:val="00F56475"/>
    <w:rsid w:val="00F60D23"/>
    <w:rsid w:val="00F621F2"/>
    <w:rsid w:val="00F651F4"/>
    <w:rsid w:val="00F70448"/>
    <w:rsid w:val="00F718BD"/>
    <w:rsid w:val="00F730EA"/>
    <w:rsid w:val="00F73828"/>
    <w:rsid w:val="00F73A86"/>
    <w:rsid w:val="00F7578D"/>
    <w:rsid w:val="00F75D12"/>
    <w:rsid w:val="00F7629C"/>
    <w:rsid w:val="00F76735"/>
    <w:rsid w:val="00F76C47"/>
    <w:rsid w:val="00F77058"/>
    <w:rsid w:val="00F8118B"/>
    <w:rsid w:val="00F813AC"/>
    <w:rsid w:val="00F825AE"/>
    <w:rsid w:val="00F82836"/>
    <w:rsid w:val="00F82B4F"/>
    <w:rsid w:val="00F83D74"/>
    <w:rsid w:val="00F85C84"/>
    <w:rsid w:val="00F85D5C"/>
    <w:rsid w:val="00F87E2B"/>
    <w:rsid w:val="00F87F05"/>
    <w:rsid w:val="00F87F8D"/>
    <w:rsid w:val="00F93217"/>
    <w:rsid w:val="00F93B92"/>
    <w:rsid w:val="00F94618"/>
    <w:rsid w:val="00F94761"/>
    <w:rsid w:val="00F9644E"/>
    <w:rsid w:val="00F979D7"/>
    <w:rsid w:val="00F97E6B"/>
    <w:rsid w:val="00FA1A5C"/>
    <w:rsid w:val="00FA53C0"/>
    <w:rsid w:val="00FA5610"/>
    <w:rsid w:val="00FA643C"/>
    <w:rsid w:val="00FA9B5E"/>
    <w:rsid w:val="00FB1516"/>
    <w:rsid w:val="00FB5586"/>
    <w:rsid w:val="00FB5AC8"/>
    <w:rsid w:val="00FB670C"/>
    <w:rsid w:val="00FB6F11"/>
    <w:rsid w:val="00FB6F77"/>
    <w:rsid w:val="00FC08B9"/>
    <w:rsid w:val="00FC09FD"/>
    <w:rsid w:val="00FC4E67"/>
    <w:rsid w:val="00FC7A1C"/>
    <w:rsid w:val="00FC7A2F"/>
    <w:rsid w:val="00FD061C"/>
    <w:rsid w:val="00FD0AB5"/>
    <w:rsid w:val="00FD0FDF"/>
    <w:rsid w:val="00FD14AF"/>
    <w:rsid w:val="00FD23A4"/>
    <w:rsid w:val="00FD395F"/>
    <w:rsid w:val="00FD6BDD"/>
    <w:rsid w:val="00FD7DF9"/>
    <w:rsid w:val="00FD7EB9"/>
    <w:rsid w:val="00FE2C68"/>
    <w:rsid w:val="00FE44A8"/>
    <w:rsid w:val="00FE4FF1"/>
    <w:rsid w:val="00FE7D15"/>
    <w:rsid w:val="00FF38C7"/>
    <w:rsid w:val="00FF401C"/>
    <w:rsid w:val="00FF47D1"/>
    <w:rsid w:val="00FF4BB6"/>
    <w:rsid w:val="00FF6116"/>
    <w:rsid w:val="00FF61A2"/>
    <w:rsid w:val="00FF61B2"/>
    <w:rsid w:val="013F4761"/>
    <w:rsid w:val="016943C0"/>
    <w:rsid w:val="01ACAEC6"/>
    <w:rsid w:val="01D55D2C"/>
    <w:rsid w:val="01DA4E58"/>
    <w:rsid w:val="01EA6C4D"/>
    <w:rsid w:val="022822B9"/>
    <w:rsid w:val="029EC17C"/>
    <w:rsid w:val="02C12C92"/>
    <w:rsid w:val="0345517E"/>
    <w:rsid w:val="035A8EDF"/>
    <w:rsid w:val="035C80A2"/>
    <w:rsid w:val="037F33B9"/>
    <w:rsid w:val="038CDE9E"/>
    <w:rsid w:val="03F494CA"/>
    <w:rsid w:val="041F7CD5"/>
    <w:rsid w:val="04360F20"/>
    <w:rsid w:val="044CE579"/>
    <w:rsid w:val="044D0A3A"/>
    <w:rsid w:val="0451D72C"/>
    <w:rsid w:val="0467BF05"/>
    <w:rsid w:val="047E1A56"/>
    <w:rsid w:val="04997142"/>
    <w:rsid w:val="04AC2783"/>
    <w:rsid w:val="04C8ADD4"/>
    <w:rsid w:val="0550CD00"/>
    <w:rsid w:val="059861E6"/>
    <w:rsid w:val="05B09D29"/>
    <w:rsid w:val="05FBEE07"/>
    <w:rsid w:val="063DC443"/>
    <w:rsid w:val="067D28E6"/>
    <w:rsid w:val="06A276D8"/>
    <w:rsid w:val="06C0876E"/>
    <w:rsid w:val="06D17C57"/>
    <w:rsid w:val="06DAFD8F"/>
    <w:rsid w:val="070744C5"/>
    <w:rsid w:val="0738E918"/>
    <w:rsid w:val="0741CBBF"/>
    <w:rsid w:val="07BD9F28"/>
    <w:rsid w:val="083C5BB7"/>
    <w:rsid w:val="086C31E0"/>
    <w:rsid w:val="08DC4EA3"/>
    <w:rsid w:val="090CB285"/>
    <w:rsid w:val="09582D15"/>
    <w:rsid w:val="09709CEE"/>
    <w:rsid w:val="098C6D9A"/>
    <w:rsid w:val="09B8174A"/>
    <w:rsid w:val="09BCE52F"/>
    <w:rsid w:val="09CA9336"/>
    <w:rsid w:val="09D9D5CF"/>
    <w:rsid w:val="09F13E3F"/>
    <w:rsid w:val="0A0444EA"/>
    <w:rsid w:val="0A4BF86D"/>
    <w:rsid w:val="0A52AE1C"/>
    <w:rsid w:val="0A5C0C53"/>
    <w:rsid w:val="0A6B4B91"/>
    <w:rsid w:val="0A7089DA"/>
    <w:rsid w:val="0A774CB4"/>
    <w:rsid w:val="0A840E4C"/>
    <w:rsid w:val="0A93C730"/>
    <w:rsid w:val="0B29BED5"/>
    <w:rsid w:val="0B494026"/>
    <w:rsid w:val="0B4AA862"/>
    <w:rsid w:val="0B6AB122"/>
    <w:rsid w:val="0C04A4C5"/>
    <w:rsid w:val="0C65F4DC"/>
    <w:rsid w:val="0C6E4CE7"/>
    <w:rsid w:val="0CE445EF"/>
    <w:rsid w:val="0CFC69D9"/>
    <w:rsid w:val="0D060D6A"/>
    <w:rsid w:val="0D076820"/>
    <w:rsid w:val="0D095BF1"/>
    <w:rsid w:val="0D10DF19"/>
    <w:rsid w:val="0D2BA188"/>
    <w:rsid w:val="0DB2FFB0"/>
    <w:rsid w:val="0DE663CB"/>
    <w:rsid w:val="0DF0A1DF"/>
    <w:rsid w:val="0DF818D3"/>
    <w:rsid w:val="0DFB8691"/>
    <w:rsid w:val="0E017046"/>
    <w:rsid w:val="0E281B4F"/>
    <w:rsid w:val="0E61D8BC"/>
    <w:rsid w:val="0EA26EF6"/>
    <w:rsid w:val="0EA52C52"/>
    <w:rsid w:val="0EC135FA"/>
    <w:rsid w:val="0F248284"/>
    <w:rsid w:val="0F303873"/>
    <w:rsid w:val="0F52DD33"/>
    <w:rsid w:val="0F9FDAF5"/>
    <w:rsid w:val="0FDE461F"/>
    <w:rsid w:val="106AE6D4"/>
    <w:rsid w:val="107FFE44"/>
    <w:rsid w:val="112536DB"/>
    <w:rsid w:val="1184725C"/>
    <w:rsid w:val="123495C8"/>
    <w:rsid w:val="1258DBD9"/>
    <w:rsid w:val="12622E42"/>
    <w:rsid w:val="12838792"/>
    <w:rsid w:val="12ABAD25"/>
    <w:rsid w:val="12CA2D3F"/>
    <w:rsid w:val="12F72E67"/>
    <w:rsid w:val="12F92B38"/>
    <w:rsid w:val="131588B5"/>
    <w:rsid w:val="13677613"/>
    <w:rsid w:val="139A17E9"/>
    <w:rsid w:val="139E0E57"/>
    <w:rsid w:val="13A795EF"/>
    <w:rsid w:val="13AE8CCA"/>
    <w:rsid w:val="13C3AD75"/>
    <w:rsid w:val="13EAC06A"/>
    <w:rsid w:val="13F8A0D3"/>
    <w:rsid w:val="14138730"/>
    <w:rsid w:val="147111E4"/>
    <w:rsid w:val="14A33EF2"/>
    <w:rsid w:val="14A78A03"/>
    <w:rsid w:val="14E5D3DD"/>
    <w:rsid w:val="15647572"/>
    <w:rsid w:val="15A22036"/>
    <w:rsid w:val="15A81499"/>
    <w:rsid w:val="15BEFF5D"/>
    <w:rsid w:val="15E49A23"/>
    <w:rsid w:val="16430F23"/>
    <w:rsid w:val="1692B163"/>
    <w:rsid w:val="1735E485"/>
    <w:rsid w:val="17382AFE"/>
    <w:rsid w:val="173C704A"/>
    <w:rsid w:val="173D3ED7"/>
    <w:rsid w:val="17A62C04"/>
    <w:rsid w:val="17D91D48"/>
    <w:rsid w:val="17D935F2"/>
    <w:rsid w:val="187C694D"/>
    <w:rsid w:val="188119F2"/>
    <w:rsid w:val="1898BB80"/>
    <w:rsid w:val="18FB0D6D"/>
    <w:rsid w:val="191102A8"/>
    <w:rsid w:val="192DCB8E"/>
    <w:rsid w:val="197833FC"/>
    <w:rsid w:val="1984CA16"/>
    <w:rsid w:val="19CDEF0D"/>
    <w:rsid w:val="19EA24DD"/>
    <w:rsid w:val="1A0B0D70"/>
    <w:rsid w:val="1A322065"/>
    <w:rsid w:val="1B0D0D76"/>
    <w:rsid w:val="1B171DB0"/>
    <w:rsid w:val="1B1AE460"/>
    <w:rsid w:val="1B41C830"/>
    <w:rsid w:val="1B51D80F"/>
    <w:rsid w:val="1B646299"/>
    <w:rsid w:val="1BB34625"/>
    <w:rsid w:val="1BBEA27C"/>
    <w:rsid w:val="1BDE7666"/>
    <w:rsid w:val="1C2012DA"/>
    <w:rsid w:val="1C505D85"/>
    <w:rsid w:val="1C8F1BBB"/>
    <w:rsid w:val="1C99901C"/>
    <w:rsid w:val="1CA6CF6E"/>
    <w:rsid w:val="1CAE50D7"/>
    <w:rsid w:val="1CB1135E"/>
    <w:rsid w:val="1CCB7904"/>
    <w:rsid w:val="1D1F153B"/>
    <w:rsid w:val="1D6C2CA3"/>
    <w:rsid w:val="1D7976FE"/>
    <w:rsid w:val="1DB90585"/>
    <w:rsid w:val="1EAFBAA2"/>
    <w:rsid w:val="1ED9391A"/>
    <w:rsid w:val="1F8C77E2"/>
    <w:rsid w:val="1FC971B8"/>
    <w:rsid w:val="1FEFF983"/>
    <w:rsid w:val="1FFBBADF"/>
    <w:rsid w:val="200B6DB2"/>
    <w:rsid w:val="202A3C21"/>
    <w:rsid w:val="206B853C"/>
    <w:rsid w:val="208DBD7A"/>
    <w:rsid w:val="209D0ECF"/>
    <w:rsid w:val="20C6F86D"/>
    <w:rsid w:val="20C78316"/>
    <w:rsid w:val="2115C851"/>
    <w:rsid w:val="212BFB56"/>
    <w:rsid w:val="2137AF60"/>
    <w:rsid w:val="216BF6D4"/>
    <w:rsid w:val="2170AC6D"/>
    <w:rsid w:val="21BFEAA3"/>
    <w:rsid w:val="21C4F281"/>
    <w:rsid w:val="21C60C82"/>
    <w:rsid w:val="21F9B133"/>
    <w:rsid w:val="221CEAAF"/>
    <w:rsid w:val="225D9AF7"/>
    <w:rsid w:val="2279F5B0"/>
    <w:rsid w:val="227C1EDD"/>
    <w:rsid w:val="22D63D8C"/>
    <w:rsid w:val="22E9835B"/>
    <w:rsid w:val="23316780"/>
    <w:rsid w:val="2361DCE3"/>
    <w:rsid w:val="23DB49DA"/>
    <w:rsid w:val="24695BD5"/>
    <w:rsid w:val="24840EF0"/>
    <w:rsid w:val="248C6924"/>
    <w:rsid w:val="2494F38B"/>
    <w:rsid w:val="24F92723"/>
    <w:rsid w:val="25032583"/>
    <w:rsid w:val="2536C0D8"/>
    <w:rsid w:val="253FFD16"/>
    <w:rsid w:val="25983CAC"/>
    <w:rsid w:val="259EC0C6"/>
    <w:rsid w:val="25CB3B6C"/>
    <w:rsid w:val="25D421CC"/>
    <w:rsid w:val="26012973"/>
    <w:rsid w:val="26018675"/>
    <w:rsid w:val="2623F0CD"/>
    <w:rsid w:val="26496AEA"/>
    <w:rsid w:val="267A4CBE"/>
    <w:rsid w:val="26898D28"/>
    <w:rsid w:val="2690E23B"/>
    <w:rsid w:val="269D02FE"/>
    <w:rsid w:val="270A7204"/>
    <w:rsid w:val="2718BB64"/>
    <w:rsid w:val="273B226A"/>
    <w:rsid w:val="27436CE5"/>
    <w:rsid w:val="27833C61"/>
    <w:rsid w:val="278B959A"/>
    <w:rsid w:val="27BE9977"/>
    <w:rsid w:val="27F76863"/>
    <w:rsid w:val="2840231A"/>
    <w:rsid w:val="284799EB"/>
    <w:rsid w:val="2849F26B"/>
    <w:rsid w:val="2862F060"/>
    <w:rsid w:val="28666142"/>
    <w:rsid w:val="28699958"/>
    <w:rsid w:val="28F8D90F"/>
    <w:rsid w:val="293B59B4"/>
    <w:rsid w:val="294E040E"/>
    <w:rsid w:val="297680E2"/>
    <w:rsid w:val="297CC6FD"/>
    <w:rsid w:val="298FDA4A"/>
    <w:rsid w:val="29C94D46"/>
    <w:rsid w:val="29E9D54E"/>
    <w:rsid w:val="29F77242"/>
    <w:rsid w:val="2A4059E4"/>
    <w:rsid w:val="2A448F08"/>
    <w:rsid w:val="2A65E159"/>
    <w:rsid w:val="2A761996"/>
    <w:rsid w:val="2A89EC9E"/>
    <w:rsid w:val="2AA6AA63"/>
    <w:rsid w:val="2AAE48EE"/>
    <w:rsid w:val="2AF35074"/>
    <w:rsid w:val="2B12C632"/>
    <w:rsid w:val="2B34DCD7"/>
    <w:rsid w:val="2B6C2DDE"/>
    <w:rsid w:val="2B8262EA"/>
    <w:rsid w:val="2B8F200C"/>
    <w:rsid w:val="2BADA488"/>
    <w:rsid w:val="2BD62C65"/>
    <w:rsid w:val="2BDE19EB"/>
    <w:rsid w:val="2C164015"/>
    <w:rsid w:val="2C684E8E"/>
    <w:rsid w:val="2C7FF856"/>
    <w:rsid w:val="2CA0AEDD"/>
    <w:rsid w:val="2CCBC95D"/>
    <w:rsid w:val="2CE09BF3"/>
    <w:rsid w:val="2CF78316"/>
    <w:rsid w:val="2CF826DE"/>
    <w:rsid w:val="2D00EE08"/>
    <w:rsid w:val="2D1BDA4E"/>
    <w:rsid w:val="2D27C327"/>
    <w:rsid w:val="2D98509D"/>
    <w:rsid w:val="2DA2E03C"/>
    <w:rsid w:val="2DBF0D46"/>
    <w:rsid w:val="2DE2CA09"/>
    <w:rsid w:val="2E216CA1"/>
    <w:rsid w:val="2E985C83"/>
    <w:rsid w:val="30006711"/>
    <w:rsid w:val="3090499E"/>
    <w:rsid w:val="30C57522"/>
    <w:rsid w:val="315EDDEA"/>
    <w:rsid w:val="315EF57F"/>
    <w:rsid w:val="31667C0A"/>
    <w:rsid w:val="316FE3BC"/>
    <w:rsid w:val="317147B1"/>
    <w:rsid w:val="31C653EB"/>
    <w:rsid w:val="31D410F0"/>
    <w:rsid w:val="322319B8"/>
    <w:rsid w:val="322B46E1"/>
    <w:rsid w:val="3232EDB6"/>
    <w:rsid w:val="324D5B6F"/>
    <w:rsid w:val="32C98D7C"/>
    <w:rsid w:val="3331A01E"/>
    <w:rsid w:val="33660A44"/>
    <w:rsid w:val="3369558C"/>
    <w:rsid w:val="336FE151"/>
    <w:rsid w:val="337BD803"/>
    <w:rsid w:val="33D00373"/>
    <w:rsid w:val="33ECABD0"/>
    <w:rsid w:val="33F32C03"/>
    <w:rsid w:val="341CB1A7"/>
    <w:rsid w:val="347640DC"/>
    <w:rsid w:val="34848B9A"/>
    <w:rsid w:val="3488F9DF"/>
    <w:rsid w:val="34AA6FF1"/>
    <w:rsid w:val="34AFD6A1"/>
    <w:rsid w:val="34CF2DD9"/>
    <w:rsid w:val="34D8CA80"/>
    <w:rsid w:val="34E77FF3"/>
    <w:rsid w:val="34FEF2E7"/>
    <w:rsid w:val="350525ED"/>
    <w:rsid w:val="354D4914"/>
    <w:rsid w:val="3562178C"/>
    <w:rsid w:val="35A40079"/>
    <w:rsid w:val="35A9BC75"/>
    <w:rsid w:val="36218993"/>
    <w:rsid w:val="3660316E"/>
    <w:rsid w:val="3660BE19"/>
    <w:rsid w:val="369D5312"/>
    <w:rsid w:val="36A0F64E"/>
    <w:rsid w:val="36ACC87C"/>
    <w:rsid w:val="36B19840"/>
    <w:rsid w:val="36B8F4FA"/>
    <w:rsid w:val="3726C4C9"/>
    <w:rsid w:val="3748785F"/>
    <w:rsid w:val="37A0B6CA"/>
    <w:rsid w:val="37AD1D16"/>
    <w:rsid w:val="37B78147"/>
    <w:rsid w:val="37BF0DE7"/>
    <w:rsid w:val="37C62D88"/>
    <w:rsid w:val="37D2A7BE"/>
    <w:rsid w:val="37F846D5"/>
    <w:rsid w:val="385D7C2F"/>
    <w:rsid w:val="386A4D65"/>
    <w:rsid w:val="38A54EF2"/>
    <w:rsid w:val="392589DD"/>
    <w:rsid w:val="39404C4C"/>
    <w:rsid w:val="3945D577"/>
    <w:rsid w:val="39536F8A"/>
    <w:rsid w:val="3998E00F"/>
    <w:rsid w:val="39B6CFBA"/>
    <w:rsid w:val="39C99C37"/>
    <w:rsid w:val="3A1BA9B5"/>
    <w:rsid w:val="3A4F07A1"/>
    <w:rsid w:val="3A56BBDB"/>
    <w:rsid w:val="3A76BE79"/>
    <w:rsid w:val="3A84247F"/>
    <w:rsid w:val="3AD00BDA"/>
    <w:rsid w:val="3AF9401E"/>
    <w:rsid w:val="3B07801D"/>
    <w:rsid w:val="3B0A42A4"/>
    <w:rsid w:val="3B1FC64A"/>
    <w:rsid w:val="3B347D9F"/>
    <w:rsid w:val="3B446192"/>
    <w:rsid w:val="3B60B1D3"/>
    <w:rsid w:val="3B746771"/>
    <w:rsid w:val="3BACCB04"/>
    <w:rsid w:val="3BE0082D"/>
    <w:rsid w:val="3BF03D62"/>
    <w:rsid w:val="3BF43DB5"/>
    <w:rsid w:val="3C59D036"/>
    <w:rsid w:val="3C91D9A6"/>
    <w:rsid w:val="3CAD6C39"/>
    <w:rsid w:val="3CAE42CA"/>
    <w:rsid w:val="3CCA4A03"/>
    <w:rsid w:val="3CED1345"/>
    <w:rsid w:val="3CF8EACC"/>
    <w:rsid w:val="3D1037D2"/>
    <w:rsid w:val="3D26C3AA"/>
    <w:rsid w:val="3D5437E1"/>
    <w:rsid w:val="3D8F52E3"/>
    <w:rsid w:val="3DA083E3"/>
    <w:rsid w:val="3DE10FA7"/>
    <w:rsid w:val="3DFEC650"/>
    <w:rsid w:val="3E01C7CD"/>
    <w:rsid w:val="3E1BBEE8"/>
    <w:rsid w:val="3E1BF671"/>
    <w:rsid w:val="3E2DF3ED"/>
    <w:rsid w:val="3E636E08"/>
    <w:rsid w:val="3E93B3C0"/>
    <w:rsid w:val="3EC61FE0"/>
    <w:rsid w:val="3EFD3C71"/>
    <w:rsid w:val="3F647867"/>
    <w:rsid w:val="3FF8FB94"/>
    <w:rsid w:val="403948DD"/>
    <w:rsid w:val="404BF00D"/>
    <w:rsid w:val="40503849"/>
    <w:rsid w:val="40671806"/>
    <w:rsid w:val="407376A7"/>
    <w:rsid w:val="4085A072"/>
    <w:rsid w:val="40BBFEC3"/>
    <w:rsid w:val="40BD0E58"/>
    <w:rsid w:val="40F8C119"/>
    <w:rsid w:val="40F90C5A"/>
    <w:rsid w:val="4112855D"/>
    <w:rsid w:val="411D4E65"/>
    <w:rsid w:val="41539A33"/>
    <w:rsid w:val="41806D0F"/>
    <w:rsid w:val="41DEECF4"/>
    <w:rsid w:val="41F83C6A"/>
    <w:rsid w:val="421AF97C"/>
    <w:rsid w:val="4250C97B"/>
    <w:rsid w:val="42CC9EF4"/>
    <w:rsid w:val="42CEB1D9"/>
    <w:rsid w:val="42FE94A4"/>
    <w:rsid w:val="43779239"/>
    <w:rsid w:val="4381CA67"/>
    <w:rsid w:val="4392305D"/>
    <w:rsid w:val="43B4BAD6"/>
    <w:rsid w:val="43CB10F9"/>
    <w:rsid w:val="43CD5F29"/>
    <w:rsid w:val="4402C825"/>
    <w:rsid w:val="44279364"/>
    <w:rsid w:val="44C4373C"/>
    <w:rsid w:val="44EA4452"/>
    <w:rsid w:val="456F00B6"/>
    <w:rsid w:val="4597AE95"/>
    <w:rsid w:val="45B833DA"/>
    <w:rsid w:val="45E6717C"/>
    <w:rsid w:val="45F18E57"/>
    <w:rsid w:val="4646D8C5"/>
    <w:rsid w:val="46725B39"/>
    <w:rsid w:val="46A46099"/>
    <w:rsid w:val="46CB69CE"/>
    <w:rsid w:val="46E1055B"/>
    <w:rsid w:val="46EBD5EE"/>
    <w:rsid w:val="46F36415"/>
    <w:rsid w:val="46FBDD4E"/>
    <w:rsid w:val="47390404"/>
    <w:rsid w:val="475BBEE1"/>
    <w:rsid w:val="475CCB96"/>
    <w:rsid w:val="4768029D"/>
    <w:rsid w:val="47A868BF"/>
    <w:rsid w:val="47AB46CA"/>
    <w:rsid w:val="47ABD898"/>
    <w:rsid w:val="47B7A447"/>
    <w:rsid w:val="47B84AAE"/>
    <w:rsid w:val="480AE607"/>
    <w:rsid w:val="48160712"/>
    <w:rsid w:val="484304F9"/>
    <w:rsid w:val="485CFC7B"/>
    <w:rsid w:val="48ED206B"/>
    <w:rsid w:val="491CFB5B"/>
    <w:rsid w:val="4969AEBE"/>
    <w:rsid w:val="497D945E"/>
    <w:rsid w:val="4A2EB843"/>
    <w:rsid w:val="4A561BA3"/>
    <w:rsid w:val="4A986216"/>
    <w:rsid w:val="4A98F55B"/>
    <w:rsid w:val="4A9FA35F"/>
    <w:rsid w:val="4AB347E3"/>
    <w:rsid w:val="4AB79810"/>
    <w:rsid w:val="4AD6845A"/>
    <w:rsid w:val="4AED85B2"/>
    <w:rsid w:val="4B11B859"/>
    <w:rsid w:val="4B133218"/>
    <w:rsid w:val="4B4CDBCC"/>
    <w:rsid w:val="4B777390"/>
    <w:rsid w:val="4B786934"/>
    <w:rsid w:val="4B8222E2"/>
    <w:rsid w:val="4B981EC6"/>
    <w:rsid w:val="4BBEB206"/>
    <w:rsid w:val="4C070FCF"/>
    <w:rsid w:val="4C2C3F61"/>
    <w:rsid w:val="4C3C394D"/>
    <w:rsid w:val="4C3DFA9D"/>
    <w:rsid w:val="4C5C5891"/>
    <w:rsid w:val="4C656D91"/>
    <w:rsid w:val="4C8D2D01"/>
    <w:rsid w:val="4C936D08"/>
    <w:rsid w:val="4CD5997B"/>
    <w:rsid w:val="4D2B39F7"/>
    <w:rsid w:val="4D2E4922"/>
    <w:rsid w:val="4D58C17A"/>
    <w:rsid w:val="4D74857F"/>
    <w:rsid w:val="4D755E51"/>
    <w:rsid w:val="4D8A9614"/>
    <w:rsid w:val="4D94F709"/>
    <w:rsid w:val="4DD74421"/>
    <w:rsid w:val="4E32E4CA"/>
    <w:rsid w:val="4E422D3F"/>
    <w:rsid w:val="4E65C745"/>
    <w:rsid w:val="4E8804FA"/>
    <w:rsid w:val="4EC91ED5"/>
    <w:rsid w:val="4ECA1983"/>
    <w:rsid w:val="4EE44F07"/>
    <w:rsid w:val="4EE63406"/>
    <w:rsid w:val="4F1F0DCB"/>
    <w:rsid w:val="4F50FAA2"/>
    <w:rsid w:val="4F56EEEE"/>
    <w:rsid w:val="4F8E20B1"/>
    <w:rsid w:val="4F923784"/>
    <w:rsid w:val="4FA5F6FD"/>
    <w:rsid w:val="4FB67B57"/>
    <w:rsid w:val="4FC5CE40"/>
    <w:rsid w:val="4FD0069D"/>
    <w:rsid w:val="4FD7DC05"/>
    <w:rsid w:val="4FDE3071"/>
    <w:rsid w:val="505024E2"/>
    <w:rsid w:val="506944C2"/>
    <w:rsid w:val="508CB379"/>
    <w:rsid w:val="50BFE5FA"/>
    <w:rsid w:val="50D7B0C3"/>
    <w:rsid w:val="50F5965A"/>
    <w:rsid w:val="510C4551"/>
    <w:rsid w:val="512AD2F0"/>
    <w:rsid w:val="514C4F32"/>
    <w:rsid w:val="51738B38"/>
    <w:rsid w:val="5179CE01"/>
    <w:rsid w:val="51856402"/>
    <w:rsid w:val="519EAC27"/>
    <w:rsid w:val="51B379CB"/>
    <w:rsid w:val="51CB40E5"/>
    <w:rsid w:val="51F8EC0A"/>
    <w:rsid w:val="52118787"/>
    <w:rsid w:val="52140971"/>
    <w:rsid w:val="52AAB544"/>
    <w:rsid w:val="532A82B4"/>
    <w:rsid w:val="534D3826"/>
    <w:rsid w:val="536A5937"/>
    <w:rsid w:val="539D8AA6"/>
    <w:rsid w:val="53ABCBF7"/>
    <w:rsid w:val="53F2FD0A"/>
    <w:rsid w:val="544CDAD8"/>
    <w:rsid w:val="54939734"/>
    <w:rsid w:val="54B3E832"/>
    <w:rsid w:val="54CA3F0E"/>
    <w:rsid w:val="54D8297C"/>
    <w:rsid w:val="5511DFB6"/>
    <w:rsid w:val="55395B07"/>
    <w:rsid w:val="5577181E"/>
    <w:rsid w:val="558C4E38"/>
    <w:rsid w:val="559F5394"/>
    <w:rsid w:val="55D150BB"/>
    <w:rsid w:val="55ECF714"/>
    <w:rsid w:val="56111534"/>
    <w:rsid w:val="562C4067"/>
    <w:rsid w:val="5669AF72"/>
    <w:rsid w:val="567F30B7"/>
    <w:rsid w:val="5680FC23"/>
    <w:rsid w:val="56C533CF"/>
    <w:rsid w:val="56E633B6"/>
    <w:rsid w:val="57365A92"/>
    <w:rsid w:val="575DEF95"/>
    <w:rsid w:val="576A0BA6"/>
    <w:rsid w:val="57A9114A"/>
    <w:rsid w:val="57D225C6"/>
    <w:rsid w:val="5807665D"/>
    <w:rsid w:val="580B9B5E"/>
    <w:rsid w:val="5816BAAA"/>
    <w:rsid w:val="5827AEBC"/>
    <w:rsid w:val="583391FD"/>
    <w:rsid w:val="584BA973"/>
    <w:rsid w:val="585E3AB3"/>
    <w:rsid w:val="58D283F0"/>
    <w:rsid w:val="58FE0EE8"/>
    <w:rsid w:val="5922770A"/>
    <w:rsid w:val="592C79A6"/>
    <w:rsid w:val="59469162"/>
    <w:rsid w:val="59E353ED"/>
    <w:rsid w:val="5A477753"/>
    <w:rsid w:val="5A491627"/>
    <w:rsid w:val="5A77ACC6"/>
    <w:rsid w:val="5A937A23"/>
    <w:rsid w:val="5B247568"/>
    <w:rsid w:val="5B58A5D7"/>
    <w:rsid w:val="5B9AF568"/>
    <w:rsid w:val="5BD5EB6A"/>
    <w:rsid w:val="5BD83A39"/>
    <w:rsid w:val="5BE09B93"/>
    <w:rsid w:val="5C1F0DE8"/>
    <w:rsid w:val="5C4ADBAE"/>
    <w:rsid w:val="5C6A5684"/>
    <w:rsid w:val="5C81B21C"/>
    <w:rsid w:val="5C92498E"/>
    <w:rsid w:val="5C93785E"/>
    <w:rsid w:val="5CC91BF0"/>
    <w:rsid w:val="5D5BD031"/>
    <w:rsid w:val="5D995C78"/>
    <w:rsid w:val="5E1BC8ED"/>
    <w:rsid w:val="5E7522CB"/>
    <w:rsid w:val="5E904D14"/>
    <w:rsid w:val="5EA1D4A8"/>
    <w:rsid w:val="5EF197AB"/>
    <w:rsid w:val="5EF5BEA3"/>
    <w:rsid w:val="5F2595EF"/>
    <w:rsid w:val="5F3B7D20"/>
    <w:rsid w:val="5F557873"/>
    <w:rsid w:val="5F5DA16A"/>
    <w:rsid w:val="5FB6C3C7"/>
    <w:rsid w:val="601205CE"/>
    <w:rsid w:val="604A30CA"/>
    <w:rsid w:val="60759C58"/>
    <w:rsid w:val="6098EF08"/>
    <w:rsid w:val="60B5C3DC"/>
    <w:rsid w:val="60BEABFC"/>
    <w:rsid w:val="60FF29AC"/>
    <w:rsid w:val="60FFC124"/>
    <w:rsid w:val="6104EC23"/>
    <w:rsid w:val="61777711"/>
    <w:rsid w:val="61924791"/>
    <w:rsid w:val="61E3B081"/>
    <w:rsid w:val="622E04D7"/>
    <w:rsid w:val="62423CAC"/>
    <w:rsid w:val="627F8D54"/>
    <w:rsid w:val="634E0751"/>
    <w:rsid w:val="6359268C"/>
    <w:rsid w:val="63B52EBD"/>
    <w:rsid w:val="63F93008"/>
    <w:rsid w:val="63FA25AC"/>
    <w:rsid w:val="64948A93"/>
    <w:rsid w:val="64DAAC9E"/>
    <w:rsid w:val="64EC4169"/>
    <w:rsid w:val="6504384A"/>
    <w:rsid w:val="652B0B0F"/>
    <w:rsid w:val="6535DE83"/>
    <w:rsid w:val="6556C09A"/>
    <w:rsid w:val="65879968"/>
    <w:rsid w:val="6588470B"/>
    <w:rsid w:val="65FF9851"/>
    <w:rsid w:val="6610F10A"/>
    <w:rsid w:val="6612CC61"/>
    <w:rsid w:val="669C33DA"/>
    <w:rsid w:val="66A960E2"/>
    <w:rsid w:val="66F3577A"/>
    <w:rsid w:val="670CB577"/>
    <w:rsid w:val="673EAB27"/>
    <w:rsid w:val="6746CA83"/>
    <w:rsid w:val="67473CBD"/>
    <w:rsid w:val="6759576B"/>
    <w:rsid w:val="67A140F8"/>
    <w:rsid w:val="67A329E2"/>
    <w:rsid w:val="6800E38C"/>
    <w:rsid w:val="6826AFA5"/>
    <w:rsid w:val="682C97AF"/>
    <w:rsid w:val="683BD90C"/>
    <w:rsid w:val="68472161"/>
    <w:rsid w:val="684E262D"/>
    <w:rsid w:val="68528D5E"/>
    <w:rsid w:val="688EE136"/>
    <w:rsid w:val="68B2B50B"/>
    <w:rsid w:val="68F89FD4"/>
    <w:rsid w:val="690A89E2"/>
    <w:rsid w:val="692F666F"/>
    <w:rsid w:val="699F2E73"/>
    <w:rsid w:val="69A8C8DD"/>
    <w:rsid w:val="69B4E02B"/>
    <w:rsid w:val="69B99F0D"/>
    <w:rsid w:val="69C86810"/>
    <w:rsid w:val="6A0AB528"/>
    <w:rsid w:val="6A0F395B"/>
    <w:rsid w:val="6A696D43"/>
    <w:rsid w:val="6AF8332C"/>
    <w:rsid w:val="6B1DE55A"/>
    <w:rsid w:val="6B463FBE"/>
    <w:rsid w:val="6B99CEE5"/>
    <w:rsid w:val="6BA04AA0"/>
    <w:rsid w:val="6BB42537"/>
    <w:rsid w:val="6C00C72B"/>
    <w:rsid w:val="6C56807D"/>
    <w:rsid w:val="6C91BFBD"/>
    <w:rsid w:val="6CAF4F4B"/>
    <w:rsid w:val="6CBE92AB"/>
    <w:rsid w:val="6CD403C7"/>
    <w:rsid w:val="6D0008D2"/>
    <w:rsid w:val="6D177EBB"/>
    <w:rsid w:val="6D9DC908"/>
    <w:rsid w:val="6DB83D91"/>
    <w:rsid w:val="6DD5C029"/>
    <w:rsid w:val="6DFC6B32"/>
    <w:rsid w:val="6E3052A5"/>
    <w:rsid w:val="6E9BD933"/>
    <w:rsid w:val="6EB3C039"/>
    <w:rsid w:val="6ECA7867"/>
    <w:rsid w:val="6F201989"/>
    <w:rsid w:val="6F67E158"/>
    <w:rsid w:val="6F7D7E49"/>
    <w:rsid w:val="6F878D9B"/>
    <w:rsid w:val="6F87AEA0"/>
    <w:rsid w:val="6FB15338"/>
    <w:rsid w:val="7037A994"/>
    <w:rsid w:val="70557FE7"/>
    <w:rsid w:val="706606EB"/>
    <w:rsid w:val="70861C6D"/>
    <w:rsid w:val="70A2CB3A"/>
    <w:rsid w:val="70E81D23"/>
    <w:rsid w:val="718A6A88"/>
    <w:rsid w:val="71B0ECE0"/>
    <w:rsid w:val="71D379F5"/>
    <w:rsid w:val="72097B8B"/>
    <w:rsid w:val="723E6018"/>
    <w:rsid w:val="725EC0B6"/>
    <w:rsid w:val="732DDF10"/>
    <w:rsid w:val="73670D18"/>
    <w:rsid w:val="736F4A56"/>
    <w:rsid w:val="7374C58D"/>
    <w:rsid w:val="739C63E1"/>
    <w:rsid w:val="73B984F4"/>
    <w:rsid w:val="73D8CEB8"/>
    <w:rsid w:val="73DCE8E8"/>
    <w:rsid w:val="73DDDF6F"/>
    <w:rsid w:val="7460636D"/>
    <w:rsid w:val="74F168FA"/>
    <w:rsid w:val="7507B9FB"/>
    <w:rsid w:val="750DBA44"/>
    <w:rsid w:val="7524C952"/>
    <w:rsid w:val="754351F4"/>
    <w:rsid w:val="754B0211"/>
    <w:rsid w:val="756BC8DA"/>
    <w:rsid w:val="7577CC75"/>
    <w:rsid w:val="7581E2FE"/>
    <w:rsid w:val="758BBDA8"/>
    <w:rsid w:val="75C5461B"/>
    <w:rsid w:val="75E414AD"/>
    <w:rsid w:val="75F99B44"/>
    <w:rsid w:val="7612511F"/>
    <w:rsid w:val="7662231F"/>
    <w:rsid w:val="771846D5"/>
    <w:rsid w:val="7718A789"/>
    <w:rsid w:val="77416DC7"/>
    <w:rsid w:val="77500994"/>
    <w:rsid w:val="7786C13F"/>
    <w:rsid w:val="77A3CF3A"/>
    <w:rsid w:val="7804D060"/>
    <w:rsid w:val="78124C91"/>
    <w:rsid w:val="785A4E08"/>
    <w:rsid w:val="7869D485"/>
    <w:rsid w:val="789A4A4A"/>
    <w:rsid w:val="78DD3E28"/>
    <w:rsid w:val="79370F71"/>
    <w:rsid w:val="7985B936"/>
    <w:rsid w:val="79867C45"/>
    <w:rsid w:val="7987490E"/>
    <w:rsid w:val="79CCF4F6"/>
    <w:rsid w:val="79E024B0"/>
    <w:rsid w:val="7A6D27AE"/>
    <w:rsid w:val="7A9B1AD4"/>
    <w:rsid w:val="7AA1486D"/>
    <w:rsid w:val="7AACBB4D"/>
    <w:rsid w:val="7AE46D4E"/>
    <w:rsid w:val="7AF645ED"/>
    <w:rsid w:val="7B73017E"/>
    <w:rsid w:val="7BAB6E7C"/>
    <w:rsid w:val="7BD495D2"/>
    <w:rsid w:val="7BF4D4AF"/>
    <w:rsid w:val="7C14DEEA"/>
    <w:rsid w:val="7C27DB6D"/>
    <w:rsid w:val="7C48485E"/>
    <w:rsid w:val="7C9DE952"/>
    <w:rsid w:val="7CDF0AB1"/>
    <w:rsid w:val="7D60673A"/>
    <w:rsid w:val="7D60F9F6"/>
    <w:rsid w:val="7D65AE53"/>
    <w:rsid w:val="7DC3DF1A"/>
    <w:rsid w:val="7EA05C89"/>
    <w:rsid w:val="7EC1FDF4"/>
    <w:rsid w:val="7EFBD1F9"/>
    <w:rsid w:val="7F03C1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38B9"/>
  <w15:chartTrackingRefBased/>
  <w15:docId w15:val="{6DDFD78A-7D27-4E60-AD9F-AD181AD5E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561"/>
    <w:pPr>
      <w:widowControl w:val="0"/>
      <w:spacing w:after="0" w:line="240" w:lineRule="auto"/>
      <w:jc w:val="both"/>
    </w:pPr>
    <w:rPr>
      <w:sz w:val="22"/>
    </w:rPr>
  </w:style>
  <w:style w:type="paragraph" w:styleId="Heading1">
    <w:name w:val="heading 1"/>
    <w:basedOn w:val="Normal"/>
    <w:next w:val="Normal"/>
    <w:link w:val="Heading1Char"/>
    <w:uiPriority w:val="9"/>
    <w:qFormat/>
    <w:rsid w:val="0085573E"/>
    <w:pPr>
      <w:keepNext/>
      <w:keepLines/>
      <w:pBdr>
        <w:bottom w:val="single" w:sz="4" w:space="2" w:color="ED7D31" w:themeColor="accent2"/>
      </w:pBdr>
      <w:outlineLvl w:val="0"/>
    </w:pPr>
    <w:rPr>
      <w:rFonts w:asciiTheme="majorHAnsi" w:eastAsiaTheme="majorEastAsia" w:hAnsiTheme="majorHAnsi" w:cstheme="majorBidi"/>
      <w:b/>
      <w:color w:val="262626" w:themeColor="text1" w:themeTint="D9"/>
      <w:sz w:val="24"/>
      <w:szCs w:val="40"/>
    </w:rPr>
  </w:style>
  <w:style w:type="paragraph" w:styleId="Heading2">
    <w:name w:val="heading 2"/>
    <w:basedOn w:val="Normal"/>
    <w:next w:val="Normal"/>
    <w:link w:val="Heading2Char"/>
    <w:uiPriority w:val="9"/>
    <w:unhideWhenUsed/>
    <w:qFormat/>
    <w:rsid w:val="002B33BA"/>
    <w:pPr>
      <w:keepNext/>
      <w:keepLines/>
      <w:spacing w:before="120"/>
      <w:outlineLvl w:val="1"/>
    </w:pPr>
    <w:rPr>
      <w:rFonts w:asciiTheme="majorHAnsi" w:eastAsiaTheme="majorEastAsia" w:hAnsiTheme="majorHAnsi" w:cstheme="majorBidi"/>
      <w:b/>
      <w:color w:val="3E2E00"/>
      <w:sz w:val="24"/>
      <w:szCs w:val="36"/>
    </w:rPr>
  </w:style>
  <w:style w:type="paragraph" w:styleId="Heading3">
    <w:name w:val="heading 3"/>
    <w:basedOn w:val="Normal"/>
    <w:next w:val="Normal"/>
    <w:link w:val="Heading3Char"/>
    <w:uiPriority w:val="9"/>
    <w:unhideWhenUsed/>
    <w:qFormat/>
    <w:rsid w:val="006F4A7C"/>
    <w:pPr>
      <w:keepNext/>
      <w:keepLines/>
      <w:spacing w:before="80"/>
      <w:outlineLvl w:val="2"/>
    </w:pPr>
    <w:rPr>
      <w:rFonts w:asciiTheme="majorHAnsi" w:eastAsiaTheme="majorEastAsia" w:hAnsiTheme="majorHAnsi" w:cstheme="majorBidi"/>
      <w:b/>
      <w:color w:val="C45911" w:themeColor="accent2" w:themeShade="BF"/>
      <w:szCs w:val="32"/>
      <w:u w:val="single"/>
    </w:rPr>
  </w:style>
  <w:style w:type="paragraph" w:styleId="Heading4">
    <w:name w:val="heading 4"/>
    <w:basedOn w:val="Normal"/>
    <w:next w:val="Normal"/>
    <w:link w:val="Heading4Char"/>
    <w:uiPriority w:val="9"/>
    <w:unhideWhenUsed/>
    <w:qFormat/>
    <w:rsid w:val="0092430F"/>
    <w:pPr>
      <w:keepNext/>
      <w:keepLines/>
      <w:spacing w:before="80"/>
      <w:outlineLvl w:val="3"/>
    </w:pPr>
    <w:rPr>
      <w:rFonts w:asciiTheme="majorHAnsi" w:eastAsiaTheme="majorEastAsia" w:hAnsiTheme="majorHAnsi" w:cstheme="majorBidi"/>
      <w:b/>
      <w:i/>
      <w:iCs/>
      <w:color w:val="3383CB"/>
      <w:szCs w:val="28"/>
      <w:u w:val="single"/>
    </w:rPr>
  </w:style>
  <w:style w:type="paragraph" w:styleId="Heading5">
    <w:name w:val="heading 5"/>
    <w:basedOn w:val="Normal"/>
    <w:next w:val="Normal"/>
    <w:link w:val="Heading5Char"/>
    <w:uiPriority w:val="9"/>
    <w:unhideWhenUsed/>
    <w:qFormat/>
    <w:rsid w:val="0085359B"/>
    <w:pPr>
      <w:keepNext/>
      <w:keepLines/>
      <w:spacing w:before="80"/>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85359B"/>
    <w:pPr>
      <w:keepNext/>
      <w:keepLines/>
      <w:spacing w:before="80"/>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85359B"/>
    <w:pPr>
      <w:keepNext/>
      <w:keepLines/>
      <w:spacing w:before="80"/>
      <w:outlineLvl w:val="6"/>
    </w:pPr>
    <w:rPr>
      <w:rFonts w:asciiTheme="majorHAnsi" w:eastAsiaTheme="majorEastAsia" w:hAnsiTheme="majorHAnsi" w:cstheme="majorBidi"/>
      <w:b/>
      <w:bCs/>
      <w:color w:val="833C0B" w:themeColor="accent2" w:themeShade="80"/>
      <w:szCs w:val="22"/>
    </w:rPr>
  </w:style>
  <w:style w:type="paragraph" w:styleId="Heading8">
    <w:name w:val="heading 8"/>
    <w:basedOn w:val="Normal"/>
    <w:next w:val="Normal"/>
    <w:link w:val="Heading8Char"/>
    <w:uiPriority w:val="9"/>
    <w:semiHidden/>
    <w:unhideWhenUsed/>
    <w:qFormat/>
    <w:rsid w:val="0085359B"/>
    <w:pPr>
      <w:keepNext/>
      <w:keepLines/>
      <w:spacing w:before="80"/>
      <w:outlineLvl w:val="7"/>
    </w:pPr>
    <w:rPr>
      <w:rFonts w:asciiTheme="majorHAnsi" w:eastAsiaTheme="majorEastAsia" w:hAnsiTheme="majorHAnsi" w:cstheme="majorBidi"/>
      <w:color w:val="833C0B" w:themeColor="accent2" w:themeShade="80"/>
      <w:szCs w:val="22"/>
    </w:rPr>
  </w:style>
  <w:style w:type="paragraph" w:styleId="Heading9">
    <w:name w:val="heading 9"/>
    <w:basedOn w:val="Normal"/>
    <w:next w:val="Normal"/>
    <w:link w:val="Heading9Char"/>
    <w:uiPriority w:val="9"/>
    <w:semiHidden/>
    <w:unhideWhenUsed/>
    <w:qFormat/>
    <w:rsid w:val="0085359B"/>
    <w:pPr>
      <w:keepNext/>
      <w:keepLines/>
      <w:spacing w:before="80"/>
      <w:outlineLvl w:val="8"/>
    </w:pPr>
    <w:rPr>
      <w:rFonts w:asciiTheme="majorHAnsi" w:eastAsiaTheme="majorEastAsia" w:hAnsiTheme="majorHAnsi" w:cstheme="majorBidi"/>
      <w:i/>
      <w:iCs/>
      <w:color w:val="833C0B" w:themeColor="accent2" w:themeShade="8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573E"/>
    <w:rPr>
      <w:rFonts w:asciiTheme="majorHAnsi" w:eastAsiaTheme="majorEastAsia" w:hAnsiTheme="majorHAnsi" w:cstheme="majorBidi"/>
      <w:b/>
      <w:color w:val="262626" w:themeColor="text1" w:themeTint="D9"/>
      <w:sz w:val="24"/>
      <w:szCs w:val="40"/>
    </w:rPr>
  </w:style>
  <w:style w:type="character" w:customStyle="1" w:styleId="Heading2Char">
    <w:name w:val="Heading 2 Char"/>
    <w:basedOn w:val="DefaultParagraphFont"/>
    <w:link w:val="Heading2"/>
    <w:uiPriority w:val="9"/>
    <w:rsid w:val="002B33BA"/>
    <w:rPr>
      <w:rFonts w:asciiTheme="majorHAnsi" w:eastAsiaTheme="majorEastAsia" w:hAnsiTheme="majorHAnsi" w:cstheme="majorBidi"/>
      <w:b/>
      <w:color w:val="3E2E00"/>
      <w:sz w:val="24"/>
      <w:szCs w:val="36"/>
    </w:rPr>
  </w:style>
  <w:style w:type="character" w:customStyle="1" w:styleId="Heading3Char">
    <w:name w:val="Heading 3 Char"/>
    <w:basedOn w:val="DefaultParagraphFont"/>
    <w:link w:val="Heading3"/>
    <w:uiPriority w:val="9"/>
    <w:rsid w:val="006F4A7C"/>
    <w:rPr>
      <w:rFonts w:asciiTheme="majorHAnsi" w:eastAsiaTheme="majorEastAsia" w:hAnsiTheme="majorHAnsi" w:cstheme="majorBidi"/>
      <w:b/>
      <w:color w:val="C45911" w:themeColor="accent2" w:themeShade="BF"/>
      <w:sz w:val="22"/>
      <w:szCs w:val="32"/>
      <w:u w:val="single"/>
    </w:rPr>
  </w:style>
  <w:style w:type="paragraph" w:styleId="ListParagraph">
    <w:name w:val="List Paragraph"/>
    <w:basedOn w:val="Normal"/>
    <w:uiPriority w:val="34"/>
    <w:qFormat/>
    <w:rsid w:val="000B5663"/>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table" w:styleId="PlainTable2">
    <w:name w:val="Plain Table 2"/>
    <w:basedOn w:val="TableNormal"/>
    <w:uiPriority w:val="42"/>
    <w:rsid w:val="0017127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17127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EB13F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CommentSubject">
    <w:name w:val="annotation subject"/>
    <w:basedOn w:val="CommentText"/>
    <w:next w:val="CommentText"/>
    <w:link w:val="CommentSubjectChar"/>
    <w:uiPriority w:val="99"/>
    <w:semiHidden/>
    <w:unhideWhenUsed/>
    <w:rsid w:val="00E81D32"/>
    <w:rPr>
      <w:b/>
      <w:bCs/>
    </w:rPr>
  </w:style>
  <w:style w:type="character" w:customStyle="1" w:styleId="CommentSubjectChar">
    <w:name w:val="Comment Subject Char"/>
    <w:basedOn w:val="CommentTextChar"/>
    <w:link w:val="CommentSubject"/>
    <w:uiPriority w:val="99"/>
    <w:semiHidden/>
    <w:rsid w:val="00E81D32"/>
    <w:rPr>
      <w:b/>
      <w:bCs/>
      <w:kern w:val="0"/>
      <w:sz w:val="20"/>
      <w:szCs w:val="20"/>
      <w14:ligatures w14:val="none"/>
    </w:rPr>
  </w:style>
  <w:style w:type="table" w:styleId="GridTable4-Accent5">
    <w:name w:val="Grid Table 4 Accent 5"/>
    <w:basedOn w:val="TableNormal"/>
    <w:uiPriority w:val="49"/>
    <w:rsid w:val="000B47B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4">
    <w:name w:val="Grid Table 4 Accent 4"/>
    <w:basedOn w:val="TableNormal"/>
    <w:uiPriority w:val="49"/>
    <w:rsid w:val="00D74A9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2">
    <w:name w:val="Grid Table 4 Accent 2"/>
    <w:basedOn w:val="TableNormal"/>
    <w:uiPriority w:val="49"/>
    <w:rsid w:val="00F30AE8"/>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F30AE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
    <w:name w:val="Grid Table 4"/>
    <w:basedOn w:val="TableNormal"/>
    <w:uiPriority w:val="49"/>
    <w:rsid w:val="00F87F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4Char">
    <w:name w:val="Heading 4 Char"/>
    <w:basedOn w:val="DefaultParagraphFont"/>
    <w:link w:val="Heading4"/>
    <w:uiPriority w:val="9"/>
    <w:rsid w:val="0092430F"/>
    <w:rPr>
      <w:rFonts w:asciiTheme="majorHAnsi" w:eastAsiaTheme="majorEastAsia" w:hAnsiTheme="majorHAnsi" w:cstheme="majorBidi"/>
      <w:b/>
      <w:i/>
      <w:iCs/>
      <w:color w:val="3383CB"/>
      <w:sz w:val="22"/>
      <w:szCs w:val="28"/>
      <w:u w:val="single"/>
    </w:rPr>
  </w:style>
  <w:style w:type="character" w:customStyle="1" w:styleId="Heading5Char">
    <w:name w:val="Heading 5 Char"/>
    <w:basedOn w:val="DefaultParagraphFont"/>
    <w:link w:val="Heading5"/>
    <w:uiPriority w:val="9"/>
    <w:rsid w:val="0085359B"/>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85359B"/>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85359B"/>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85359B"/>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85359B"/>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85359B"/>
    <w:rPr>
      <w:b/>
      <w:bCs/>
      <w:color w:val="404040" w:themeColor="text1" w:themeTint="BF"/>
      <w:sz w:val="16"/>
      <w:szCs w:val="16"/>
    </w:rPr>
  </w:style>
  <w:style w:type="paragraph" w:styleId="Title">
    <w:name w:val="Title"/>
    <w:basedOn w:val="Normal"/>
    <w:next w:val="Normal"/>
    <w:link w:val="TitleChar"/>
    <w:uiPriority w:val="10"/>
    <w:qFormat/>
    <w:rsid w:val="0066433E"/>
    <w:pPr>
      <w:pBdr>
        <w:bottom w:val="single" w:sz="4" w:space="1" w:color="auto"/>
      </w:pBdr>
    </w:pPr>
    <w:rPr>
      <w:rFonts w:asciiTheme="majorHAnsi" w:eastAsiaTheme="majorEastAsia" w:hAnsiTheme="majorHAnsi" w:cstheme="majorBidi"/>
      <w:color w:val="262626" w:themeColor="text1" w:themeTint="D9"/>
      <w:sz w:val="28"/>
      <w:szCs w:val="96"/>
    </w:rPr>
  </w:style>
  <w:style w:type="character" w:customStyle="1" w:styleId="TitleChar">
    <w:name w:val="Title Char"/>
    <w:basedOn w:val="DefaultParagraphFont"/>
    <w:link w:val="Title"/>
    <w:uiPriority w:val="10"/>
    <w:rsid w:val="0066433E"/>
    <w:rPr>
      <w:rFonts w:asciiTheme="majorHAnsi" w:eastAsiaTheme="majorEastAsia" w:hAnsiTheme="majorHAnsi" w:cstheme="majorBidi"/>
      <w:color w:val="262626" w:themeColor="text1" w:themeTint="D9"/>
      <w:sz w:val="28"/>
      <w:szCs w:val="96"/>
    </w:rPr>
  </w:style>
  <w:style w:type="paragraph" w:styleId="Subtitle">
    <w:name w:val="Subtitle"/>
    <w:basedOn w:val="Normal"/>
    <w:next w:val="Normal"/>
    <w:link w:val="SubtitleChar"/>
    <w:uiPriority w:val="11"/>
    <w:qFormat/>
    <w:rsid w:val="0085359B"/>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85359B"/>
    <w:rPr>
      <w:caps/>
      <w:color w:val="404040" w:themeColor="text1" w:themeTint="BF"/>
      <w:spacing w:val="20"/>
      <w:sz w:val="28"/>
      <w:szCs w:val="28"/>
    </w:rPr>
  </w:style>
  <w:style w:type="character" w:styleId="Strong">
    <w:name w:val="Strong"/>
    <w:basedOn w:val="DefaultParagraphFont"/>
    <w:uiPriority w:val="22"/>
    <w:qFormat/>
    <w:rsid w:val="0085359B"/>
    <w:rPr>
      <w:b/>
      <w:bCs/>
    </w:rPr>
  </w:style>
  <w:style w:type="character" w:styleId="Emphasis">
    <w:name w:val="Emphasis"/>
    <w:basedOn w:val="DefaultParagraphFont"/>
    <w:uiPriority w:val="20"/>
    <w:qFormat/>
    <w:rsid w:val="0085359B"/>
    <w:rPr>
      <w:i/>
      <w:iCs/>
      <w:color w:val="000000" w:themeColor="text1"/>
    </w:rPr>
  </w:style>
  <w:style w:type="paragraph" w:styleId="NoSpacing">
    <w:name w:val="No Spacing"/>
    <w:uiPriority w:val="1"/>
    <w:qFormat/>
    <w:rsid w:val="0085359B"/>
    <w:pPr>
      <w:spacing w:after="0" w:line="240" w:lineRule="auto"/>
    </w:pPr>
  </w:style>
  <w:style w:type="paragraph" w:styleId="Quote">
    <w:name w:val="Quote"/>
    <w:basedOn w:val="Normal"/>
    <w:next w:val="Normal"/>
    <w:link w:val="QuoteChar"/>
    <w:uiPriority w:val="29"/>
    <w:qFormat/>
    <w:rsid w:val="0085359B"/>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85359B"/>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85359B"/>
    <w:pPr>
      <w:pBdr>
        <w:top w:val="single" w:sz="24" w:space="4" w:color="ED7D31" w:themeColor="accent2"/>
      </w:pBdr>
      <w:spacing w:before="240" w:after="240"/>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85359B"/>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85359B"/>
    <w:rPr>
      <w:i/>
      <w:iCs/>
      <w:color w:val="595959" w:themeColor="text1" w:themeTint="A6"/>
    </w:rPr>
  </w:style>
  <w:style w:type="character" w:styleId="IntenseEmphasis">
    <w:name w:val="Intense Emphasis"/>
    <w:basedOn w:val="DefaultParagraphFont"/>
    <w:uiPriority w:val="21"/>
    <w:qFormat/>
    <w:rsid w:val="0085359B"/>
    <w:rPr>
      <w:b/>
      <w:bCs/>
      <w:i/>
      <w:iCs/>
      <w:caps w:val="0"/>
      <w:smallCaps w:val="0"/>
      <w:strike w:val="0"/>
      <w:dstrike w:val="0"/>
      <w:color w:val="ED7D31" w:themeColor="accent2"/>
    </w:rPr>
  </w:style>
  <w:style w:type="character" w:styleId="SubtleReference">
    <w:name w:val="Subtle Reference"/>
    <w:basedOn w:val="DefaultParagraphFont"/>
    <w:uiPriority w:val="31"/>
    <w:qFormat/>
    <w:rsid w:val="0085359B"/>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85359B"/>
    <w:rPr>
      <w:b/>
      <w:bCs/>
      <w:caps w:val="0"/>
      <w:smallCaps/>
      <w:color w:val="auto"/>
      <w:spacing w:val="0"/>
      <w:u w:val="single"/>
    </w:rPr>
  </w:style>
  <w:style w:type="character" w:styleId="BookTitle">
    <w:name w:val="Book Title"/>
    <w:basedOn w:val="DefaultParagraphFont"/>
    <w:uiPriority w:val="33"/>
    <w:qFormat/>
    <w:rsid w:val="0085359B"/>
    <w:rPr>
      <w:b/>
      <w:bCs/>
      <w:caps w:val="0"/>
      <w:smallCaps/>
      <w:spacing w:val="0"/>
    </w:rPr>
  </w:style>
  <w:style w:type="paragraph" w:styleId="TOCHeading">
    <w:name w:val="TOC Heading"/>
    <w:basedOn w:val="Heading1"/>
    <w:next w:val="Normal"/>
    <w:uiPriority w:val="39"/>
    <w:semiHidden/>
    <w:unhideWhenUsed/>
    <w:qFormat/>
    <w:rsid w:val="0085359B"/>
    <w:pPr>
      <w:outlineLvl w:val="9"/>
    </w:pPr>
  </w:style>
  <w:style w:type="table" w:styleId="GridTable1Light-Accent6">
    <w:name w:val="Grid Table 1 Light Accent 6"/>
    <w:basedOn w:val="TableNormal"/>
    <w:uiPriority w:val="46"/>
    <w:rsid w:val="009B3C53"/>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Accent6">
    <w:name w:val="Grid Table 2 Accent 6"/>
    <w:basedOn w:val="TableNormal"/>
    <w:uiPriority w:val="47"/>
    <w:rsid w:val="009B3C53"/>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6Colorful-Accent6">
    <w:name w:val="Grid Table 6 Colorful Accent 6"/>
    <w:basedOn w:val="TableNormal"/>
    <w:uiPriority w:val="51"/>
    <w:rsid w:val="009B3C53"/>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yperlink">
    <w:name w:val="Hyperlink"/>
    <w:basedOn w:val="DefaultParagraphFont"/>
    <w:uiPriority w:val="99"/>
    <w:semiHidden/>
    <w:unhideWhenUsed/>
    <w:rsid w:val="00E37D5D"/>
    <w:rPr>
      <w:color w:val="0563C1"/>
      <w:u w:val="single"/>
    </w:rPr>
  </w:style>
  <w:style w:type="paragraph" w:customStyle="1" w:styleId="paragraph">
    <w:name w:val="paragraph"/>
    <w:basedOn w:val="Normal"/>
    <w:rsid w:val="00C575D4"/>
    <w:pPr>
      <w:widowControl/>
      <w:spacing w:before="100" w:beforeAutospacing="1" w:after="100" w:afterAutospacing="1"/>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C575D4"/>
  </w:style>
  <w:style w:type="character" w:customStyle="1" w:styleId="eop">
    <w:name w:val="eop"/>
    <w:basedOn w:val="DefaultParagraphFont"/>
    <w:rsid w:val="00C575D4"/>
  </w:style>
  <w:style w:type="paragraph" w:styleId="Header">
    <w:name w:val="header"/>
    <w:basedOn w:val="Normal"/>
    <w:link w:val="HeaderChar"/>
    <w:uiPriority w:val="99"/>
    <w:unhideWhenUsed/>
    <w:rsid w:val="007D599A"/>
    <w:pPr>
      <w:tabs>
        <w:tab w:val="center" w:pos="4680"/>
        <w:tab w:val="right" w:pos="9360"/>
      </w:tabs>
    </w:pPr>
  </w:style>
  <w:style w:type="character" w:customStyle="1" w:styleId="HeaderChar">
    <w:name w:val="Header Char"/>
    <w:basedOn w:val="DefaultParagraphFont"/>
    <w:link w:val="Header"/>
    <w:uiPriority w:val="99"/>
    <w:rsid w:val="003927AA"/>
    <w:rPr>
      <w:sz w:val="22"/>
    </w:rPr>
  </w:style>
  <w:style w:type="paragraph" w:styleId="Footer">
    <w:name w:val="footer"/>
    <w:basedOn w:val="Normal"/>
    <w:link w:val="FooterChar"/>
    <w:uiPriority w:val="99"/>
    <w:unhideWhenUsed/>
    <w:rsid w:val="007D599A"/>
    <w:pPr>
      <w:tabs>
        <w:tab w:val="center" w:pos="4680"/>
        <w:tab w:val="right" w:pos="9360"/>
      </w:tabs>
    </w:pPr>
  </w:style>
  <w:style w:type="character" w:customStyle="1" w:styleId="FooterChar">
    <w:name w:val="Footer Char"/>
    <w:basedOn w:val="DefaultParagraphFont"/>
    <w:link w:val="Footer"/>
    <w:uiPriority w:val="99"/>
    <w:rsid w:val="003927AA"/>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8169">
      <w:bodyDiv w:val="1"/>
      <w:marLeft w:val="0"/>
      <w:marRight w:val="0"/>
      <w:marTop w:val="0"/>
      <w:marBottom w:val="0"/>
      <w:divBdr>
        <w:top w:val="none" w:sz="0" w:space="0" w:color="auto"/>
        <w:left w:val="none" w:sz="0" w:space="0" w:color="auto"/>
        <w:bottom w:val="none" w:sz="0" w:space="0" w:color="auto"/>
        <w:right w:val="none" w:sz="0" w:space="0" w:color="auto"/>
      </w:divBdr>
    </w:div>
    <w:div w:id="27805773">
      <w:bodyDiv w:val="1"/>
      <w:marLeft w:val="0"/>
      <w:marRight w:val="0"/>
      <w:marTop w:val="0"/>
      <w:marBottom w:val="0"/>
      <w:divBdr>
        <w:top w:val="none" w:sz="0" w:space="0" w:color="auto"/>
        <w:left w:val="none" w:sz="0" w:space="0" w:color="auto"/>
        <w:bottom w:val="none" w:sz="0" w:space="0" w:color="auto"/>
        <w:right w:val="none" w:sz="0" w:space="0" w:color="auto"/>
      </w:divBdr>
    </w:div>
    <w:div w:id="85004178">
      <w:bodyDiv w:val="1"/>
      <w:marLeft w:val="0"/>
      <w:marRight w:val="0"/>
      <w:marTop w:val="0"/>
      <w:marBottom w:val="0"/>
      <w:divBdr>
        <w:top w:val="none" w:sz="0" w:space="0" w:color="auto"/>
        <w:left w:val="none" w:sz="0" w:space="0" w:color="auto"/>
        <w:bottom w:val="none" w:sz="0" w:space="0" w:color="auto"/>
        <w:right w:val="none" w:sz="0" w:space="0" w:color="auto"/>
      </w:divBdr>
    </w:div>
    <w:div w:id="156266660">
      <w:bodyDiv w:val="1"/>
      <w:marLeft w:val="0"/>
      <w:marRight w:val="0"/>
      <w:marTop w:val="0"/>
      <w:marBottom w:val="0"/>
      <w:divBdr>
        <w:top w:val="none" w:sz="0" w:space="0" w:color="auto"/>
        <w:left w:val="none" w:sz="0" w:space="0" w:color="auto"/>
        <w:bottom w:val="none" w:sz="0" w:space="0" w:color="auto"/>
        <w:right w:val="none" w:sz="0" w:space="0" w:color="auto"/>
      </w:divBdr>
      <w:divsChild>
        <w:div w:id="7029573">
          <w:marLeft w:val="0"/>
          <w:marRight w:val="0"/>
          <w:marTop w:val="0"/>
          <w:marBottom w:val="0"/>
          <w:divBdr>
            <w:top w:val="none" w:sz="0" w:space="0" w:color="auto"/>
            <w:left w:val="none" w:sz="0" w:space="0" w:color="auto"/>
            <w:bottom w:val="none" w:sz="0" w:space="0" w:color="auto"/>
            <w:right w:val="none" w:sz="0" w:space="0" w:color="auto"/>
          </w:divBdr>
          <w:divsChild>
            <w:div w:id="1933735761">
              <w:marLeft w:val="0"/>
              <w:marRight w:val="0"/>
              <w:marTop w:val="0"/>
              <w:marBottom w:val="0"/>
              <w:divBdr>
                <w:top w:val="none" w:sz="0" w:space="0" w:color="auto"/>
                <w:left w:val="none" w:sz="0" w:space="0" w:color="auto"/>
                <w:bottom w:val="none" w:sz="0" w:space="0" w:color="auto"/>
                <w:right w:val="none" w:sz="0" w:space="0" w:color="auto"/>
              </w:divBdr>
            </w:div>
          </w:divsChild>
        </w:div>
        <w:div w:id="59988462">
          <w:marLeft w:val="0"/>
          <w:marRight w:val="0"/>
          <w:marTop w:val="0"/>
          <w:marBottom w:val="0"/>
          <w:divBdr>
            <w:top w:val="none" w:sz="0" w:space="0" w:color="auto"/>
            <w:left w:val="none" w:sz="0" w:space="0" w:color="auto"/>
            <w:bottom w:val="none" w:sz="0" w:space="0" w:color="auto"/>
            <w:right w:val="none" w:sz="0" w:space="0" w:color="auto"/>
          </w:divBdr>
          <w:divsChild>
            <w:div w:id="1635714609">
              <w:marLeft w:val="0"/>
              <w:marRight w:val="0"/>
              <w:marTop w:val="0"/>
              <w:marBottom w:val="0"/>
              <w:divBdr>
                <w:top w:val="none" w:sz="0" w:space="0" w:color="auto"/>
                <w:left w:val="none" w:sz="0" w:space="0" w:color="auto"/>
                <w:bottom w:val="none" w:sz="0" w:space="0" w:color="auto"/>
                <w:right w:val="none" w:sz="0" w:space="0" w:color="auto"/>
              </w:divBdr>
            </w:div>
          </w:divsChild>
        </w:div>
        <w:div w:id="174152174">
          <w:marLeft w:val="0"/>
          <w:marRight w:val="0"/>
          <w:marTop w:val="0"/>
          <w:marBottom w:val="0"/>
          <w:divBdr>
            <w:top w:val="none" w:sz="0" w:space="0" w:color="auto"/>
            <w:left w:val="none" w:sz="0" w:space="0" w:color="auto"/>
            <w:bottom w:val="none" w:sz="0" w:space="0" w:color="auto"/>
            <w:right w:val="none" w:sz="0" w:space="0" w:color="auto"/>
          </w:divBdr>
          <w:divsChild>
            <w:div w:id="1367827253">
              <w:marLeft w:val="0"/>
              <w:marRight w:val="0"/>
              <w:marTop w:val="0"/>
              <w:marBottom w:val="0"/>
              <w:divBdr>
                <w:top w:val="none" w:sz="0" w:space="0" w:color="auto"/>
                <w:left w:val="none" w:sz="0" w:space="0" w:color="auto"/>
                <w:bottom w:val="none" w:sz="0" w:space="0" w:color="auto"/>
                <w:right w:val="none" w:sz="0" w:space="0" w:color="auto"/>
              </w:divBdr>
            </w:div>
          </w:divsChild>
        </w:div>
        <w:div w:id="219176495">
          <w:marLeft w:val="0"/>
          <w:marRight w:val="0"/>
          <w:marTop w:val="0"/>
          <w:marBottom w:val="0"/>
          <w:divBdr>
            <w:top w:val="none" w:sz="0" w:space="0" w:color="auto"/>
            <w:left w:val="none" w:sz="0" w:space="0" w:color="auto"/>
            <w:bottom w:val="none" w:sz="0" w:space="0" w:color="auto"/>
            <w:right w:val="none" w:sz="0" w:space="0" w:color="auto"/>
          </w:divBdr>
          <w:divsChild>
            <w:div w:id="848300480">
              <w:marLeft w:val="0"/>
              <w:marRight w:val="0"/>
              <w:marTop w:val="0"/>
              <w:marBottom w:val="0"/>
              <w:divBdr>
                <w:top w:val="none" w:sz="0" w:space="0" w:color="auto"/>
                <w:left w:val="none" w:sz="0" w:space="0" w:color="auto"/>
                <w:bottom w:val="none" w:sz="0" w:space="0" w:color="auto"/>
                <w:right w:val="none" w:sz="0" w:space="0" w:color="auto"/>
              </w:divBdr>
            </w:div>
          </w:divsChild>
        </w:div>
        <w:div w:id="294335759">
          <w:marLeft w:val="0"/>
          <w:marRight w:val="0"/>
          <w:marTop w:val="0"/>
          <w:marBottom w:val="0"/>
          <w:divBdr>
            <w:top w:val="none" w:sz="0" w:space="0" w:color="auto"/>
            <w:left w:val="none" w:sz="0" w:space="0" w:color="auto"/>
            <w:bottom w:val="none" w:sz="0" w:space="0" w:color="auto"/>
            <w:right w:val="none" w:sz="0" w:space="0" w:color="auto"/>
          </w:divBdr>
          <w:divsChild>
            <w:div w:id="1375302878">
              <w:marLeft w:val="0"/>
              <w:marRight w:val="0"/>
              <w:marTop w:val="0"/>
              <w:marBottom w:val="0"/>
              <w:divBdr>
                <w:top w:val="none" w:sz="0" w:space="0" w:color="auto"/>
                <w:left w:val="none" w:sz="0" w:space="0" w:color="auto"/>
                <w:bottom w:val="none" w:sz="0" w:space="0" w:color="auto"/>
                <w:right w:val="none" w:sz="0" w:space="0" w:color="auto"/>
              </w:divBdr>
            </w:div>
          </w:divsChild>
        </w:div>
        <w:div w:id="414323883">
          <w:marLeft w:val="0"/>
          <w:marRight w:val="0"/>
          <w:marTop w:val="0"/>
          <w:marBottom w:val="0"/>
          <w:divBdr>
            <w:top w:val="none" w:sz="0" w:space="0" w:color="auto"/>
            <w:left w:val="none" w:sz="0" w:space="0" w:color="auto"/>
            <w:bottom w:val="none" w:sz="0" w:space="0" w:color="auto"/>
            <w:right w:val="none" w:sz="0" w:space="0" w:color="auto"/>
          </w:divBdr>
          <w:divsChild>
            <w:div w:id="396710251">
              <w:marLeft w:val="0"/>
              <w:marRight w:val="0"/>
              <w:marTop w:val="0"/>
              <w:marBottom w:val="0"/>
              <w:divBdr>
                <w:top w:val="none" w:sz="0" w:space="0" w:color="auto"/>
                <w:left w:val="none" w:sz="0" w:space="0" w:color="auto"/>
                <w:bottom w:val="none" w:sz="0" w:space="0" w:color="auto"/>
                <w:right w:val="none" w:sz="0" w:space="0" w:color="auto"/>
              </w:divBdr>
            </w:div>
          </w:divsChild>
        </w:div>
        <w:div w:id="446197663">
          <w:marLeft w:val="0"/>
          <w:marRight w:val="0"/>
          <w:marTop w:val="0"/>
          <w:marBottom w:val="0"/>
          <w:divBdr>
            <w:top w:val="none" w:sz="0" w:space="0" w:color="auto"/>
            <w:left w:val="none" w:sz="0" w:space="0" w:color="auto"/>
            <w:bottom w:val="none" w:sz="0" w:space="0" w:color="auto"/>
            <w:right w:val="none" w:sz="0" w:space="0" w:color="auto"/>
          </w:divBdr>
          <w:divsChild>
            <w:div w:id="741176495">
              <w:marLeft w:val="0"/>
              <w:marRight w:val="0"/>
              <w:marTop w:val="0"/>
              <w:marBottom w:val="0"/>
              <w:divBdr>
                <w:top w:val="none" w:sz="0" w:space="0" w:color="auto"/>
                <w:left w:val="none" w:sz="0" w:space="0" w:color="auto"/>
                <w:bottom w:val="none" w:sz="0" w:space="0" w:color="auto"/>
                <w:right w:val="none" w:sz="0" w:space="0" w:color="auto"/>
              </w:divBdr>
            </w:div>
          </w:divsChild>
        </w:div>
        <w:div w:id="503252153">
          <w:marLeft w:val="0"/>
          <w:marRight w:val="0"/>
          <w:marTop w:val="0"/>
          <w:marBottom w:val="0"/>
          <w:divBdr>
            <w:top w:val="none" w:sz="0" w:space="0" w:color="auto"/>
            <w:left w:val="none" w:sz="0" w:space="0" w:color="auto"/>
            <w:bottom w:val="none" w:sz="0" w:space="0" w:color="auto"/>
            <w:right w:val="none" w:sz="0" w:space="0" w:color="auto"/>
          </w:divBdr>
          <w:divsChild>
            <w:div w:id="1237933770">
              <w:marLeft w:val="0"/>
              <w:marRight w:val="0"/>
              <w:marTop w:val="0"/>
              <w:marBottom w:val="0"/>
              <w:divBdr>
                <w:top w:val="none" w:sz="0" w:space="0" w:color="auto"/>
                <w:left w:val="none" w:sz="0" w:space="0" w:color="auto"/>
                <w:bottom w:val="none" w:sz="0" w:space="0" w:color="auto"/>
                <w:right w:val="none" w:sz="0" w:space="0" w:color="auto"/>
              </w:divBdr>
            </w:div>
          </w:divsChild>
        </w:div>
        <w:div w:id="552232134">
          <w:marLeft w:val="0"/>
          <w:marRight w:val="0"/>
          <w:marTop w:val="0"/>
          <w:marBottom w:val="0"/>
          <w:divBdr>
            <w:top w:val="none" w:sz="0" w:space="0" w:color="auto"/>
            <w:left w:val="none" w:sz="0" w:space="0" w:color="auto"/>
            <w:bottom w:val="none" w:sz="0" w:space="0" w:color="auto"/>
            <w:right w:val="none" w:sz="0" w:space="0" w:color="auto"/>
          </w:divBdr>
          <w:divsChild>
            <w:div w:id="55781660">
              <w:marLeft w:val="0"/>
              <w:marRight w:val="0"/>
              <w:marTop w:val="0"/>
              <w:marBottom w:val="0"/>
              <w:divBdr>
                <w:top w:val="none" w:sz="0" w:space="0" w:color="auto"/>
                <w:left w:val="none" w:sz="0" w:space="0" w:color="auto"/>
                <w:bottom w:val="none" w:sz="0" w:space="0" w:color="auto"/>
                <w:right w:val="none" w:sz="0" w:space="0" w:color="auto"/>
              </w:divBdr>
            </w:div>
          </w:divsChild>
        </w:div>
        <w:div w:id="554438662">
          <w:marLeft w:val="0"/>
          <w:marRight w:val="0"/>
          <w:marTop w:val="0"/>
          <w:marBottom w:val="0"/>
          <w:divBdr>
            <w:top w:val="none" w:sz="0" w:space="0" w:color="auto"/>
            <w:left w:val="none" w:sz="0" w:space="0" w:color="auto"/>
            <w:bottom w:val="none" w:sz="0" w:space="0" w:color="auto"/>
            <w:right w:val="none" w:sz="0" w:space="0" w:color="auto"/>
          </w:divBdr>
          <w:divsChild>
            <w:div w:id="409156243">
              <w:marLeft w:val="0"/>
              <w:marRight w:val="0"/>
              <w:marTop w:val="0"/>
              <w:marBottom w:val="0"/>
              <w:divBdr>
                <w:top w:val="none" w:sz="0" w:space="0" w:color="auto"/>
                <w:left w:val="none" w:sz="0" w:space="0" w:color="auto"/>
                <w:bottom w:val="none" w:sz="0" w:space="0" w:color="auto"/>
                <w:right w:val="none" w:sz="0" w:space="0" w:color="auto"/>
              </w:divBdr>
            </w:div>
          </w:divsChild>
        </w:div>
        <w:div w:id="580868877">
          <w:marLeft w:val="0"/>
          <w:marRight w:val="0"/>
          <w:marTop w:val="0"/>
          <w:marBottom w:val="0"/>
          <w:divBdr>
            <w:top w:val="none" w:sz="0" w:space="0" w:color="auto"/>
            <w:left w:val="none" w:sz="0" w:space="0" w:color="auto"/>
            <w:bottom w:val="none" w:sz="0" w:space="0" w:color="auto"/>
            <w:right w:val="none" w:sz="0" w:space="0" w:color="auto"/>
          </w:divBdr>
          <w:divsChild>
            <w:div w:id="1296907566">
              <w:marLeft w:val="0"/>
              <w:marRight w:val="0"/>
              <w:marTop w:val="0"/>
              <w:marBottom w:val="0"/>
              <w:divBdr>
                <w:top w:val="none" w:sz="0" w:space="0" w:color="auto"/>
                <w:left w:val="none" w:sz="0" w:space="0" w:color="auto"/>
                <w:bottom w:val="none" w:sz="0" w:space="0" w:color="auto"/>
                <w:right w:val="none" w:sz="0" w:space="0" w:color="auto"/>
              </w:divBdr>
            </w:div>
          </w:divsChild>
        </w:div>
        <w:div w:id="616791374">
          <w:marLeft w:val="0"/>
          <w:marRight w:val="0"/>
          <w:marTop w:val="0"/>
          <w:marBottom w:val="0"/>
          <w:divBdr>
            <w:top w:val="none" w:sz="0" w:space="0" w:color="auto"/>
            <w:left w:val="none" w:sz="0" w:space="0" w:color="auto"/>
            <w:bottom w:val="none" w:sz="0" w:space="0" w:color="auto"/>
            <w:right w:val="none" w:sz="0" w:space="0" w:color="auto"/>
          </w:divBdr>
          <w:divsChild>
            <w:div w:id="1657030762">
              <w:marLeft w:val="0"/>
              <w:marRight w:val="0"/>
              <w:marTop w:val="0"/>
              <w:marBottom w:val="0"/>
              <w:divBdr>
                <w:top w:val="none" w:sz="0" w:space="0" w:color="auto"/>
                <w:left w:val="none" w:sz="0" w:space="0" w:color="auto"/>
                <w:bottom w:val="none" w:sz="0" w:space="0" w:color="auto"/>
                <w:right w:val="none" w:sz="0" w:space="0" w:color="auto"/>
              </w:divBdr>
            </w:div>
          </w:divsChild>
        </w:div>
        <w:div w:id="625043470">
          <w:marLeft w:val="0"/>
          <w:marRight w:val="0"/>
          <w:marTop w:val="0"/>
          <w:marBottom w:val="0"/>
          <w:divBdr>
            <w:top w:val="none" w:sz="0" w:space="0" w:color="auto"/>
            <w:left w:val="none" w:sz="0" w:space="0" w:color="auto"/>
            <w:bottom w:val="none" w:sz="0" w:space="0" w:color="auto"/>
            <w:right w:val="none" w:sz="0" w:space="0" w:color="auto"/>
          </w:divBdr>
          <w:divsChild>
            <w:div w:id="896353222">
              <w:marLeft w:val="0"/>
              <w:marRight w:val="0"/>
              <w:marTop w:val="0"/>
              <w:marBottom w:val="0"/>
              <w:divBdr>
                <w:top w:val="none" w:sz="0" w:space="0" w:color="auto"/>
                <w:left w:val="none" w:sz="0" w:space="0" w:color="auto"/>
                <w:bottom w:val="none" w:sz="0" w:space="0" w:color="auto"/>
                <w:right w:val="none" w:sz="0" w:space="0" w:color="auto"/>
              </w:divBdr>
            </w:div>
          </w:divsChild>
        </w:div>
        <w:div w:id="635916829">
          <w:marLeft w:val="0"/>
          <w:marRight w:val="0"/>
          <w:marTop w:val="0"/>
          <w:marBottom w:val="0"/>
          <w:divBdr>
            <w:top w:val="none" w:sz="0" w:space="0" w:color="auto"/>
            <w:left w:val="none" w:sz="0" w:space="0" w:color="auto"/>
            <w:bottom w:val="none" w:sz="0" w:space="0" w:color="auto"/>
            <w:right w:val="none" w:sz="0" w:space="0" w:color="auto"/>
          </w:divBdr>
          <w:divsChild>
            <w:div w:id="2027628798">
              <w:marLeft w:val="0"/>
              <w:marRight w:val="0"/>
              <w:marTop w:val="0"/>
              <w:marBottom w:val="0"/>
              <w:divBdr>
                <w:top w:val="none" w:sz="0" w:space="0" w:color="auto"/>
                <w:left w:val="none" w:sz="0" w:space="0" w:color="auto"/>
                <w:bottom w:val="none" w:sz="0" w:space="0" w:color="auto"/>
                <w:right w:val="none" w:sz="0" w:space="0" w:color="auto"/>
              </w:divBdr>
            </w:div>
          </w:divsChild>
        </w:div>
        <w:div w:id="770903641">
          <w:marLeft w:val="0"/>
          <w:marRight w:val="0"/>
          <w:marTop w:val="0"/>
          <w:marBottom w:val="0"/>
          <w:divBdr>
            <w:top w:val="none" w:sz="0" w:space="0" w:color="auto"/>
            <w:left w:val="none" w:sz="0" w:space="0" w:color="auto"/>
            <w:bottom w:val="none" w:sz="0" w:space="0" w:color="auto"/>
            <w:right w:val="none" w:sz="0" w:space="0" w:color="auto"/>
          </w:divBdr>
          <w:divsChild>
            <w:div w:id="1574699162">
              <w:marLeft w:val="0"/>
              <w:marRight w:val="0"/>
              <w:marTop w:val="0"/>
              <w:marBottom w:val="0"/>
              <w:divBdr>
                <w:top w:val="none" w:sz="0" w:space="0" w:color="auto"/>
                <w:left w:val="none" w:sz="0" w:space="0" w:color="auto"/>
                <w:bottom w:val="none" w:sz="0" w:space="0" w:color="auto"/>
                <w:right w:val="none" w:sz="0" w:space="0" w:color="auto"/>
              </w:divBdr>
            </w:div>
          </w:divsChild>
        </w:div>
        <w:div w:id="846022565">
          <w:marLeft w:val="0"/>
          <w:marRight w:val="0"/>
          <w:marTop w:val="0"/>
          <w:marBottom w:val="0"/>
          <w:divBdr>
            <w:top w:val="none" w:sz="0" w:space="0" w:color="auto"/>
            <w:left w:val="none" w:sz="0" w:space="0" w:color="auto"/>
            <w:bottom w:val="none" w:sz="0" w:space="0" w:color="auto"/>
            <w:right w:val="none" w:sz="0" w:space="0" w:color="auto"/>
          </w:divBdr>
          <w:divsChild>
            <w:div w:id="644506382">
              <w:marLeft w:val="0"/>
              <w:marRight w:val="0"/>
              <w:marTop w:val="0"/>
              <w:marBottom w:val="0"/>
              <w:divBdr>
                <w:top w:val="none" w:sz="0" w:space="0" w:color="auto"/>
                <w:left w:val="none" w:sz="0" w:space="0" w:color="auto"/>
                <w:bottom w:val="none" w:sz="0" w:space="0" w:color="auto"/>
                <w:right w:val="none" w:sz="0" w:space="0" w:color="auto"/>
              </w:divBdr>
            </w:div>
          </w:divsChild>
        </w:div>
        <w:div w:id="875390794">
          <w:marLeft w:val="0"/>
          <w:marRight w:val="0"/>
          <w:marTop w:val="0"/>
          <w:marBottom w:val="0"/>
          <w:divBdr>
            <w:top w:val="none" w:sz="0" w:space="0" w:color="auto"/>
            <w:left w:val="none" w:sz="0" w:space="0" w:color="auto"/>
            <w:bottom w:val="none" w:sz="0" w:space="0" w:color="auto"/>
            <w:right w:val="none" w:sz="0" w:space="0" w:color="auto"/>
          </w:divBdr>
          <w:divsChild>
            <w:div w:id="1375891141">
              <w:marLeft w:val="0"/>
              <w:marRight w:val="0"/>
              <w:marTop w:val="0"/>
              <w:marBottom w:val="0"/>
              <w:divBdr>
                <w:top w:val="none" w:sz="0" w:space="0" w:color="auto"/>
                <w:left w:val="none" w:sz="0" w:space="0" w:color="auto"/>
                <w:bottom w:val="none" w:sz="0" w:space="0" w:color="auto"/>
                <w:right w:val="none" w:sz="0" w:space="0" w:color="auto"/>
              </w:divBdr>
            </w:div>
          </w:divsChild>
        </w:div>
        <w:div w:id="955910568">
          <w:marLeft w:val="0"/>
          <w:marRight w:val="0"/>
          <w:marTop w:val="0"/>
          <w:marBottom w:val="0"/>
          <w:divBdr>
            <w:top w:val="none" w:sz="0" w:space="0" w:color="auto"/>
            <w:left w:val="none" w:sz="0" w:space="0" w:color="auto"/>
            <w:bottom w:val="none" w:sz="0" w:space="0" w:color="auto"/>
            <w:right w:val="none" w:sz="0" w:space="0" w:color="auto"/>
          </w:divBdr>
          <w:divsChild>
            <w:div w:id="701593006">
              <w:marLeft w:val="0"/>
              <w:marRight w:val="0"/>
              <w:marTop w:val="0"/>
              <w:marBottom w:val="0"/>
              <w:divBdr>
                <w:top w:val="none" w:sz="0" w:space="0" w:color="auto"/>
                <w:left w:val="none" w:sz="0" w:space="0" w:color="auto"/>
                <w:bottom w:val="none" w:sz="0" w:space="0" w:color="auto"/>
                <w:right w:val="none" w:sz="0" w:space="0" w:color="auto"/>
              </w:divBdr>
            </w:div>
          </w:divsChild>
        </w:div>
        <w:div w:id="1010717602">
          <w:marLeft w:val="0"/>
          <w:marRight w:val="0"/>
          <w:marTop w:val="0"/>
          <w:marBottom w:val="0"/>
          <w:divBdr>
            <w:top w:val="none" w:sz="0" w:space="0" w:color="auto"/>
            <w:left w:val="none" w:sz="0" w:space="0" w:color="auto"/>
            <w:bottom w:val="none" w:sz="0" w:space="0" w:color="auto"/>
            <w:right w:val="none" w:sz="0" w:space="0" w:color="auto"/>
          </w:divBdr>
          <w:divsChild>
            <w:div w:id="2049984088">
              <w:marLeft w:val="0"/>
              <w:marRight w:val="0"/>
              <w:marTop w:val="0"/>
              <w:marBottom w:val="0"/>
              <w:divBdr>
                <w:top w:val="none" w:sz="0" w:space="0" w:color="auto"/>
                <w:left w:val="none" w:sz="0" w:space="0" w:color="auto"/>
                <w:bottom w:val="none" w:sz="0" w:space="0" w:color="auto"/>
                <w:right w:val="none" w:sz="0" w:space="0" w:color="auto"/>
              </w:divBdr>
            </w:div>
          </w:divsChild>
        </w:div>
        <w:div w:id="1044135372">
          <w:marLeft w:val="0"/>
          <w:marRight w:val="0"/>
          <w:marTop w:val="0"/>
          <w:marBottom w:val="0"/>
          <w:divBdr>
            <w:top w:val="none" w:sz="0" w:space="0" w:color="auto"/>
            <w:left w:val="none" w:sz="0" w:space="0" w:color="auto"/>
            <w:bottom w:val="none" w:sz="0" w:space="0" w:color="auto"/>
            <w:right w:val="none" w:sz="0" w:space="0" w:color="auto"/>
          </w:divBdr>
          <w:divsChild>
            <w:div w:id="275261404">
              <w:marLeft w:val="0"/>
              <w:marRight w:val="0"/>
              <w:marTop w:val="0"/>
              <w:marBottom w:val="0"/>
              <w:divBdr>
                <w:top w:val="none" w:sz="0" w:space="0" w:color="auto"/>
                <w:left w:val="none" w:sz="0" w:space="0" w:color="auto"/>
                <w:bottom w:val="none" w:sz="0" w:space="0" w:color="auto"/>
                <w:right w:val="none" w:sz="0" w:space="0" w:color="auto"/>
              </w:divBdr>
            </w:div>
          </w:divsChild>
        </w:div>
        <w:div w:id="1111360781">
          <w:marLeft w:val="0"/>
          <w:marRight w:val="0"/>
          <w:marTop w:val="0"/>
          <w:marBottom w:val="0"/>
          <w:divBdr>
            <w:top w:val="none" w:sz="0" w:space="0" w:color="auto"/>
            <w:left w:val="none" w:sz="0" w:space="0" w:color="auto"/>
            <w:bottom w:val="none" w:sz="0" w:space="0" w:color="auto"/>
            <w:right w:val="none" w:sz="0" w:space="0" w:color="auto"/>
          </w:divBdr>
          <w:divsChild>
            <w:div w:id="1537236640">
              <w:marLeft w:val="0"/>
              <w:marRight w:val="0"/>
              <w:marTop w:val="0"/>
              <w:marBottom w:val="0"/>
              <w:divBdr>
                <w:top w:val="none" w:sz="0" w:space="0" w:color="auto"/>
                <w:left w:val="none" w:sz="0" w:space="0" w:color="auto"/>
                <w:bottom w:val="none" w:sz="0" w:space="0" w:color="auto"/>
                <w:right w:val="none" w:sz="0" w:space="0" w:color="auto"/>
              </w:divBdr>
            </w:div>
          </w:divsChild>
        </w:div>
        <w:div w:id="1129201277">
          <w:marLeft w:val="0"/>
          <w:marRight w:val="0"/>
          <w:marTop w:val="0"/>
          <w:marBottom w:val="0"/>
          <w:divBdr>
            <w:top w:val="none" w:sz="0" w:space="0" w:color="auto"/>
            <w:left w:val="none" w:sz="0" w:space="0" w:color="auto"/>
            <w:bottom w:val="none" w:sz="0" w:space="0" w:color="auto"/>
            <w:right w:val="none" w:sz="0" w:space="0" w:color="auto"/>
          </w:divBdr>
          <w:divsChild>
            <w:div w:id="218516193">
              <w:marLeft w:val="0"/>
              <w:marRight w:val="0"/>
              <w:marTop w:val="0"/>
              <w:marBottom w:val="0"/>
              <w:divBdr>
                <w:top w:val="none" w:sz="0" w:space="0" w:color="auto"/>
                <w:left w:val="none" w:sz="0" w:space="0" w:color="auto"/>
                <w:bottom w:val="none" w:sz="0" w:space="0" w:color="auto"/>
                <w:right w:val="none" w:sz="0" w:space="0" w:color="auto"/>
              </w:divBdr>
            </w:div>
          </w:divsChild>
        </w:div>
        <w:div w:id="1210455879">
          <w:marLeft w:val="0"/>
          <w:marRight w:val="0"/>
          <w:marTop w:val="0"/>
          <w:marBottom w:val="0"/>
          <w:divBdr>
            <w:top w:val="none" w:sz="0" w:space="0" w:color="auto"/>
            <w:left w:val="none" w:sz="0" w:space="0" w:color="auto"/>
            <w:bottom w:val="none" w:sz="0" w:space="0" w:color="auto"/>
            <w:right w:val="none" w:sz="0" w:space="0" w:color="auto"/>
          </w:divBdr>
          <w:divsChild>
            <w:div w:id="1346905803">
              <w:marLeft w:val="0"/>
              <w:marRight w:val="0"/>
              <w:marTop w:val="0"/>
              <w:marBottom w:val="0"/>
              <w:divBdr>
                <w:top w:val="none" w:sz="0" w:space="0" w:color="auto"/>
                <w:left w:val="none" w:sz="0" w:space="0" w:color="auto"/>
                <w:bottom w:val="none" w:sz="0" w:space="0" w:color="auto"/>
                <w:right w:val="none" w:sz="0" w:space="0" w:color="auto"/>
              </w:divBdr>
            </w:div>
          </w:divsChild>
        </w:div>
        <w:div w:id="1408382269">
          <w:marLeft w:val="0"/>
          <w:marRight w:val="0"/>
          <w:marTop w:val="0"/>
          <w:marBottom w:val="0"/>
          <w:divBdr>
            <w:top w:val="none" w:sz="0" w:space="0" w:color="auto"/>
            <w:left w:val="none" w:sz="0" w:space="0" w:color="auto"/>
            <w:bottom w:val="none" w:sz="0" w:space="0" w:color="auto"/>
            <w:right w:val="none" w:sz="0" w:space="0" w:color="auto"/>
          </w:divBdr>
          <w:divsChild>
            <w:div w:id="728264764">
              <w:marLeft w:val="0"/>
              <w:marRight w:val="0"/>
              <w:marTop w:val="0"/>
              <w:marBottom w:val="0"/>
              <w:divBdr>
                <w:top w:val="none" w:sz="0" w:space="0" w:color="auto"/>
                <w:left w:val="none" w:sz="0" w:space="0" w:color="auto"/>
                <w:bottom w:val="none" w:sz="0" w:space="0" w:color="auto"/>
                <w:right w:val="none" w:sz="0" w:space="0" w:color="auto"/>
              </w:divBdr>
            </w:div>
          </w:divsChild>
        </w:div>
        <w:div w:id="1456943000">
          <w:marLeft w:val="0"/>
          <w:marRight w:val="0"/>
          <w:marTop w:val="0"/>
          <w:marBottom w:val="0"/>
          <w:divBdr>
            <w:top w:val="none" w:sz="0" w:space="0" w:color="auto"/>
            <w:left w:val="none" w:sz="0" w:space="0" w:color="auto"/>
            <w:bottom w:val="none" w:sz="0" w:space="0" w:color="auto"/>
            <w:right w:val="none" w:sz="0" w:space="0" w:color="auto"/>
          </w:divBdr>
          <w:divsChild>
            <w:div w:id="1192913049">
              <w:marLeft w:val="0"/>
              <w:marRight w:val="0"/>
              <w:marTop w:val="0"/>
              <w:marBottom w:val="0"/>
              <w:divBdr>
                <w:top w:val="none" w:sz="0" w:space="0" w:color="auto"/>
                <w:left w:val="none" w:sz="0" w:space="0" w:color="auto"/>
                <w:bottom w:val="none" w:sz="0" w:space="0" w:color="auto"/>
                <w:right w:val="none" w:sz="0" w:space="0" w:color="auto"/>
              </w:divBdr>
            </w:div>
          </w:divsChild>
        </w:div>
        <w:div w:id="1463419474">
          <w:marLeft w:val="0"/>
          <w:marRight w:val="0"/>
          <w:marTop w:val="0"/>
          <w:marBottom w:val="0"/>
          <w:divBdr>
            <w:top w:val="none" w:sz="0" w:space="0" w:color="auto"/>
            <w:left w:val="none" w:sz="0" w:space="0" w:color="auto"/>
            <w:bottom w:val="none" w:sz="0" w:space="0" w:color="auto"/>
            <w:right w:val="none" w:sz="0" w:space="0" w:color="auto"/>
          </w:divBdr>
          <w:divsChild>
            <w:div w:id="1979533953">
              <w:marLeft w:val="0"/>
              <w:marRight w:val="0"/>
              <w:marTop w:val="0"/>
              <w:marBottom w:val="0"/>
              <w:divBdr>
                <w:top w:val="none" w:sz="0" w:space="0" w:color="auto"/>
                <w:left w:val="none" w:sz="0" w:space="0" w:color="auto"/>
                <w:bottom w:val="none" w:sz="0" w:space="0" w:color="auto"/>
                <w:right w:val="none" w:sz="0" w:space="0" w:color="auto"/>
              </w:divBdr>
            </w:div>
          </w:divsChild>
        </w:div>
        <w:div w:id="1573005550">
          <w:marLeft w:val="0"/>
          <w:marRight w:val="0"/>
          <w:marTop w:val="0"/>
          <w:marBottom w:val="0"/>
          <w:divBdr>
            <w:top w:val="none" w:sz="0" w:space="0" w:color="auto"/>
            <w:left w:val="none" w:sz="0" w:space="0" w:color="auto"/>
            <w:bottom w:val="none" w:sz="0" w:space="0" w:color="auto"/>
            <w:right w:val="none" w:sz="0" w:space="0" w:color="auto"/>
          </w:divBdr>
          <w:divsChild>
            <w:div w:id="380641601">
              <w:marLeft w:val="0"/>
              <w:marRight w:val="0"/>
              <w:marTop w:val="0"/>
              <w:marBottom w:val="0"/>
              <w:divBdr>
                <w:top w:val="none" w:sz="0" w:space="0" w:color="auto"/>
                <w:left w:val="none" w:sz="0" w:space="0" w:color="auto"/>
                <w:bottom w:val="none" w:sz="0" w:space="0" w:color="auto"/>
                <w:right w:val="none" w:sz="0" w:space="0" w:color="auto"/>
              </w:divBdr>
            </w:div>
          </w:divsChild>
        </w:div>
        <w:div w:id="1697736270">
          <w:marLeft w:val="0"/>
          <w:marRight w:val="0"/>
          <w:marTop w:val="0"/>
          <w:marBottom w:val="0"/>
          <w:divBdr>
            <w:top w:val="none" w:sz="0" w:space="0" w:color="auto"/>
            <w:left w:val="none" w:sz="0" w:space="0" w:color="auto"/>
            <w:bottom w:val="none" w:sz="0" w:space="0" w:color="auto"/>
            <w:right w:val="none" w:sz="0" w:space="0" w:color="auto"/>
          </w:divBdr>
          <w:divsChild>
            <w:div w:id="1404259399">
              <w:marLeft w:val="0"/>
              <w:marRight w:val="0"/>
              <w:marTop w:val="0"/>
              <w:marBottom w:val="0"/>
              <w:divBdr>
                <w:top w:val="none" w:sz="0" w:space="0" w:color="auto"/>
                <w:left w:val="none" w:sz="0" w:space="0" w:color="auto"/>
                <w:bottom w:val="none" w:sz="0" w:space="0" w:color="auto"/>
                <w:right w:val="none" w:sz="0" w:space="0" w:color="auto"/>
              </w:divBdr>
            </w:div>
          </w:divsChild>
        </w:div>
        <w:div w:id="1782140532">
          <w:marLeft w:val="0"/>
          <w:marRight w:val="0"/>
          <w:marTop w:val="0"/>
          <w:marBottom w:val="0"/>
          <w:divBdr>
            <w:top w:val="none" w:sz="0" w:space="0" w:color="auto"/>
            <w:left w:val="none" w:sz="0" w:space="0" w:color="auto"/>
            <w:bottom w:val="none" w:sz="0" w:space="0" w:color="auto"/>
            <w:right w:val="none" w:sz="0" w:space="0" w:color="auto"/>
          </w:divBdr>
          <w:divsChild>
            <w:div w:id="527530265">
              <w:marLeft w:val="0"/>
              <w:marRight w:val="0"/>
              <w:marTop w:val="0"/>
              <w:marBottom w:val="0"/>
              <w:divBdr>
                <w:top w:val="none" w:sz="0" w:space="0" w:color="auto"/>
                <w:left w:val="none" w:sz="0" w:space="0" w:color="auto"/>
                <w:bottom w:val="none" w:sz="0" w:space="0" w:color="auto"/>
                <w:right w:val="none" w:sz="0" w:space="0" w:color="auto"/>
              </w:divBdr>
            </w:div>
          </w:divsChild>
        </w:div>
        <w:div w:id="1855068975">
          <w:marLeft w:val="0"/>
          <w:marRight w:val="0"/>
          <w:marTop w:val="0"/>
          <w:marBottom w:val="0"/>
          <w:divBdr>
            <w:top w:val="none" w:sz="0" w:space="0" w:color="auto"/>
            <w:left w:val="none" w:sz="0" w:space="0" w:color="auto"/>
            <w:bottom w:val="none" w:sz="0" w:space="0" w:color="auto"/>
            <w:right w:val="none" w:sz="0" w:space="0" w:color="auto"/>
          </w:divBdr>
          <w:divsChild>
            <w:div w:id="792331928">
              <w:marLeft w:val="0"/>
              <w:marRight w:val="0"/>
              <w:marTop w:val="0"/>
              <w:marBottom w:val="0"/>
              <w:divBdr>
                <w:top w:val="none" w:sz="0" w:space="0" w:color="auto"/>
                <w:left w:val="none" w:sz="0" w:space="0" w:color="auto"/>
                <w:bottom w:val="none" w:sz="0" w:space="0" w:color="auto"/>
                <w:right w:val="none" w:sz="0" w:space="0" w:color="auto"/>
              </w:divBdr>
            </w:div>
          </w:divsChild>
        </w:div>
        <w:div w:id="1898544257">
          <w:marLeft w:val="0"/>
          <w:marRight w:val="0"/>
          <w:marTop w:val="0"/>
          <w:marBottom w:val="0"/>
          <w:divBdr>
            <w:top w:val="none" w:sz="0" w:space="0" w:color="auto"/>
            <w:left w:val="none" w:sz="0" w:space="0" w:color="auto"/>
            <w:bottom w:val="none" w:sz="0" w:space="0" w:color="auto"/>
            <w:right w:val="none" w:sz="0" w:space="0" w:color="auto"/>
          </w:divBdr>
          <w:divsChild>
            <w:div w:id="2077973854">
              <w:marLeft w:val="0"/>
              <w:marRight w:val="0"/>
              <w:marTop w:val="0"/>
              <w:marBottom w:val="0"/>
              <w:divBdr>
                <w:top w:val="none" w:sz="0" w:space="0" w:color="auto"/>
                <w:left w:val="none" w:sz="0" w:space="0" w:color="auto"/>
                <w:bottom w:val="none" w:sz="0" w:space="0" w:color="auto"/>
                <w:right w:val="none" w:sz="0" w:space="0" w:color="auto"/>
              </w:divBdr>
            </w:div>
          </w:divsChild>
        </w:div>
        <w:div w:id="1898972202">
          <w:marLeft w:val="0"/>
          <w:marRight w:val="0"/>
          <w:marTop w:val="0"/>
          <w:marBottom w:val="0"/>
          <w:divBdr>
            <w:top w:val="none" w:sz="0" w:space="0" w:color="auto"/>
            <w:left w:val="none" w:sz="0" w:space="0" w:color="auto"/>
            <w:bottom w:val="none" w:sz="0" w:space="0" w:color="auto"/>
            <w:right w:val="none" w:sz="0" w:space="0" w:color="auto"/>
          </w:divBdr>
          <w:divsChild>
            <w:div w:id="880477154">
              <w:marLeft w:val="0"/>
              <w:marRight w:val="0"/>
              <w:marTop w:val="0"/>
              <w:marBottom w:val="0"/>
              <w:divBdr>
                <w:top w:val="none" w:sz="0" w:space="0" w:color="auto"/>
                <w:left w:val="none" w:sz="0" w:space="0" w:color="auto"/>
                <w:bottom w:val="none" w:sz="0" w:space="0" w:color="auto"/>
                <w:right w:val="none" w:sz="0" w:space="0" w:color="auto"/>
              </w:divBdr>
            </w:div>
          </w:divsChild>
        </w:div>
        <w:div w:id="1961297795">
          <w:marLeft w:val="0"/>
          <w:marRight w:val="0"/>
          <w:marTop w:val="0"/>
          <w:marBottom w:val="0"/>
          <w:divBdr>
            <w:top w:val="none" w:sz="0" w:space="0" w:color="auto"/>
            <w:left w:val="none" w:sz="0" w:space="0" w:color="auto"/>
            <w:bottom w:val="none" w:sz="0" w:space="0" w:color="auto"/>
            <w:right w:val="none" w:sz="0" w:space="0" w:color="auto"/>
          </w:divBdr>
          <w:divsChild>
            <w:div w:id="1894584684">
              <w:marLeft w:val="0"/>
              <w:marRight w:val="0"/>
              <w:marTop w:val="0"/>
              <w:marBottom w:val="0"/>
              <w:divBdr>
                <w:top w:val="none" w:sz="0" w:space="0" w:color="auto"/>
                <w:left w:val="none" w:sz="0" w:space="0" w:color="auto"/>
                <w:bottom w:val="none" w:sz="0" w:space="0" w:color="auto"/>
                <w:right w:val="none" w:sz="0" w:space="0" w:color="auto"/>
              </w:divBdr>
            </w:div>
          </w:divsChild>
        </w:div>
        <w:div w:id="1971858745">
          <w:marLeft w:val="0"/>
          <w:marRight w:val="0"/>
          <w:marTop w:val="0"/>
          <w:marBottom w:val="0"/>
          <w:divBdr>
            <w:top w:val="none" w:sz="0" w:space="0" w:color="auto"/>
            <w:left w:val="none" w:sz="0" w:space="0" w:color="auto"/>
            <w:bottom w:val="none" w:sz="0" w:space="0" w:color="auto"/>
            <w:right w:val="none" w:sz="0" w:space="0" w:color="auto"/>
          </w:divBdr>
          <w:divsChild>
            <w:div w:id="1249539483">
              <w:marLeft w:val="0"/>
              <w:marRight w:val="0"/>
              <w:marTop w:val="0"/>
              <w:marBottom w:val="0"/>
              <w:divBdr>
                <w:top w:val="none" w:sz="0" w:space="0" w:color="auto"/>
                <w:left w:val="none" w:sz="0" w:space="0" w:color="auto"/>
                <w:bottom w:val="none" w:sz="0" w:space="0" w:color="auto"/>
                <w:right w:val="none" w:sz="0" w:space="0" w:color="auto"/>
              </w:divBdr>
            </w:div>
          </w:divsChild>
        </w:div>
        <w:div w:id="2051760886">
          <w:marLeft w:val="0"/>
          <w:marRight w:val="0"/>
          <w:marTop w:val="0"/>
          <w:marBottom w:val="0"/>
          <w:divBdr>
            <w:top w:val="none" w:sz="0" w:space="0" w:color="auto"/>
            <w:left w:val="none" w:sz="0" w:space="0" w:color="auto"/>
            <w:bottom w:val="none" w:sz="0" w:space="0" w:color="auto"/>
            <w:right w:val="none" w:sz="0" w:space="0" w:color="auto"/>
          </w:divBdr>
          <w:divsChild>
            <w:div w:id="160854534">
              <w:marLeft w:val="0"/>
              <w:marRight w:val="0"/>
              <w:marTop w:val="0"/>
              <w:marBottom w:val="0"/>
              <w:divBdr>
                <w:top w:val="none" w:sz="0" w:space="0" w:color="auto"/>
                <w:left w:val="none" w:sz="0" w:space="0" w:color="auto"/>
                <w:bottom w:val="none" w:sz="0" w:space="0" w:color="auto"/>
                <w:right w:val="none" w:sz="0" w:space="0" w:color="auto"/>
              </w:divBdr>
            </w:div>
            <w:div w:id="514733270">
              <w:marLeft w:val="0"/>
              <w:marRight w:val="0"/>
              <w:marTop w:val="0"/>
              <w:marBottom w:val="0"/>
              <w:divBdr>
                <w:top w:val="none" w:sz="0" w:space="0" w:color="auto"/>
                <w:left w:val="none" w:sz="0" w:space="0" w:color="auto"/>
                <w:bottom w:val="none" w:sz="0" w:space="0" w:color="auto"/>
                <w:right w:val="none" w:sz="0" w:space="0" w:color="auto"/>
              </w:divBdr>
            </w:div>
          </w:divsChild>
        </w:div>
        <w:div w:id="2064450699">
          <w:marLeft w:val="0"/>
          <w:marRight w:val="0"/>
          <w:marTop w:val="0"/>
          <w:marBottom w:val="0"/>
          <w:divBdr>
            <w:top w:val="none" w:sz="0" w:space="0" w:color="auto"/>
            <w:left w:val="none" w:sz="0" w:space="0" w:color="auto"/>
            <w:bottom w:val="none" w:sz="0" w:space="0" w:color="auto"/>
            <w:right w:val="none" w:sz="0" w:space="0" w:color="auto"/>
          </w:divBdr>
          <w:divsChild>
            <w:div w:id="879630604">
              <w:marLeft w:val="0"/>
              <w:marRight w:val="0"/>
              <w:marTop w:val="0"/>
              <w:marBottom w:val="0"/>
              <w:divBdr>
                <w:top w:val="none" w:sz="0" w:space="0" w:color="auto"/>
                <w:left w:val="none" w:sz="0" w:space="0" w:color="auto"/>
                <w:bottom w:val="none" w:sz="0" w:space="0" w:color="auto"/>
                <w:right w:val="none" w:sz="0" w:space="0" w:color="auto"/>
              </w:divBdr>
            </w:div>
          </w:divsChild>
        </w:div>
        <w:div w:id="2146972600">
          <w:marLeft w:val="0"/>
          <w:marRight w:val="0"/>
          <w:marTop w:val="0"/>
          <w:marBottom w:val="0"/>
          <w:divBdr>
            <w:top w:val="none" w:sz="0" w:space="0" w:color="auto"/>
            <w:left w:val="none" w:sz="0" w:space="0" w:color="auto"/>
            <w:bottom w:val="none" w:sz="0" w:space="0" w:color="auto"/>
            <w:right w:val="none" w:sz="0" w:space="0" w:color="auto"/>
          </w:divBdr>
          <w:divsChild>
            <w:div w:id="68020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9760">
      <w:bodyDiv w:val="1"/>
      <w:marLeft w:val="0"/>
      <w:marRight w:val="0"/>
      <w:marTop w:val="0"/>
      <w:marBottom w:val="0"/>
      <w:divBdr>
        <w:top w:val="none" w:sz="0" w:space="0" w:color="auto"/>
        <w:left w:val="none" w:sz="0" w:space="0" w:color="auto"/>
        <w:bottom w:val="none" w:sz="0" w:space="0" w:color="auto"/>
        <w:right w:val="none" w:sz="0" w:space="0" w:color="auto"/>
      </w:divBdr>
    </w:div>
    <w:div w:id="194394541">
      <w:bodyDiv w:val="1"/>
      <w:marLeft w:val="0"/>
      <w:marRight w:val="0"/>
      <w:marTop w:val="0"/>
      <w:marBottom w:val="0"/>
      <w:divBdr>
        <w:top w:val="none" w:sz="0" w:space="0" w:color="auto"/>
        <w:left w:val="none" w:sz="0" w:space="0" w:color="auto"/>
        <w:bottom w:val="none" w:sz="0" w:space="0" w:color="auto"/>
        <w:right w:val="none" w:sz="0" w:space="0" w:color="auto"/>
      </w:divBdr>
    </w:div>
    <w:div w:id="369692756">
      <w:bodyDiv w:val="1"/>
      <w:marLeft w:val="0"/>
      <w:marRight w:val="0"/>
      <w:marTop w:val="0"/>
      <w:marBottom w:val="0"/>
      <w:divBdr>
        <w:top w:val="none" w:sz="0" w:space="0" w:color="auto"/>
        <w:left w:val="none" w:sz="0" w:space="0" w:color="auto"/>
        <w:bottom w:val="none" w:sz="0" w:space="0" w:color="auto"/>
        <w:right w:val="none" w:sz="0" w:space="0" w:color="auto"/>
      </w:divBdr>
    </w:div>
    <w:div w:id="479344108">
      <w:bodyDiv w:val="1"/>
      <w:marLeft w:val="0"/>
      <w:marRight w:val="0"/>
      <w:marTop w:val="0"/>
      <w:marBottom w:val="0"/>
      <w:divBdr>
        <w:top w:val="none" w:sz="0" w:space="0" w:color="auto"/>
        <w:left w:val="none" w:sz="0" w:space="0" w:color="auto"/>
        <w:bottom w:val="none" w:sz="0" w:space="0" w:color="auto"/>
        <w:right w:val="none" w:sz="0" w:space="0" w:color="auto"/>
      </w:divBdr>
    </w:div>
    <w:div w:id="481386595">
      <w:bodyDiv w:val="1"/>
      <w:marLeft w:val="0"/>
      <w:marRight w:val="0"/>
      <w:marTop w:val="0"/>
      <w:marBottom w:val="0"/>
      <w:divBdr>
        <w:top w:val="none" w:sz="0" w:space="0" w:color="auto"/>
        <w:left w:val="none" w:sz="0" w:space="0" w:color="auto"/>
        <w:bottom w:val="none" w:sz="0" w:space="0" w:color="auto"/>
        <w:right w:val="none" w:sz="0" w:space="0" w:color="auto"/>
      </w:divBdr>
    </w:div>
    <w:div w:id="491259131">
      <w:bodyDiv w:val="1"/>
      <w:marLeft w:val="0"/>
      <w:marRight w:val="0"/>
      <w:marTop w:val="0"/>
      <w:marBottom w:val="0"/>
      <w:divBdr>
        <w:top w:val="none" w:sz="0" w:space="0" w:color="auto"/>
        <w:left w:val="none" w:sz="0" w:space="0" w:color="auto"/>
        <w:bottom w:val="none" w:sz="0" w:space="0" w:color="auto"/>
        <w:right w:val="none" w:sz="0" w:space="0" w:color="auto"/>
      </w:divBdr>
    </w:div>
    <w:div w:id="581186812">
      <w:bodyDiv w:val="1"/>
      <w:marLeft w:val="0"/>
      <w:marRight w:val="0"/>
      <w:marTop w:val="0"/>
      <w:marBottom w:val="0"/>
      <w:divBdr>
        <w:top w:val="none" w:sz="0" w:space="0" w:color="auto"/>
        <w:left w:val="none" w:sz="0" w:space="0" w:color="auto"/>
        <w:bottom w:val="none" w:sz="0" w:space="0" w:color="auto"/>
        <w:right w:val="none" w:sz="0" w:space="0" w:color="auto"/>
      </w:divBdr>
    </w:div>
    <w:div w:id="708653129">
      <w:bodyDiv w:val="1"/>
      <w:marLeft w:val="0"/>
      <w:marRight w:val="0"/>
      <w:marTop w:val="0"/>
      <w:marBottom w:val="0"/>
      <w:divBdr>
        <w:top w:val="none" w:sz="0" w:space="0" w:color="auto"/>
        <w:left w:val="none" w:sz="0" w:space="0" w:color="auto"/>
        <w:bottom w:val="none" w:sz="0" w:space="0" w:color="auto"/>
        <w:right w:val="none" w:sz="0" w:space="0" w:color="auto"/>
      </w:divBdr>
    </w:div>
    <w:div w:id="729154467">
      <w:bodyDiv w:val="1"/>
      <w:marLeft w:val="0"/>
      <w:marRight w:val="0"/>
      <w:marTop w:val="0"/>
      <w:marBottom w:val="0"/>
      <w:divBdr>
        <w:top w:val="none" w:sz="0" w:space="0" w:color="auto"/>
        <w:left w:val="none" w:sz="0" w:space="0" w:color="auto"/>
        <w:bottom w:val="none" w:sz="0" w:space="0" w:color="auto"/>
        <w:right w:val="none" w:sz="0" w:space="0" w:color="auto"/>
      </w:divBdr>
    </w:div>
    <w:div w:id="768817444">
      <w:bodyDiv w:val="1"/>
      <w:marLeft w:val="0"/>
      <w:marRight w:val="0"/>
      <w:marTop w:val="0"/>
      <w:marBottom w:val="0"/>
      <w:divBdr>
        <w:top w:val="none" w:sz="0" w:space="0" w:color="auto"/>
        <w:left w:val="none" w:sz="0" w:space="0" w:color="auto"/>
        <w:bottom w:val="none" w:sz="0" w:space="0" w:color="auto"/>
        <w:right w:val="none" w:sz="0" w:space="0" w:color="auto"/>
      </w:divBdr>
    </w:div>
    <w:div w:id="833492964">
      <w:bodyDiv w:val="1"/>
      <w:marLeft w:val="0"/>
      <w:marRight w:val="0"/>
      <w:marTop w:val="0"/>
      <w:marBottom w:val="0"/>
      <w:divBdr>
        <w:top w:val="none" w:sz="0" w:space="0" w:color="auto"/>
        <w:left w:val="none" w:sz="0" w:space="0" w:color="auto"/>
        <w:bottom w:val="none" w:sz="0" w:space="0" w:color="auto"/>
        <w:right w:val="none" w:sz="0" w:space="0" w:color="auto"/>
      </w:divBdr>
    </w:div>
    <w:div w:id="839546141">
      <w:bodyDiv w:val="1"/>
      <w:marLeft w:val="0"/>
      <w:marRight w:val="0"/>
      <w:marTop w:val="0"/>
      <w:marBottom w:val="0"/>
      <w:divBdr>
        <w:top w:val="none" w:sz="0" w:space="0" w:color="auto"/>
        <w:left w:val="none" w:sz="0" w:space="0" w:color="auto"/>
        <w:bottom w:val="none" w:sz="0" w:space="0" w:color="auto"/>
        <w:right w:val="none" w:sz="0" w:space="0" w:color="auto"/>
      </w:divBdr>
    </w:div>
    <w:div w:id="853572919">
      <w:bodyDiv w:val="1"/>
      <w:marLeft w:val="0"/>
      <w:marRight w:val="0"/>
      <w:marTop w:val="0"/>
      <w:marBottom w:val="0"/>
      <w:divBdr>
        <w:top w:val="none" w:sz="0" w:space="0" w:color="auto"/>
        <w:left w:val="none" w:sz="0" w:space="0" w:color="auto"/>
        <w:bottom w:val="none" w:sz="0" w:space="0" w:color="auto"/>
        <w:right w:val="none" w:sz="0" w:space="0" w:color="auto"/>
      </w:divBdr>
    </w:div>
    <w:div w:id="875434610">
      <w:bodyDiv w:val="1"/>
      <w:marLeft w:val="0"/>
      <w:marRight w:val="0"/>
      <w:marTop w:val="0"/>
      <w:marBottom w:val="0"/>
      <w:divBdr>
        <w:top w:val="none" w:sz="0" w:space="0" w:color="auto"/>
        <w:left w:val="none" w:sz="0" w:space="0" w:color="auto"/>
        <w:bottom w:val="none" w:sz="0" w:space="0" w:color="auto"/>
        <w:right w:val="none" w:sz="0" w:space="0" w:color="auto"/>
      </w:divBdr>
    </w:div>
    <w:div w:id="944651202">
      <w:bodyDiv w:val="1"/>
      <w:marLeft w:val="0"/>
      <w:marRight w:val="0"/>
      <w:marTop w:val="0"/>
      <w:marBottom w:val="0"/>
      <w:divBdr>
        <w:top w:val="none" w:sz="0" w:space="0" w:color="auto"/>
        <w:left w:val="none" w:sz="0" w:space="0" w:color="auto"/>
        <w:bottom w:val="none" w:sz="0" w:space="0" w:color="auto"/>
        <w:right w:val="none" w:sz="0" w:space="0" w:color="auto"/>
      </w:divBdr>
    </w:div>
    <w:div w:id="1017543373">
      <w:bodyDiv w:val="1"/>
      <w:marLeft w:val="0"/>
      <w:marRight w:val="0"/>
      <w:marTop w:val="0"/>
      <w:marBottom w:val="0"/>
      <w:divBdr>
        <w:top w:val="none" w:sz="0" w:space="0" w:color="auto"/>
        <w:left w:val="none" w:sz="0" w:space="0" w:color="auto"/>
        <w:bottom w:val="none" w:sz="0" w:space="0" w:color="auto"/>
        <w:right w:val="none" w:sz="0" w:space="0" w:color="auto"/>
      </w:divBdr>
    </w:div>
    <w:div w:id="1067993722">
      <w:bodyDiv w:val="1"/>
      <w:marLeft w:val="0"/>
      <w:marRight w:val="0"/>
      <w:marTop w:val="0"/>
      <w:marBottom w:val="0"/>
      <w:divBdr>
        <w:top w:val="none" w:sz="0" w:space="0" w:color="auto"/>
        <w:left w:val="none" w:sz="0" w:space="0" w:color="auto"/>
        <w:bottom w:val="none" w:sz="0" w:space="0" w:color="auto"/>
        <w:right w:val="none" w:sz="0" w:space="0" w:color="auto"/>
      </w:divBdr>
    </w:div>
    <w:div w:id="1122188135">
      <w:bodyDiv w:val="1"/>
      <w:marLeft w:val="0"/>
      <w:marRight w:val="0"/>
      <w:marTop w:val="0"/>
      <w:marBottom w:val="0"/>
      <w:divBdr>
        <w:top w:val="none" w:sz="0" w:space="0" w:color="auto"/>
        <w:left w:val="none" w:sz="0" w:space="0" w:color="auto"/>
        <w:bottom w:val="none" w:sz="0" w:space="0" w:color="auto"/>
        <w:right w:val="none" w:sz="0" w:space="0" w:color="auto"/>
      </w:divBdr>
    </w:div>
    <w:div w:id="1144354219">
      <w:bodyDiv w:val="1"/>
      <w:marLeft w:val="0"/>
      <w:marRight w:val="0"/>
      <w:marTop w:val="0"/>
      <w:marBottom w:val="0"/>
      <w:divBdr>
        <w:top w:val="none" w:sz="0" w:space="0" w:color="auto"/>
        <w:left w:val="none" w:sz="0" w:space="0" w:color="auto"/>
        <w:bottom w:val="none" w:sz="0" w:space="0" w:color="auto"/>
        <w:right w:val="none" w:sz="0" w:space="0" w:color="auto"/>
      </w:divBdr>
    </w:div>
    <w:div w:id="1213272897">
      <w:bodyDiv w:val="1"/>
      <w:marLeft w:val="0"/>
      <w:marRight w:val="0"/>
      <w:marTop w:val="0"/>
      <w:marBottom w:val="0"/>
      <w:divBdr>
        <w:top w:val="none" w:sz="0" w:space="0" w:color="auto"/>
        <w:left w:val="none" w:sz="0" w:space="0" w:color="auto"/>
        <w:bottom w:val="none" w:sz="0" w:space="0" w:color="auto"/>
        <w:right w:val="none" w:sz="0" w:space="0" w:color="auto"/>
      </w:divBdr>
    </w:div>
    <w:div w:id="1219246466">
      <w:bodyDiv w:val="1"/>
      <w:marLeft w:val="0"/>
      <w:marRight w:val="0"/>
      <w:marTop w:val="0"/>
      <w:marBottom w:val="0"/>
      <w:divBdr>
        <w:top w:val="none" w:sz="0" w:space="0" w:color="auto"/>
        <w:left w:val="none" w:sz="0" w:space="0" w:color="auto"/>
        <w:bottom w:val="none" w:sz="0" w:space="0" w:color="auto"/>
        <w:right w:val="none" w:sz="0" w:space="0" w:color="auto"/>
      </w:divBdr>
    </w:div>
    <w:div w:id="1242836823">
      <w:bodyDiv w:val="1"/>
      <w:marLeft w:val="0"/>
      <w:marRight w:val="0"/>
      <w:marTop w:val="0"/>
      <w:marBottom w:val="0"/>
      <w:divBdr>
        <w:top w:val="none" w:sz="0" w:space="0" w:color="auto"/>
        <w:left w:val="none" w:sz="0" w:space="0" w:color="auto"/>
        <w:bottom w:val="none" w:sz="0" w:space="0" w:color="auto"/>
        <w:right w:val="none" w:sz="0" w:space="0" w:color="auto"/>
      </w:divBdr>
    </w:div>
    <w:div w:id="1244338722">
      <w:bodyDiv w:val="1"/>
      <w:marLeft w:val="0"/>
      <w:marRight w:val="0"/>
      <w:marTop w:val="0"/>
      <w:marBottom w:val="0"/>
      <w:divBdr>
        <w:top w:val="none" w:sz="0" w:space="0" w:color="auto"/>
        <w:left w:val="none" w:sz="0" w:space="0" w:color="auto"/>
        <w:bottom w:val="none" w:sz="0" w:space="0" w:color="auto"/>
        <w:right w:val="none" w:sz="0" w:space="0" w:color="auto"/>
      </w:divBdr>
    </w:div>
    <w:div w:id="1424456763">
      <w:bodyDiv w:val="1"/>
      <w:marLeft w:val="0"/>
      <w:marRight w:val="0"/>
      <w:marTop w:val="0"/>
      <w:marBottom w:val="0"/>
      <w:divBdr>
        <w:top w:val="none" w:sz="0" w:space="0" w:color="auto"/>
        <w:left w:val="none" w:sz="0" w:space="0" w:color="auto"/>
        <w:bottom w:val="none" w:sz="0" w:space="0" w:color="auto"/>
        <w:right w:val="none" w:sz="0" w:space="0" w:color="auto"/>
      </w:divBdr>
    </w:div>
    <w:div w:id="1463960847">
      <w:bodyDiv w:val="1"/>
      <w:marLeft w:val="0"/>
      <w:marRight w:val="0"/>
      <w:marTop w:val="0"/>
      <w:marBottom w:val="0"/>
      <w:divBdr>
        <w:top w:val="none" w:sz="0" w:space="0" w:color="auto"/>
        <w:left w:val="none" w:sz="0" w:space="0" w:color="auto"/>
        <w:bottom w:val="none" w:sz="0" w:space="0" w:color="auto"/>
        <w:right w:val="none" w:sz="0" w:space="0" w:color="auto"/>
      </w:divBdr>
    </w:div>
    <w:div w:id="1474370438">
      <w:bodyDiv w:val="1"/>
      <w:marLeft w:val="0"/>
      <w:marRight w:val="0"/>
      <w:marTop w:val="0"/>
      <w:marBottom w:val="0"/>
      <w:divBdr>
        <w:top w:val="none" w:sz="0" w:space="0" w:color="auto"/>
        <w:left w:val="none" w:sz="0" w:space="0" w:color="auto"/>
        <w:bottom w:val="none" w:sz="0" w:space="0" w:color="auto"/>
        <w:right w:val="none" w:sz="0" w:space="0" w:color="auto"/>
      </w:divBdr>
    </w:div>
    <w:div w:id="1505629095">
      <w:bodyDiv w:val="1"/>
      <w:marLeft w:val="0"/>
      <w:marRight w:val="0"/>
      <w:marTop w:val="0"/>
      <w:marBottom w:val="0"/>
      <w:divBdr>
        <w:top w:val="none" w:sz="0" w:space="0" w:color="auto"/>
        <w:left w:val="none" w:sz="0" w:space="0" w:color="auto"/>
        <w:bottom w:val="none" w:sz="0" w:space="0" w:color="auto"/>
        <w:right w:val="none" w:sz="0" w:space="0" w:color="auto"/>
      </w:divBdr>
      <w:divsChild>
        <w:div w:id="222717501">
          <w:marLeft w:val="0"/>
          <w:marRight w:val="0"/>
          <w:marTop w:val="0"/>
          <w:marBottom w:val="0"/>
          <w:divBdr>
            <w:top w:val="none" w:sz="0" w:space="0" w:color="auto"/>
            <w:left w:val="none" w:sz="0" w:space="0" w:color="auto"/>
            <w:bottom w:val="none" w:sz="0" w:space="0" w:color="auto"/>
            <w:right w:val="none" w:sz="0" w:space="0" w:color="auto"/>
          </w:divBdr>
        </w:div>
      </w:divsChild>
    </w:div>
    <w:div w:id="1537230173">
      <w:bodyDiv w:val="1"/>
      <w:marLeft w:val="0"/>
      <w:marRight w:val="0"/>
      <w:marTop w:val="0"/>
      <w:marBottom w:val="0"/>
      <w:divBdr>
        <w:top w:val="none" w:sz="0" w:space="0" w:color="auto"/>
        <w:left w:val="none" w:sz="0" w:space="0" w:color="auto"/>
        <w:bottom w:val="none" w:sz="0" w:space="0" w:color="auto"/>
        <w:right w:val="none" w:sz="0" w:space="0" w:color="auto"/>
      </w:divBdr>
    </w:div>
    <w:div w:id="1545677731">
      <w:bodyDiv w:val="1"/>
      <w:marLeft w:val="0"/>
      <w:marRight w:val="0"/>
      <w:marTop w:val="0"/>
      <w:marBottom w:val="0"/>
      <w:divBdr>
        <w:top w:val="none" w:sz="0" w:space="0" w:color="auto"/>
        <w:left w:val="none" w:sz="0" w:space="0" w:color="auto"/>
        <w:bottom w:val="none" w:sz="0" w:space="0" w:color="auto"/>
        <w:right w:val="none" w:sz="0" w:space="0" w:color="auto"/>
      </w:divBdr>
      <w:divsChild>
        <w:div w:id="1841583833">
          <w:marLeft w:val="0"/>
          <w:marRight w:val="0"/>
          <w:marTop w:val="0"/>
          <w:marBottom w:val="0"/>
          <w:divBdr>
            <w:top w:val="none" w:sz="0" w:space="0" w:color="auto"/>
            <w:left w:val="none" w:sz="0" w:space="0" w:color="auto"/>
            <w:bottom w:val="none" w:sz="0" w:space="0" w:color="auto"/>
            <w:right w:val="none" w:sz="0" w:space="0" w:color="auto"/>
          </w:divBdr>
        </w:div>
      </w:divsChild>
    </w:div>
    <w:div w:id="1551762808">
      <w:bodyDiv w:val="1"/>
      <w:marLeft w:val="0"/>
      <w:marRight w:val="0"/>
      <w:marTop w:val="0"/>
      <w:marBottom w:val="0"/>
      <w:divBdr>
        <w:top w:val="none" w:sz="0" w:space="0" w:color="auto"/>
        <w:left w:val="none" w:sz="0" w:space="0" w:color="auto"/>
        <w:bottom w:val="none" w:sz="0" w:space="0" w:color="auto"/>
        <w:right w:val="none" w:sz="0" w:space="0" w:color="auto"/>
      </w:divBdr>
    </w:div>
    <w:div w:id="1608342483">
      <w:bodyDiv w:val="1"/>
      <w:marLeft w:val="0"/>
      <w:marRight w:val="0"/>
      <w:marTop w:val="0"/>
      <w:marBottom w:val="0"/>
      <w:divBdr>
        <w:top w:val="none" w:sz="0" w:space="0" w:color="auto"/>
        <w:left w:val="none" w:sz="0" w:space="0" w:color="auto"/>
        <w:bottom w:val="none" w:sz="0" w:space="0" w:color="auto"/>
        <w:right w:val="none" w:sz="0" w:space="0" w:color="auto"/>
      </w:divBdr>
    </w:div>
    <w:div w:id="1717314941">
      <w:bodyDiv w:val="1"/>
      <w:marLeft w:val="0"/>
      <w:marRight w:val="0"/>
      <w:marTop w:val="0"/>
      <w:marBottom w:val="0"/>
      <w:divBdr>
        <w:top w:val="none" w:sz="0" w:space="0" w:color="auto"/>
        <w:left w:val="none" w:sz="0" w:space="0" w:color="auto"/>
        <w:bottom w:val="none" w:sz="0" w:space="0" w:color="auto"/>
        <w:right w:val="none" w:sz="0" w:space="0" w:color="auto"/>
      </w:divBdr>
    </w:div>
    <w:div w:id="1721244019">
      <w:bodyDiv w:val="1"/>
      <w:marLeft w:val="0"/>
      <w:marRight w:val="0"/>
      <w:marTop w:val="0"/>
      <w:marBottom w:val="0"/>
      <w:divBdr>
        <w:top w:val="none" w:sz="0" w:space="0" w:color="auto"/>
        <w:left w:val="none" w:sz="0" w:space="0" w:color="auto"/>
        <w:bottom w:val="none" w:sz="0" w:space="0" w:color="auto"/>
        <w:right w:val="none" w:sz="0" w:space="0" w:color="auto"/>
      </w:divBdr>
    </w:div>
    <w:div w:id="1750689840">
      <w:bodyDiv w:val="1"/>
      <w:marLeft w:val="0"/>
      <w:marRight w:val="0"/>
      <w:marTop w:val="0"/>
      <w:marBottom w:val="0"/>
      <w:divBdr>
        <w:top w:val="none" w:sz="0" w:space="0" w:color="auto"/>
        <w:left w:val="none" w:sz="0" w:space="0" w:color="auto"/>
        <w:bottom w:val="none" w:sz="0" w:space="0" w:color="auto"/>
        <w:right w:val="none" w:sz="0" w:space="0" w:color="auto"/>
      </w:divBdr>
    </w:div>
    <w:div w:id="1756197507">
      <w:bodyDiv w:val="1"/>
      <w:marLeft w:val="0"/>
      <w:marRight w:val="0"/>
      <w:marTop w:val="0"/>
      <w:marBottom w:val="0"/>
      <w:divBdr>
        <w:top w:val="none" w:sz="0" w:space="0" w:color="auto"/>
        <w:left w:val="none" w:sz="0" w:space="0" w:color="auto"/>
        <w:bottom w:val="none" w:sz="0" w:space="0" w:color="auto"/>
        <w:right w:val="none" w:sz="0" w:space="0" w:color="auto"/>
      </w:divBdr>
    </w:div>
    <w:div w:id="1776443799">
      <w:bodyDiv w:val="1"/>
      <w:marLeft w:val="0"/>
      <w:marRight w:val="0"/>
      <w:marTop w:val="0"/>
      <w:marBottom w:val="0"/>
      <w:divBdr>
        <w:top w:val="none" w:sz="0" w:space="0" w:color="auto"/>
        <w:left w:val="none" w:sz="0" w:space="0" w:color="auto"/>
        <w:bottom w:val="none" w:sz="0" w:space="0" w:color="auto"/>
        <w:right w:val="none" w:sz="0" w:space="0" w:color="auto"/>
      </w:divBdr>
    </w:div>
    <w:div w:id="1820801087">
      <w:bodyDiv w:val="1"/>
      <w:marLeft w:val="0"/>
      <w:marRight w:val="0"/>
      <w:marTop w:val="0"/>
      <w:marBottom w:val="0"/>
      <w:divBdr>
        <w:top w:val="none" w:sz="0" w:space="0" w:color="auto"/>
        <w:left w:val="none" w:sz="0" w:space="0" w:color="auto"/>
        <w:bottom w:val="none" w:sz="0" w:space="0" w:color="auto"/>
        <w:right w:val="none" w:sz="0" w:space="0" w:color="auto"/>
      </w:divBdr>
    </w:div>
    <w:div w:id="1842577089">
      <w:bodyDiv w:val="1"/>
      <w:marLeft w:val="0"/>
      <w:marRight w:val="0"/>
      <w:marTop w:val="0"/>
      <w:marBottom w:val="0"/>
      <w:divBdr>
        <w:top w:val="none" w:sz="0" w:space="0" w:color="auto"/>
        <w:left w:val="none" w:sz="0" w:space="0" w:color="auto"/>
        <w:bottom w:val="none" w:sz="0" w:space="0" w:color="auto"/>
        <w:right w:val="none" w:sz="0" w:space="0" w:color="auto"/>
      </w:divBdr>
    </w:div>
    <w:div w:id="1875843706">
      <w:bodyDiv w:val="1"/>
      <w:marLeft w:val="0"/>
      <w:marRight w:val="0"/>
      <w:marTop w:val="0"/>
      <w:marBottom w:val="0"/>
      <w:divBdr>
        <w:top w:val="none" w:sz="0" w:space="0" w:color="auto"/>
        <w:left w:val="none" w:sz="0" w:space="0" w:color="auto"/>
        <w:bottom w:val="none" w:sz="0" w:space="0" w:color="auto"/>
        <w:right w:val="none" w:sz="0" w:space="0" w:color="auto"/>
      </w:divBdr>
    </w:div>
    <w:div w:id="1904025166">
      <w:bodyDiv w:val="1"/>
      <w:marLeft w:val="0"/>
      <w:marRight w:val="0"/>
      <w:marTop w:val="0"/>
      <w:marBottom w:val="0"/>
      <w:divBdr>
        <w:top w:val="none" w:sz="0" w:space="0" w:color="auto"/>
        <w:left w:val="none" w:sz="0" w:space="0" w:color="auto"/>
        <w:bottom w:val="none" w:sz="0" w:space="0" w:color="auto"/>
        <w:right w:val="none" w:sz="0" w:space="0" w:color="auto"/>
      </w:divBdr>
    </w:div>
    <w:div w:id="1960643165">
      <w:bodyDiv w:val="1"/>
      <w:marLeft w:val="0"/>
      <w:marRight w:val="0"/>
      <w:marTop w:val="0"/>
      <w:marBottom w:val="0"/>
      <w:divBdr>
        <w:top w:val="none" w:sz="0" w:space="0" w:color="auto"/>
        <w:left w:val="none" w:sz="0" w:space="0" w:color="auto"/>
        <w:bottom w:val="none" w:sz="0" w:space="0" w:color="auto"/>
        <w:right w:val="none" w:sz="0" w:space="0" w:color="auto"/>
      </w:divBdr>
    </w:div>
    <w:div w:id="1976330380">
      <w:bodyDiv w:val="1"/>
      <w:marLeft w:val="0"/>
      <w:marRight w:val="0"/>
      <w:marTop w:val="0"/>
      <w:marBottom w:val="0"/>
      <w:divBdr>
        <w:top w:val="none" w:sz="0" w:space="0" w:color="auto"/>
        <w:left w:val="none" w:sz="0" w:space="0" w:color="auto"/>
        <w:bottom w:val="none" w:sz="0" w:space="0" w:color="auto"/>
        <w:right w:val="none" w:sz="0" w:space="0" w:color="auto"/>
      </w:divBdr>
    </w:div>
    <w:div w:id="1989169329">
      <w:bodyDiv w:val="1"/>
      <w:marLeft w:val="0"/>
      <w:marRight w:val="0"/>
      <w:marTop w:val="0"/>
      <w:marBottom w:val="0"/>
      <w:divBdr>
        <w:top w:val="none" w:sz="0" w:space="0" w:color="auto"/>
        <w:left w:val="none" w:sz="0" w:space="0" w:color="auto"/>
        <w:bottom w:val="none" w:sz="0" w:space="0" w:color="auto"/>
        <w:right w:val="none" w:sz="0" w:space="0" w:color="auto"/>
      </w:divBdr>
    </w:div>
    <w:div w:id="2054185552">
      <w:bodyDiv w:val="1"/>
      <w:marLeft w:val="0"/>
      <w:marRight w:val="0"/>
      <w:marTop w:val="0"/>
      <w:marBottom w:val="0"/>
      <w:divBdr>
        <w:top w:val="none" w:sz="0" w:space="0" w:color="auto"/>
        <w:left w:val="none" w:sz="0" w:space="0" w:color="auto"/>
        <w:bottom w:val="none" w:sz="0" w:space="0" w:color="auto"/>
        <w:right w:val="none" w:sz="0" w:space="0" w:color="auto"/>
      </w:divBdr>
    </w:div>
    <w:div w:id="2087069931">
      <w:bodyDiv w:val="1"/>
      <w:marLeft w:val="0"/>
      <w:marRight w:val="0"/>
      <w:marTop w:val="0"/>
      <w:marBottom w:val="0"/>
      <w:divBdr>
        <w:top w:val="none" w:sz="0" w:space="0" w:color="auto"/>
        <w:left w:val="none" w:sz="0" w:space="0" w:color="auto"/>
        <w:bottom w:val="none" w:sz="0" w:space="0" w:color="auto"/>
        <w:right w:val="none" w:sz="0" w:space="0" w:color="auto"/>
      </w:divBdr>
    </w:div>
    <w:div w:id="2098822485">
      <w:bodyDiv w:val="1"/>
      <w:marLeft w:val="0"/>
      <w:marRight w:val="0"/>
      <w:marTop w:val="0"/>
      <w:marBottom w:val="0"/>
      <w:divBdr>
        <w:top w:val="none" w:sz="0" w:space="0" w:color="auto"/>
        <w:left w:val="none" w:sz="0" w:space="0" w:color="auto"/>
        <w:bottom w:val="none" w:sz="0" w:space="0" w:color="auto"/>
        <w:right w:val="none" w:sz="0" w:space="0" w:color="auto"/>
      </w:divBdr>
    </w:div>
    <w:div w:id="210529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4.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8E21BB33F5BD448848235A6507C30D" ma:contentTypeVersion="15" ma:contentTypeDescription="Create a new document." ma:contentTypeScope="" ma:versionID="6cddfd522b75061d2e45c833736c1a16">
  <xsd:schema xmlns:xsd="http://www.w3.org/2001/XMLSchema" xmlns:xs="http://www.w3.org/2001/XMLSchema" xmlns:p="http://schemas.microsoft.com/office/2006/metadata/properties" xmlns:ns2="c0ec3bd0-57bc-4a8a-a4cf-1fd7515a5c19" xmlns:ns3="411f0fbb-fa67-4be3-92e1-5dc1c30295df" targetNamespace="http://schemas.microsoft.com/office/2006/metadata/properties" ma:root="true" ma:fieldsID="71c98dcc772911c143452d19b3083ff6" ns2:_="" ns3:_="">
    <xsd:import namespace="c0ec3bd0-57bc-4a8a-a4cf-1fd7515a5c19"/>
    <xsd:import namespace="411f0fbb-fa67-4be3-92e1-5dc1c30295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c3bd0-57bc-4a8a-a4cf-1fd7515a5c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5a68c88-44fc-4f08-973a-2642d440fea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f0fbb-fa67-4be3-92e1-5dc1c30295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c3b217b3-982b-48f1-8601-7f6933cd065b}" ma:internalName="TaxCatchAll" ma:showField="CatchAllData" ma:web="411f0fbb-fa67-4be3-92e1-5dc1c30295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11f0fbb-fa67-4be3-92e1-5dc1c30295df" xsi:nil="true"/>
    <lcf76f155ced4ddcb4097134ff3c332f xmlns="c0ec3bd0-57bc-4a8a-a4cf-1fd7515a5c19">
      <Terms xmlns="http://schemas.microsoft.com/office/infopath/2007/PartnerControls"/>
    </lcf76f155ced4ddcb4097134ff3c332f>
    <SharedWithUsers xmlns="411f0fbb-fa67-4be3-92e1-5dc1c30295df">
      <UserInfo>
        <DisplayName>Johna Boulafentis</DisplayName>
        <AccountId>27</AccountId>
        <AccountType/>
      </UserInfo>
      <UserInfo>
        <DisplayName>Julie Simpson</DisplayName>
        <AccountId>12</AccountId>
        <AccountType/>
      </UserInfo>
      <UserInfo>
        <DisplayName>Ken Clark</DisplayName>
        <AccountId>13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00765-6370-4A7F-BB87-AEC7C17A4CFC}">
  <ds:schemaRefs>
    <ds:schemaRef ds:uri="http://schemas.microsoft.com/sharepoint/v3/contenttype/forms"/>
  </ds:schemaRefs>
</ds:datastoreItem>
</file>

<file path=customXml/itemProps2.xml><?xml version="1.0" encoding="utf-8"?>
<ds:datastoreItem xmlns:ds="http://schemas.openxmlformats.org/officeDocument/2006/customXml" ds:itemID="{0A13EA4A-AB90-47CD-9465-1154CC8D0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c3bd0-57bc-4a8a-a4cf-1fd7515a5c19"/>
    <ds:schemaRef ds:uri="411f0fbb-fa67-4be3-92e1-5dc1c3029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BABE7B-69DF-4F1D-9D25-481C6C284291}">
  <ds:schemaRefs>
    <ds:schemaRef ds:uri="http://schemas.microsoft.com/office/2006/metadata/properties"/>
    <ds:schemaRef ds:uri="http://schemas.microsoft.com/office/infopath/2007/PartnerControls"/>
    <ds:schemaRef ds:uri="411f0fbb-fa67-4be3-92e1-5dc1c30295df"/>
    <ds:schemaRef ds:uri="c0ec3bd0-57bc-4a8a-a4cf-1fd7515a5c19"/>
  </ds:schemaRefs>
</ds:datastoreItem>
</file>

<file path=customXml/itemProps4.xml><?xml version="1.0" encoding="utf-8"?>
<ds:datastoreItem xmlns:ds="http://schemas.openxmlformats.org/officeDocument/2006/customXml" ds:itemID="{86EE8849-AE8D-48F7-8E60-535BA0800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4176</Words>
  <Characters>23513</Characters>
  <Application>Microsoft Office Word</Application>
  <DocSecurity>0</DocSecurity>
  <Lines>398</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NEz Perce Tribe CPRG Implementation Grant</dc:title>
  <dc:subject>BUDGET NARRATIVE</dc:subject>
  <dc:creator>Stefanie Krantz</dc:creator>
  <cp:keywords/>
  <dc:description/>
  <cp:lastModifiedBy>Julie Simpson</cp:lastModifiedBy>
  <cp:revision>3</cp:revision>
  <dcterms:created xsi:type="dcterms:W3CDTF">2024-04-01T21:56:00Z</dcterms:created>
  <dcterms:modified xsi:type="dcterms:W3CDTF">2024-04-01T21:56:00Z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0x010100BF8E21BB33F5BD448848235A6507C30D</vt:lpwstr>
  </property>
  <property fmtid="{D5CDD505-2E9C-101B-9397-08002B2CF9AE}" pid="3" name="MediaServiceImageTags">
    <vt:lpwstr/>
  </property>
  <property fmtid="{D5CDD505-2E9C-101B-9397-08002B2CF9AE}" pid="4" name="grammarly_documentId">
    <vt:lpwstr>documentId_6843</vt:lpwstr>
  </property>
  <property fmtid="{D5CDD505-2E9C-101B-9397-08002B2CF9AE}" pid="5" name="grammarly_documentContext">
    <vt:lpwstr>{"goals":[],"domain":"general","emotions":[],"dialect":"american"}</vt:lpwstr>
  </property>
</Properties>
</file>