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A2813A" w14:textId="2FEB84AA" w:rsidR="00A0144B" w:rsidRDefault="00A0144B" w:rsidP="00BE587E">
      <w:pPr>
        <w:rPr>
          <w:b/>
          <w:bCs/>
          <w:color w:val="156082" w:themeColor="accent1"/>
          <w:sz w:val="32"/>
          <w:szCs w:val="32"/>
        </w:rPr>
      </w:pPr>
      <w:r>
        <w:rPr>
          <w:b/>
          <w:bCs/>
          <w:color w:val="156082" w:themeColor="accent1"/>
          <w:sz w:val="32"/>
          <w:szCs w:val="32"/>
        </w:rPr>
        <w:t>All Measures</w:t>
      </w:r>
    </w:p>
    <w:p w14:paraId="52219B79" w14:textId="77777777" w:rsidR="00A0144B" w:rsidRDefault="00A0144B" w:rsidP="00BE587E">
      <w:pPr>
        <w:rPr>
          <w:b/>
          <w:bCs/>
          <w:color w:val="156082" w:themeColor="accent1"/>
          <w:sz w:val="32"/>
          <w:szCs w:val="32"/>
        </w:rPr>
      </w:pPr>
    </w:p>
    <w:p w14:paraId="30A3ECEA" w14:textId="77777777" w:rsidR="00A4683C" w:rsidRDefault="00A4683C" w:rsidP="00BE587E">
      <w:pPr>
        <w:rPr>
          <w:b/>
          <w:bCs/>
          <w:color w:val="156082" w:themeColor="accent1"/>
          <w:sz w:val="32"/>
          <w:szCs w:val="32"/>
        </w:rPr>
      </w:pPr>
    </w:p>
    <w:p w14:paraId="197D8B4A" w14:textId="5729BD91" w:rsidR="0032194F" w:rsidRPr="0024128D" w:rsidRDefault="0032194F" w:rsidP="0032194F">
      <w:pPr>
        <w:rPr>
          <w:i/>
          <w:iCs/>
        </w:rPr>
      </w:pPr>
      <w:r w:rsidRPr="0024128D">
        <w:rPr>
          <w:i/>
          <w:iCs/>
        </w:rPr>
        <w:t xml:space="preserve">Table </w:t>
      </w:r>
      <w:r>
        <w:rPr>
          <w:i/>
          <w:iCs/>
        </w:rPr>
        <w:t xml:space="preserve">– </w:t>
      </w:r>
      <w:r w:rsidR="007714AF">
        <w:rPr>
          <w:i/>
          <w:iCs/>
        </w:rPr>
        <w:t>Total of all Measures</w:t>
      </w:r>
    </w:p>
    <w:p w14:paraId="113A5C50" w14:textId="377D170C" w:rsidR="004B27CD" w:rsidRPr="004B27CD" w:rsidRDefault="004B2760" w:rsidP="00A615C0">
      <w:pPr>
        <w:rPr>
          <w:b/>
          <w:bCs/>
        </w:rPr>
      </w:pPr>
      <w:r w:rsidRPr="004B2760">
        <w:drawing>
          <wp:inline distT="0" distB="0" distL="0" distR="0" wp14:anchorId="51EFC406" wp14:editId="65A4CED2">
            <wp:extent cx="6400800" cy="637540"/>
            <wp:effectExtent l="0" t="0" r="0" b="0"/>
            <wp:docPr id="108043534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637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195CBC" w14:textId="77777777" w:rsidR="00675AE5" w:rsidRPr="004B27CD" w:rsidRDefault="00675AE5" w:rsidP="00A615C0">
      <w:pPr>
        <w:rPr>
          <w:b/>
          <w:bCs/>
        </w:rPr>
      </w:pPr>
    </w:p>
    <w:p w14:paraId="484118BC" w14:textId="2310014C" w:rsidR="007714AF" w:rsidRPr="007714AF" w:rsidRDefault="007714AF" w:rsidP="00A615C0">
      <w:pPr>
        <w:rPr>
          <w:i/>
          <w:iCs/>
        </w:rPr>
      </w:pPr>
      <w:r w:rsidRPr="0024128D">
        <w:rPr>
          <w:i/>
          <w:iCs/>
        </w:rPr>
        <w:t xml:space="preserve">Table </w:t>
      </w:r>
      <w:r>
        <w:rPr>
          <w:i/>
          <w:iCs/>
        </w:rPr>
        <w:t>– Summary of all Measures</w:t>
      </w:r>
    </w:p>
    <w:p w14:paraId="53912C82" w14:textId="3CEF14F1" w:rsidR="00675AE5" w:rsidRPr="00BE587E" w:rsidRDefault="007302A4" w:rsidP="00A615C0">
      <w:pPr>
        <w:rPr>
          <w:color w:val="156082" w:themeColor="accent1"/>
          <w:sz w:val="32"/>
          <w:szCs w:val="32"/>
        </w:rPr>
      </w:pPr>
      <w:r w:rsidRPr="007302A4">
        <w:drawing>
          <wp:inline distT="0" distB="0" distL="0" distR="0" wp14:anchorId="2F44E37E" wp14:editId="565B7928">
            <wp:extent cx="6400800" cy="1633855"/>
            <wp:effectExtent l="0" t="0" r="0" b="4445"/>
            <wp:docPr id="162548042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1633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C4A1E6" w14:textId="0A334214" w:rsidR="00C3710F" w:rsidRDefault="00C3710F">
      <w:pPr>
        <w:rPr>
          <w:color w:val="156082" w:themeColor="accent1"/>
          <w:sz w:val="32"/>
          <w:szCs w:val="32"/>
        </w:rPr>
      </w:pPr>
      <w:r>
        <w:rPr>
          <w:color w:val="156082" w:themeColor="accent1"/>
          <w:sz w:val="32"/>
          <w:szCs w:val="32"/>
        </w:rPr>
        <w:br w:type="page"/>
      </w:r>
    </w:p>
    <w:p w14:paraId="12EDBC51" w14:textId="1A72A661" w:rsidR="00017460" w:rsidRPr="000C616C" w:rsidRDefault="00017460" w:rsidP="00017460">
      <w:pPr>
        <w:rPr>
          <w:b/>
          <w:bCs/>
          <w:color w:val="156082" w:themeColor="accent1"/>
          <w:sz w:val="32"/>
          <w:szCs w:val="32"/>
        </w:rPr>
      </w:pPr>
      <w:r w:rsidRPr="000C616C">
        <w:rPr>
          <w:b/>
          <w:bCs/>
          <w:color w:val="156082" w:themeColor="accent1"/>
          <w:sz w:val="32"/>
          <w:szCs w:val="32"/>
        </w:rPr>
        <w:lastRenderedPageBreak/>
        <w:t xml:space="preserve">Measure </w:t>
      </w:r>
      <w:r>
        <w:rPr>
          <w:b/>
          <w:bCs/>
          <w:color w:val="156082" w:themeColor="accent1"/>
          <w:sz w:val="32"/>
          <w:szCs w:val="32"/>
        </w:rPr>
        <w:t xml:space="preserve">1 </w:t>
      </w:r>
      <w:r w:rsidR="00223FE8">
        <w:rPr>
          <w:b/>
          <w:bCs/>
          <w:color w:val="156082" w:themeColor="accent1"/>
          <w:sz w:val="32"/>
          <w:szCs w:val="32"/>
        </w:rPr>
        <w:t xml:space="preserve">– Built Environment </w:t>
      </w:r>
    </w:p>
    <w:p w14:paraId="557C9739" w14:textId="77777777" w:rsidR="00C348A9" w:rsidRPr="000B7D71" w:rsidRDefault="00C348A9" w:rsidP="00C348A9">
      <w:pPr>
        <w:rPr>
          <w:b/>
          <w:bCs/>
          <w:color w:val="4C94D8" w:themeColor="text2" w:themeTint="80"/>
          <w:sz w:val="28"/>
          <w:szCs w:val="28"/>
        </w:rPr>
      </w:pPr>
      <w:r w:rsidRPr="000B7D71">
        <w:rPr>
          <w:b/>
          <w:bCs/>
          <w:color w:val="4C94D8" w:themeColor="text2" w:themeTint="80"/>
          <w:sz w:val="28"/>
          <w:szCs w:val="28"/>
        </w:rPr>
        <w:t>GHG Reduction Estimate Method</w:t>
      </w:r>
    </w:p>
    <w:p w14:paraId="2631BDF4" w14:textId="6F742523" w:rsidR="00017460" w:rsidRPr="00017460" w:rsidRDefault="004135DF" w:rsidP="00A615C0">
      <w:r>
        <w:t xml:space="preserve">The request for Measure 1 focuses on energy </w:t>
      </w:r>
      <w:r w:rsidR="005B5379">
        <w:t xml:space="preserve">audits and </w:t>
      </w:r>
      <w:r>
        <w:t xml:space="preserve">efficiency improvements for </w:t>
      </w:r>
      <w:r w:rsidR="00504F32">
        <w:t xml:space="preserve">single-family </w:t>
      </w:r>
      <w:r>
        <w:t>residential homes and replacing</w:t>
      </w:r>
      <w:r w:rsidR="009D4C0C">
        <w:t xml:space="preserve"> fireplaces with EPA certified woodstoves. </w:t>
      </w:r>
    </w:p>
    <w:p w14:paraId="099350CD" w14:textId="77777777" w:rsidR="00017460" w:rsidRDefault="00017460" w:rsidP="00A615C0"/>
    <w:p w14:paraId="42A701BD" w14:textId="02288D32" w:rsidR="009D4C0C" w:rsidRDefault="00871451" w:rsidP="00A615C0">
      <w:r>
        <w:t xml:space="preserve">GHG reductions for energy efficiency improvements use the </w:t>
      </w:r>
      <w:r w:rsidR="008148FB">
        <w:t xml:space="preserve">CARB </w:t>
      </w:r>
      <w:r w:rsidR="00005FA1">
        <w:t>model</w:t>
      </w:r>
      <w:r w:rsidR="008148FB">
        <w:t xml:space="preserve"> for Weatherization of Low-Income Dwellings provided by the </w:t>
      </w:r>
      <w:r>
        <w:t xml:space="preserve">State of California’s </w:t>
      </w:r>
      <w:r w:rsidR="00005FA1">
        <w:t>Air Resources Board. The</w:t>
      </w:r>
      <w:r w:rsidR="00DA679E">
        <w:t xml:space="preserve"> </w:t>
      </w:r>
      <w:r w:rsidR="00005FA1">
        <w:t>model</w:t>
      </w:r>
      <w:r w:rsidR="00DA679E">
        <w:t xml:space="preserve"> estimates emissions using calculations based on the type and number of </w:t>
      </w:r>
      <w:r w:rsidR="00504F32">
        <w:t>homes</w:t>
      </w:r>
      <w:r w:rsidR="00DA679E">
        <w:t xml:space="preserve">. </w:t>
      </w:r>
      <w:r w:rsidR="005B5379">
        <w:t>This CPRG request assumes energy audits and efficiency improvements for 65</w:t>
      </w:r>
      <w:r w:rsidR="002816A9">
        <w:t>0</w:t>
      </w:r>
      <w:r w:rsidR="005B5379">
        <w:t xml:space="preserve"> homes.</w:t>
      </w:r>
    </w:p>
    <w:p w14:paraId="4E68E8E0" w14:textId="77777777" w:rsidR="00740261" w:rsidRDefault="00740261" w:rsidP="00A615C0"/>
    <w:p w14:paraId="7BEFC5D6" w14:textId="1C051447" w:rsidR="00740261" w:rsidRDefault="00740261" w:rsidP="00A615C0">
      <w:r>
        <w:t>The CARB does not account for differences in building type or quality – it assumes a constant level of inefficiency</w:t>
      </w:r>
      <w:r w:rsidR="003605F9">
        <w:t xml:space="preserve"> and potential improvement. The actual improvement may vary from home to home</w:t>
      </w:r>
      <w:r w:rsidR="00937671">
        <w:t>.</w:t>
      </w:r>
    </w:p>
    <w:p w14:paraId="499B819E" w14:textId="77777777" w:rsidR="008477E5" w:rsidRDefault="008477E5" w:rsidP="00A615C0"/>
    <w:p w14:paraId="3EED84F9" w14:textId="066C57ED" w:rsidR="008477E5" w:rsidRDefault="008477E5" w:rsidP="00A615C0">
      <w:r>
        <w:t>Separately, this measure includes purchasing and installing EPA-certified wood stoves for 35</w:t>
      </w:r>
      <w:r w:rsidR="002816A9">
        <w:t>0</w:t>
      </w:r>
      <w:r>
        <w:t xml:space="preserve"> homes. The homes in question either use fireplaces or non-certified wood stoves as a central heat source. GHG estimates </w:t>
      </w:r>
      <w:r w:rsidR="00640E5F">
        <w:t>come from CARB’s model for Woodsmoke Reduction</w:t>
      </w:r>
      <w:r w:rsidR="000D1503">
        <w:t xml:space="preserve">, which </w:t>
      </w:r>
      <w:r w:rsidR="00AF0893">
        <w:t xml:space="preserve">calculates reductions </w:t>
      </w:r>
      <w:r w:rsidR="004D4FD4">
        <w:t xml:space="preserve">using </w:t>
      </w:r>
      <w:r w:rsidR="00FF2F2C">
        <w:t xml:space="preserve">emissions from </w:t>
      </w:r>
      <w:r w:rsidR="004D4FD4">
        <w:t xml:space="preserve">the current </w:t>
      </w:r>
      <w:r w:rsidR="00FF2F2C">
        <w:t xml:space="preserve">woodstove/fireplace </w:t>
      </w:r>
      <w:r w:rsidR="00AF0893">
        <w:t xml:space="preserve">to the </w:t>
      </w:r>
      <w:r w:rsidR="00FF2F2C">
        <w:t xml:space="preserve">emissions for the </w:t>
      </w:r>
      <w:r w:rsidR="00AF0893">
        <w:t xml:space="preserve">new </w:t>
      </w:r>
      <w:r w:rsidR="00FF2F2C">
        <w:t xml:space="preserve">EPA-certified </w:t>
      </w:r>
      <w:r w:rsidR="00AF0893">
        <w:t xml:space="preserve">woodstove. </w:t>
      </w:r>
    </w:p>
    <w:p w14:paraId="2BB445B7" w14:textId="77777777" w:rsidR="00CF55B2" w:rsidRDefault="00CF55B2" w:rsidP="00A615C0"/>
    <w:p w14:paraId="55C1F4A6" w14:textId="31251309" w:rsidR="00CF55B2" w:rsidRDefault="00CF55B2" w:rsidP="00A615C0">
      <w:r>
        <w:t xml:space="preserve">The Nez Perce </w:t>
      </w:r>
      <w:r w:rsidR="003B4D57">
        <w:t>T</w:t>
      </w:r>
      <w:r>
        <w:t xml:space="preserve">ribe currently has 262 homes with fireplaces as the primary heat source and </w:t>
      </w:r>
      <w:r w:rsidR="00216216">
        <w:t xml:space="preserve">325 with uncertified wood stoves or inserts. This estimate assumes all 262 homes with fireplaces and </w:t>
      </w:r>
      <w:r w:rsidR="009B1F52">
        <w:t>88 homes with uncertified wood stoves are converted to EPA-certified wood stoves.</w:t>
      </w:r>
      <w:r w:rsidR="00F03704">
        <w:t xml:space="preserve"> Upgrading homes with fireplaces </w:t>
      </w:r>
      <w:r w:rsidR="00652F79">
        <w:t xml:space="preserve">is a priority </w:t>
      </w:r>
      <w:r w:rsidR="00F03704">
        <w:t xml:space="preserve">because </w:t>
      </w:r>
      <w:r w:rsidR="00652F79">
        <w:t>fireplaces</w:t>
      </w:r>
      <w:r w:rsidR="00F03704">
        <w:t xml:space="preserve"> are less efficient and </w:t>
      </w:r>
      <w:r w:rsidR="00AD3037">
        <w:t xml:space="preserve">present greater air quality issues than wood stoves. </w:t>
      </w:r>
    </w:p>
    <w:p w14:paraId="67C19A69" w14:textId="77777777" w:rsidR="005F101A" w:rsidRDefault="005F101A" w:rsidP="00A615C0"/>
    <w:p w14:paraId="0140BF60" w14:textId="5FCD9399" w:rsidR="005F101A" w:rsidRPr="00017460" w:rsidRDefault="005F101A" w:rsidP="00A615C0">
      <w:r>
        <w:t>We did not calculate the actual wood burned by Nez Perce Tribal members</w:t>
      </w:r>
      <w:r w:rsidR="00E37235">
        <w:t xml:space="preserve"> and relied exclusively on the assumptions in the CARB model. It is possible that Tribal members burn </w:t>
      </w:r>
      <w:proofErr w:type="gramStart"/>
      <w:r w:rsidR="00E37235">
        <w:t>more or less wood</w:t>
      </w:r>
      <w:proofErr w:type="gramEnd"/>
      <w:r w:rsidR="00E37235">
        <w:t xml:space="preserve"> than estimated by CARB.</w:t>
      </w:r>
    </w:p>
    <w:p w14:paraId="6198D633" w14:textId="77777777" w:rsidR="00017460" w:rsidRDefault="00017460" w:rsidP="00A615C0"/>
    <w:p w14:paraId="02E11549" w14:textId="77777777" w:rsidR="00AB33FD" w:rsidRDefault="00AB33FD" w:rsidP="00A615C0"/>
    <w:p w14:paraId="7995A8EE" w14:textId="77777777" w:rsidR="00C502A0" w:rsidRPr="000B7D71" w:rsidRDefault="00C502A0" w:rsidP="00C502A0">
      <w:pPr>
        <w:rPr>
          <w:b/>
          <w:bCs/>
          <w:color w:val="4C94D8" w:themeColor="text2" w:themeTint="80"/>
          <w:sz w:val="28"/>
          <w:szCs w:val="28"/>
        </w:rPr>
      </w:pPr>
      <w:r w:rsidRPr="000B7D71">
        <w:rPr>
          <w:b/>
          <w:bCs/>
          <w:color w:val="4C94D8" w:themeColor="text2" w:themeTint="80"/>
          <w:sz w:val="28"/>
          <w:szCs w:val="28"/>
        </w:rPr>
        <w:t>Models/Tools Used</w:t>
      </w:r>
    </w:p>
    <w:p w14:paraId="20FFEE33" w14:textId="30469437" w:rsidR="00C502A0" w:rsidRDefault="00C502A0" w:rsidP="00C502A0">
      <w:pPr>
        <w:pStyle w:val="ListParagraph"/>
        <w:numPr>
          <w:ilvl w:val="0"/>
          <w:numId w:val="2"/>
        </w:numPr>
      </w:pPr>
      <w:r>
        <w:t>CARB Weatherization of Low-Income Dwellings</w:t>
      </w:r>
    </w:p>
    <w:p w14:paraId="7D4D8E3D" w14:textId="1F89691B" w:rsidR="00C502A0" w:rsidRDefault="00C502A0" w:rsidP="00C502A0">
      <w:pPr>
        <w:pStyle w:val="ListParagraph"/>
        <w:numPr>
          <w:ilvl w:val="0"/>
          <w:numId w:val="2"/>
        </w:numPr>
      </w:pPr>
      <w:r>
        <w:t>CARB Wood</w:t>
      </w:r>
      <w:r w:rsidR="00431162">
        <w:t>smoke Reduction</w:t>
      </w:r>
    </w:p>
    <w:p w14:paraId="035E1DBF" w14:textId="6ECEA2C5" w:rsidR="002C26D1" w:rsidRDefault="00C65A9E" w:rsidP="00C502A0">
      <w:pPr>
        <w:pStyle w:val="ListParagraph"/>
        <w:numPr>
          <w:ilvl w:val="0"/>
          <w:numId w:val="2"/>
        </w:numPr>
      </w:pPr>
      <w:r>
        <w:t xml:space="preserve">Excel to calculate the GHG reductions </w:t>
      </w:r>
    </w:p>
    <w:p w14:paraId="58D835D2" w14:textId="77777777" w:rsidR="00C502A0" w:rsidRDefault="00C502A0" w:rsidP="00A615C0"/>
    <w:p w14:paraId="77109D0B" w14:textId="77777777" w:rsidR="00431162" w:rsidRPr="000B7D71" w:rsidRDefault="00431162" w:rsidP="00431162">
      <w:pPr>
        <w:rPr>
          <w:b/>
          <w:bCs/>
          <w:color w:val="4C94D8" w:themeColor="text2" w:themeTint="80"/>
          <w:sz w:val="28"/>
          <w:szCs w:val="28"/>
        </w:rPr>
      </w:pPr>
      <w:r w:rsidRPr="000B7D71">
        <w:rPr>
          <w:b/>
          <w:bCs/>
          <w:color w:val="4C94D8" w:themeColor="text2" w:themeTint="80"/>
          <w:sz w:val="28"/>
          <w:szCs w:val="28"/>
        </w:rPr>
        <w:t>Measure Implementation Assumptions</w:t>
      </w:r>
    </w:p>
    <w:tbl>
      <w:tblPr>
        <w:tblStyle w:val="TableGrid"/>
        <w:tblW w:w="10255" w:type="dxa"/>
        <w:tblLook w:val="04A0" w:firstRow="1" w:lastRow="0" w:firstColumn="1" w:lastColumn="0" w:noHBand="0" w:noVBand="1"/>
      </w:tblPr>
      <w:tblGrid>
        <w:gridCol w:w="2065"/>
        <w:gridCol w:w="998"/>
        <w:gridCol w:w="1702"/>
        <w:gridCol w:w="5490"/>
      </w:tblGrid>
      <w:tr w:rsidR="00B65A8F" w:rsidRPr="00CE067B" w14:paraId="5EAB887C" w14:textId="77777777" w:rsidTr="008A7DF9">
        <w:tc>
          <w:tcPr>
            <w:tcW w:w="2065" w:type="dxa"/>
            <w:shd w:val="clear" w:color="auto" w:fill="DAE9F7" w:themeFill="text2" w:themeFillTint="1A"/>
          </w:tcPr>
          <w:p w14:paraId="28B984DF" w14:textId="77777777" w:rsidR="00B65A8F" w:rsidRPr="00CE067B" w:rsidRDefault="00B65A8F" w:rsidP="00AE4BAB">
            <w:pPr>
              <w:rPr>
                <w:b/>
                <w:bCs/>
              </w:rPr>
            </w:pPr>
            <w:r w:rsidRPr="00CE067B">
              <w:rPr>
                <w:b/>
                <w:bCs/>
              </w:rPr>
              <w:t>Assumption</w:t>
            </w:r>
          </w:p>
        </w:tc>
        <w:tc>
          <w:tcPr>
            <w:tcW w:w="998" w:type="dxa"/>
            <w:shd w:val="clear" w:color="auto" w:fill="DAE9F7" w:themeFill="text2" w:themeFillTint="1A"/>
          </w:tcPr>
          <w:p w14:paraId="702B2764" w14:textId="2C59BDE2" w:rsidR="00B65A8F" w:rsidRPr="00CE067B" w:rsidRDefault="008A7DF9" w:rsidP="00AE4BAB">
            <w:pPr>
              <w:rPr>
                <w:b/>
                <w:bCs/>
              </w:rPr>
            </w:pPr>
            <w:r>
              <w:rPr>
                <w:b/>
                <w:bCs/>
              </w:rPr>
              <w:t>Homes</w:t>
            </w:r>
          </w:p>
        </w:tc>
        <w:tc>
          <w:tcPr>
            <w:tcW w:w="1702" w:type="dxa"/>
            <w:shd w:val="clear" w:color="auto" w:fill="DAE9F7" w:themeFill="text2" w:themeFillTint="1A"/>
          </w:tcPr>
          <w:p w14:paraId="42931300" w14:textId="77777777" w:rsidR="00B65A8F" w:rsidRPr="00CE067B" w:rsidRDefault="00B65A8F" w:rsidP="00AE4BAB">
            <w:pPr>
              <w:rPr>
                <w:b/>
                <w:bCs/>
              </w:rPr>
            </w:pPr>
            <w:r w:rsidRPr="00CE067B">
              <w:rPr>
                <w:b/>
                <w:bCs/>
              </w:rPr>
              <w:t>Data Source</w:t>
            </w:r>
          </w:p>
        </w:tc>
        <w:tc>
          <w:tcPr>
            <w:tcW w:w="5490" w:type="dxa"/>
            <w:shd w:val="clear" w:color="auto" w:fill="DAE9F7" w:themeFill="text2" w:themeFillTint="1A"/>
          </w:tcPr>
          <w:p w14:paraId="1F4CC197" w14:textId="77777777" w:rsidR="00B65A8F" w:rsidRPr="00CE067B" w:rsidRDefault="00B65A8F" w:rsidP="00AE4BAB">
            <w:pPr>
              <w:rPr>
                <w:b/>
                <w:bCs/>
              </w:rPr>
            </w:pPr>
            <w:r w:rsidRPr="00CE067B">
              <w:rPr>
                <w:b/>
                <w:bCs/>
              </w:rPr>
              <w:t>Context</w:t>
            </w:r>
          </w:p>
        </w:tc>
      </w:tr>
      <w:tr w:rsidR="00B65A8F" w14:paraId="460FE292" w14:textId="77777777" w:rsidTr="008A7DF9">
        <w:tc>
          <w:tcPr>
            <w:tcW w:w="2065" w:type="dxa"/>
          </w:tcPr>
          <w:p w14:paraId="759FD396" w14:textId="01C0CB3E" w:rsidR="00B65A8F" w:rsidRDefault="008A7DF9" w:rsidP="00AE4BAB">
            <w:r>
              <w:t>A</w:t>
            </w:r>
            <w:r w:rsidR="00D802DE">
              <w:t>udits/upgrades</w:t>
            </w:r>
          </w:p>
        </w:tc>
        <w:tc>
          <w:tcPr>
            <w:tcW w:w="998" w:type="dxa"/>
          </w:tcPr>
          <w:p w14:paraId="0F8519D5" w14:textId="33779465" w:rsidR="00B65A8F" w:rsidRDefault="00B65A8F" w:rsidP="0012097A">
            <w:pPr>
              <w:jc w:val="center"/>
            </w:pPr>
            <w:r>
              <w:t>65</w:t>
            </w:r>
            <w:r w:rsidR="001B1B65">
              <w:t>0</w:t>
            </w:r>
          </w:p>
        </w:tc>
        <w:tc>
          <w:tcPr>
            <w:tcW w:w="1702" w:type="dxa"/>
          </w:tcPr>
          <w:p w14:paraId="003CA912" w14:textId="77777777" w:rsidR="00B65A8F" w:rsidRDefault="00B65A8F" w:rsidP="00AE4BAB">
            <w:r>
              <w:t>Nez Perce</w:t>
            </w:r>
          </w:p>
        </w:tc>
        <w:tc>
          <w:tcPr>
            <w:tcW w:w="5490" w:type="dxa"/>
          </w:tcPr>
          <w:p w14:paraId="322EBCDB" w14:textId="31231898" w:rsidR="00B65A8F" w:rsidRDefault="00AB33FD" w:rsidP="00AE4BAB">
            <w:r>
              <w:t>H</w:t>
            </w:r>
            <w:r w:rsidR="00B65A8F">
              <w:t xml:space="preserve">omes </w:t>
            </w:r>
            <w:r w:rsidR="00947A35">
              <w:t>included</w:t>
            </w:r>
            <w:r w:rsidR="00B65A8F">
              <w:t xml:space="preserve"> for energy upgrades and weatherization</w:t>
            </w:r>
          </w:p>
        </w:tc>
      </w:tr>
      <w:tr w:rsidR="000B1897" w14:paraId="2D39CF71" w14:textId="77777777" w:rsidTr="008A7DF9">
        <w:tc>
          <w:tcPr>
            <w:tcW w:w="2065" w:type="dxa"/>
          </w:tcPr>
          <w:p w14:paraId="14532F42" w14:textId="54E7EE1C" w:rsidR="000B1897" w:rsidRDefault="008A7DF9" w:rsidP="00AE4BAB">
            <w:r>
              <w:t>W</w:t>
            </w:r>
            <w:r w:rsidR="00D802DE">
              <w:t>ood stoves</w:t>
            </w:r>
          </w:p>
        </w:tc>
        <w:tc>
          <w:tcPr>
            <w:tcW w:w="998" w:type="dxa"/>
          </w:tcPr>
          <w:p w14:paraId="5648A462" w14:textId="437E795A" w:rsidR="000B1897" w:rsidRDefault="00D26B5F" w:rsidP="0012097A">
            <w:pPr>
              <w:jc w:val="center"/>
            </w:pPr>
            <w:r>
              <w:t>350</w:t>
            </w:r>
          </w:p>
        </w:tc>
        <w:tc>
          <w:tcPr>
            <w:tcW w:w="1702" w:type="dxa"/>
          </w:tcPr>
          <w:p w14:paraId="3BD7204A" w14:textId="030F3325" w:rsidR="000B1897" w:rsidRDefault="00D802DE" w:rsidP="00AE4BAB">
            <w:r>
              <w:t>Nez Perce</w:t>
            </w:r>
          </w:p>
        </w:tc>
        <w:tc>
          <w:tcPr>
            <w:tcW w:w="5490" w:type="dxa"/>
          </w:tcPr>
          <w:p w14:paraId="46FE84CF" w14:textId="73EF3195" w:rsidR="000B1897" w:rsidRDefault="00392266" w:rsidP="00AE4BAB">
            <w:r>
              <w:t>Homes included</w:t>
            </w:r>
            <w:r w:rsidR="00D802DE">
              <w:t xml:space="preserve"> </w:t>
            </w:r>
            <w:r w:rsidR="00A6757E">
              <w:t xml:space="preserve">using fireplaces </w:t>
            </w:r>
            <w:r w:rsidR="00D26B5F">
              <w:t>(26</w:t>
            </w:r>
            <w:r w:rsidR="00A63BC8">
              <w:t>4</w:t>
            </w:r>
            <w:r w:rsidR="00D26B5F">
              <w:t xml:space="preserve">) </w:t>
            </w:r>
            <w:r w:rsidR="00A6757E">
              <w:t>and non-certified wood stoves or inserts</w:t>
            </w:r>
            <w:r w:rsidR="00D26B5F">
              <w:t xml:space="preserve"> (8</w:t>
            </w:r>
            <w:r w:rsidR="00791CB2">
              <w:t>6</w:t>
            </w:r>
            <w:r w:rsidR="00D26B5F">
              <w:t>)</w:t>
            </w:r>
          </w:p>
        </w:tc>
      </w:tr>
    </w:tbl>
    <w:p w14:paraId="2D9DD08E" w14:textId="7947A079" w:rsidR="0032194F" w:rsidRDefault="0032194F" w:rsidP="008A2EDF">
      <w:pPr>
        <w:rPr>
          <w:i/>
          <w:iCs/>
        </w:rPr>
      </w:pPr>
    </w:p>
    <w:p w14:paraId="4BE43F50" w14:textId="77777777" w:rsidR="0032194F" w:rsidRDefault="0032194F">
      <w:pPr>
        <w:rPr>
          <w:i/>
          <w:iCs/>
        </w:rPr>
      </w:pPr>
      <w:r>
        <w:rPr>
          <w:i/>
          <w:iCs/>
        </w:rPr>
        <w:br w:type="page"/>
      </w:r>
    </w:p>
    <w:p w14:paraId="07FF75EB" w14:textId="4E2A64EB" w:rsidR="0024128D" w:rsidRPr="0024128D" w:rsidRDefault="0024128D" w:rsidP="008A2EDF">
      <w:pPr>
        <w:rPr>
          <w:i/>
          <w:iCs/>
        </w:rPr>
      </w:pPr>
      <w:r w:rsidRPr="0024128D">
        <w:rPr>
          <w:i/>
          <w:iCs/>
        </w:rPr>
        <w:lastRenderedPageBreak/>
        <w:t xml:space="preserve">Table </w:t>
      </w:r>
      <w:r w:rsidR="00E90F67">
        <w:rPr>
          <w:i/>
          <w:iCs/>
        </w:rPr>
        <w:t>– Energy Audits and Upgrades</w:t>
      </w:r>
    </w:p>
    <w:p w14:paraId="23A03B8D" w14:textId="1C45686E" w:rsidR="008A4EC0" w:rsidRDefault="003C1C3B" w:rsidP="008A2EDF">
      <w:pPr>
        <w:rPr>
          <w:b/>
          <w:bCs/>
        </w:rPr>
      </w:pPr>
      <w:r w:rsidRPr="003C1C3B">
        <w:rPr>
          <w:b/>
          <w:bCs/>
          <w:noProof/>
        </w:rPr>
        <w:drawing>
          <wp:inline distT="0" distB="0" distL="0" distR="0" wp14:anchorId="2DC3F723" wp14:editId="615C03A8">
            <wp:extent cx="6400800" cy="946150"/>
            <wp:effectExtent l="0" t="0" r="0" b="6350"/>
            <wp:docPr id="1531276769" name="Picture 1" descr="A table with numbers and numbe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1276769" name="Picture 1" descr="A table with numbers and numbers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946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FBBC88" w14:textId="77777777" w:rsidR="008A4EC0" w:rsidRDefault="008A4EC0" w:rsidP="008A2EDF">
      <w:pPr>
        <w:rPr>
          <w:b/>
          <w:bCs/>
        </w:rPr>
      </w:pPr>
    </w:p>
    <w:p w14:paraId="3BD53F87" w14:textId="2B3D81CD" w:rsidR="00E90F67" w:rsidRPr="00E90F67" w:rsidRDefault="00E90F67" w:rsidP="008A2EDF">
      <w:pPr>
        <w:rPr>
          <w:i/>
          <w:iCs/>
        </w:rPr>
      </w:pPr>
      <w:r w:rsidRPr="00E90F67">
        <w:rPr>
          <w:i/>
          <w:iCs/>
        </w:rPr>
        <w:t>Table – Woodstoves</w:t>
      </w:r>
    </w:p>
    <w:p w14:paraId="182F63AC" w14:textId="4CED1137" w:rsidR="0024128D" w:rsidRDefault="002C59B7" w:rsidP="008A2EDF">
      <w:pPr>
        <w:rPr>
          <w:b/>
          <w:bCs/>
        </w:rPr>
      </w:pPr>
      <w:r w:rsidRPr="002C59B7">
        <w:rPr>
          <w:b/>
          <w:bCs/>
          <w:noProof/>
        </w:rPr>
        <w:drawing>
          <wp:inline distT="0" distB="0" distL="0" distR="0" wp14:anchorId="3DBA3F33" wp14:editId="3937E38B">
            <wp:extent cx="6400800" cy="860425"/>
            <wp:effectExtent l="0" t="0" r="0" b="3175"/>
            <wp:docPr id="474634693" name="Picture 1" descr="A white and blue rectangular table with numbe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4634693" name="Picture 1" descr="A white and blue rectangular table with numbers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86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F32A81" w14:textId="77777777" w:rsidR="008B6C3A" w:rsidRDefault="008B6C3A" w:rsidP="008A2EDF">
      <w:pPr>
        <w:rPr>
          <w:b/>
          <w:bCs/>
        </w:rPr>
      </w:pPr>
    </w:p>
    <w:p w14:paraId="0F133DDE" w14:textId="77777777" w:rsidR="00AB33FD" w:rsidRDefault="00AB33FD" w:rsidP="008A2EDF">
      <w:pPr>
        <w:rPr>
          <w:b/>
          <w:bCs/>
        </w:rPr>
      </w:pPr>
    </w:p>
    <w:p w14:paraId="1BA832C1" w14:textId="10B26C83" w:rsidR="008A2EDF" w:rsidRPr="00DF021B" w:rsidRDefault="008A2EDF" w:rsidP="008A2EDF">
      <w:pPr>
        <w:rPr>
          <w:b/>
          <w:bCs/>
          <w:color w:val="4C94D8" w:themeColor="text2" w:themeTint="80"/>
          <w:sz w:val="28"/>
          <w:szCs w:val="28"/>
        </w:rPr>
      </w:pPr>
      <w:r w:rsidRPr="00DF021B">
        <w:rPr>
          <w:b/>
          <w:bCs/>
          <w:color w:val="4C94D8" w:themeColor="text2" w:themeTint="80"/>
          <w:sz w:val="28"/>
          <w:szCs w:val="28"/>
        </w:rPr>
        <w:t>GHG Reduction Estimate Assumptions</w:t>
      </w:r>
    </w:p>
    <w:p w14:paraId="70F0258D" w14:textId="518CB9C6" w:rsidR="008A2EDF" w:rsidRDefault="008A2EDF" w:rsidP="008A2EDF">
      <w:pPr>
        <w:pStyle w:val="ListParagraph"/>
        <w:numPr>
          <w:ilvl w:val="0"/>
          <w:numId w:val="2"/>
        </w:numPr>
      </w:pPr>
      <w:r>
        <w:t xml:space="preserve">Residential homes </w:t>
      </w:r>
      <w:r w:rsidR="00AD219A">
        <w:t>receiving energy audits and efficiency upgrades = 650</w:t>
      </w:r>
    </w:p>
    <w:p w14:paraId="434401A7" w14:textId="78FD5D9F" w:rsidR="00033F8A" w:rsidRDefault="00116BB1" w:rsidP="00033F8A">
      <w:pPr>
        <w:pStyle w:val="ListParagraph"/>
        <w:numPr>
          <w:ilvl w:val="1"/>
          <w:numId w:val="2"/>
        </w:numPr>
      </w:pPr>
      <w:r>
        <w:t xml:space="preserve">CARB </w:t>
      </w:r>
      <w:r w:rsidR="00033F8A">
        <w:t xml:space="preserve">Total energy savings per </w:t>
      </w:r>
      <w:r w:rsidR="00C63726">
        <w:t>home per year = 2,430 kWh</w:t>
      </w:r>
    </w:p>
    <w:p w14:paraId="2252AE42" w14:textId="62860274" w:rsidR="00C63726" w:rsidRDefault="00487DF4" w:rsidP="00033F8A">
      <w:pPr>
        <w:pStyle w:val="ListParagraph"/>
        <w:numPr>
          <w:ilvl w:val="1"/>
          <w:numId w:val="2"/>
        </w:numPr>
      </w:pPr>
      <w:proofErr w:type="spellStart"/>
      <w:r>
        <w:t>eGRID</w:t>
      </w:r>
      <w:proofErr w:type="spellEnd"/>
      <w:r>
        <w:t xml:space="preserve"> emissions factor for NWPP (updated 2022) – 605.9 </w:t>
      </w:r>
      <w:proofErr w:type="spellStart"/>
      <w:r>
        <w:t>lbs</w:t>
      </w:r>
      <w:proofErr w:type="spellEnd"/>
      <w:r>
        <w:t xml:space="preserve"> CO</w:t>
      </w:r>
      <w:r w:rsidRPr="00317F90">
        <w:rPr>
          <w:vertAlign w:val="subscript"/>
        </w:rPr>
        <w:t>2</w:t>
      </w:r>
      <w:r>
        <w:t>e/MWh</w:t>
      </w:r>
    </w:p>
    <w:p w14:paraId="1CFACBE5" w14:textId="2100CAE0" w:rsidR="006035A0" w:rsidRDefault="006035A0" w:rsidP="00033F8A">
      <w:pPr>
        <w:pStyle w:val="ListParagraph"/>
        <w:numPr>
          <w:ilvl w:val="1"/>
          <w:numId w:val="2"/>
        </w:numPr>
      </w:pPr>
      <w:r>
        <w:t xml:space="preserve">CARB census Tract </w:t>
      </w:r>
      <w:r w:rsidR="00AD11B3">
        <w:t>=</w:t>
      </w:r>
      <w:r>
        <w:t xml:space="preserve"> Single Family</w:t>
      </w:r>
    </w:p>
    <w:p w14:paraId="4BD3FF48" w14:textId="6244853C" w:rsidR="000A4747" w:rsidRDefault="000A4747" w:rsidP="00033F8A">
      <w:pPr>
        <w:pStyle w:val="ListParagraph"/>
        <w:numPr>
          <w:ilvl w:val="1"/>
          <w:numId w:val="2"/>
        </w:numPr>
      </w:pPr>
      <w:r>
        <w:t>CARB Energy Pricing = Residential</w:t>
      </w:r>
    </w:p>
    <w:p w14:paraId="5FE14A5B" w14:textId="6AB84AE6" w:rsidR="00AD219A" w:rsidRDefault="00AD219A" w:rsidP="008A2EDF">
      <w:pPr>
        <w:pStyle w:val="ListParagraph"/>
        <w:numPr>
          <w:ilvl w:val="0"/>
          <w:numId w:val="2"/>
        </w:numPr>
      </w:pPr>
      <w:r>
        <w:t>Residential homes receiving EPA-certified wood burning stoves = 350</w:t>
      </w:r>
    </w:p>
    <w:p w14:paraId="1C6B99F9" w14:textId="0C6240AD" w:rsidR="00ED2857" w:rsidRDefault="00ED2857" w:rsidP="00ED2857">
      <w:pPr>
        <w:pStyle w:val="ListParagraph"/>
        <w:numPr>
          <w:ilvl w:val="1"/>
          <w:numId w:val="2"/>
        </w:numPr>
      </w:pPr>
      <w:r>
        <w:t xml:space="preserve">Fireplaces to be converted to </w:t>
      </w:r>
      <w:r w:rsidR="00CF0A7A">
        <w:t>EPA-certified wood burning stoves = 262</w:t>
      </w:r>
    </w:p>
    <w:p w14:paraId="34E411BB" w14:textId="2E129822" w:rsidR="00CF0A7A" w:rsidRDefault="00CF0A7A" w:rsidP="00ED2857">
      <w:pPr>
        <w:pStyle w:val="ListParagraph"/>
        <w:numPr>
          <w:ilvl w:val="1"/>
          <w:numId w:val="2"/>
        </w:numPr>
      </w:pPr>
      <w:r>
        <w:t>Wood stoves to be converted to EPA-certified wood burning stoves = 88</w:t>
      </w:r>
    </w:p>
    <w:p w14:paraId="304DEB74" w14:textId="4A9E7705" w:rsidR="00116BB1" w:rsidRDefault="00116BB1" w:rsidP="00ED2857">
      <w:pPr>
        <w:pStyle w:val="ListParagraph"/>
        <w:numPr>
          <w:ilvl w:val="1"/>
          <w:numId w:val="2"/>
        </w:numPr>
      </w:pPr>
      <w:r>
        <w:t xml:space="preserve">CARB GHG reductions </w:t>
      </w:r>
      <w:r w:rsidR="00186FF6">
        <w:t xml:space="preserve">per </w:t>
      </w:r>
      <w:r w:rsidR="00C3535E">
        <w:t xml:space="preserve">year </w:t>
      </w:r>
      <w:r w:rsidR="00864EE1">
        <w:t xml:space="preserve">from fireplace conversion </w:t>
      </w:r>
      <w:r>
        <w:t xml:space="preserve">= </w:t>
      </w:r>
      <w:r w:rsidR="00C3535E">
        <w:t>4.15 MTCO</w:t>
      </w:r>
      <w:r w:rsidR="00C3535E" w:rsidRPr="00437DF1">
        <w:rPr>
          <w:vertAlign w:val="subscript"/>
        </w:rPr>
        <w:t>2</w:t>
      </w:r>
      <w:r w:rsidR="00C3535E">
        <w:t>e</w:t>
      </w:r>
    </w:p>
    <w:p w14:paraId="1E93F550" w14:textId="75D1B9AF" w:rsidR="00C3535E" w:rsidRDefault="00C3535E" w:rsidP="00C3535E">
      <w:pPr>
        <w:pStyle w:val="ListParagraph"/>
        <w:numPr>
          <w:ilvl w:val="1"/>
          <w:numId w:val="2"/>
        </w:numPr>
      </w:pPr>
      <w:r>
        <w:t xml:space="preserve">CARB GHG reductions per year from fireplace conversion = </w:t>
      </w:r>
      <w:r w:rsidR="00317F90">
        <w:t>1.50 M</w:t>
      </w:r>
      <w:r>
        <w:t>TCO</w:t>
      </w:r>
      <w:r w:rsidRPr="00437DF1">
        <w:rPr>
          <w:vertAlign w:val="subscript"/>
        </w:rPr>
        <w:t>2</w:t>
      </w:r>
      <w:r>
        <w:t>e</w:t>
      </w:r>
    </w:p>
    <w:p w14:paraId="079CE2E8" w14:textId="77777777" w:rsidR="00B65A8F" w:rsidRDefault="00B65A8F" w:rsidP="00A615C0"/>
    <w:p w14:paraId="3CD38DD5" w14:textId="77777777" w:rsidR="00A4683C" w:rsidRDefault="00A4683C" w:rsidP="00956814">
      <w:pPr>
        <w:rPr>
          <w:b/>
          <w:bCs/>
          <w:color w:val="4C94D8" w:themeColor="text2" w:themeTint="80"/>
          <w:sz w:val="28"/>
          <w:szCs w:val="28"/>
        </w:rPr>
      </w:pPr>
    </w:p>
    <w:p w14:paraId="158CB01C" w14:textId="1B699706" w:rsidR="00956814" w:rsidRPr="00DF021B" w:rsidRDefault="00956814" w:rsidP="00956814">
      <w:pPr>
        <w:rPr>
          <w:b/>
          <w:bCs/>
          <w:color w:val="4C94D8" w:themeColor="text2" w:themeTint="80"/>
          <w:sz w:val="28"/>
          <w:szCs w:val="28"/>
        </w:rPr>
      </w:pPr>
      <w:r w:rsidRPr="00DF021B">
        <w:rPr>
          <w:b/>
          <w:bCs/>
          <w:color w:val="4C94D8" w:themeColor="text2" w:themeTint="80"/>
          <w:sz w:val="28"/>
          <w:szCs w:val="28"/>
        </w:rPr>
        <w:t>Reference Case Scenario</w:t>
      </w:r>
    </w:p>
    <w:p w14:paraId="7AB080C7" w14:textId="7A8E4E59" w:rsidR="00956814" w:rsidRDefault="00EC07C0" w:rsidP="00A615C0">
      <w:r>
        <w:t xml:space="preserve">There are </w:t>
      </w:r>
      <w:r w:rsidR="00DA412C">
        <w:t>7,353 single-family homes on the Nez Perce Reservation of varying age</w:t>
      </w:r>
      <w:r w:rsidR="00482437">
        <w:t xml:space="preserve">, construction type, and construction quality. </w:t>
      </w:r>
      <w:proofErr w:type="gramStart"/>
      <w:r w:rsidR="00482437">
        <w:t>All of</w:t>
      </w:r>
      <w:proofErr w:type="gramEnd"/>
      <w:r w:rsidR="00482437">
        <w:t xml:space="preserve"> these homes will benefit from energy audits and improvements. </w:t>
      </w:r>
      <w:r w:rsidR="005E3376">
        <w:t xml:space="preserve">The current request is for 650 of those homes. </w:t>
      </w:r>
      <w:r w:rsidR="00370A39" w:rsidRPr="002B0CD2">
        <w:t xml:space="preserve">Energy audits will identify opportunities to weatherize buildings and reduce energy use. Weatherization upgrades may include but, are not limited to, sealing leaks in building envelope and heating/cooling systems, improving insulation, upgrading appliances, </w:t>
      </w:r>
      <w:proofErr w:type="gramStart"/>
      <w:r w:rsidR="00370A39" w:rsidRPr="002B0CD2">
        <w:t>sealing</w:t>
      </w:r>
      <w:proofErr w:type="gramEnd"/>
      <w:r w:rsidR="00370A39" w:rsidRPr="002B0CD2">
        <w:t xml:space="preserve"> or replacing doors and windows, minor wall/roof repairs, evaluating alternative heating and cooling options such as electric heat pumps, mini splits, installing ceiling fans, and insulating water heaters.</w:t>
      </w:r>
      <w:r w:rsidR="000D31B1">
        <w:t xml:space="preserve"> </w:t>
      </w:r>
      <w:r w:rsidR="009E3EC9">
        <w:t>Some of th</w:t>
      </w:r>
      <w:r w:rsidR="000D31B1">
        <w:t xml:space="preserve">ese improvements will have the added benefit of reducing </w:t>
      </w:r>
      <w:r w:rsidR="009E3EC9">
        <w:t xml:space="preserve">the occupants’ exposure to </w:t>
      </w:r>
      <w:r w:rsidR="004D7DA9">
        <w:t xml:space="preserve">the increasing amount of wildfire </w:t>
      </w:r>
      <w:r w:rsidR="009E3EC9">
        <w:t>smoke.</w:t>
      </w:r>
    </w:p>
    <w:p w14:paraId="78F43830" w14:textId="77777777" w:rsidR="00956814" w:rsidRDefault="00956814" w:rsidP="00A615C0"/>
    <w:p w14:paraId="457EDE8A" w14:textId="0E88B3D4" w:rsidR="007C7739" w:rsidRDefault="007C7739" w:rsidP="007C7739">
      <w:r w:rsidRPr="00160B5F">
        <w:t xml:space="preserve">Burning firewood is a cultural practice for Tribal members and a traditional and primary source of heat for many homes on the Reservation. </w:t>
      </w:r>
      <w:r w:rsidR="000C188B" w:rsidRPr="00160B5F">
        <w:t>Removing stoves and replacing them with non-wood burning heat sources is not a viable option</w:t>
      </w:r>
      <w:r w:rsidR="000C188B">
        <w:t xml:space="preserve"> because of the cultural importance. Therefore, we looked at the impacts of converting to certified alternatives.</w:t>
      </w:r>
      <w:r w:rsidR="00F1083D">
        <w:t xml:space="preserve"> </w:t>
      </w:r>
    </w:p>
    <w:p w14:paraId="7B696676" w14:textId="77777777" w:rsidR="00956814" w:rsidRDefault="00956814" w:rsidP="00A615C0"/>
    <w:p w14:paraId="26C70453" w14:textId="77777777" w:rsidR="00AB33FD" w:rsidRDefault="00AB33FD" w:rsidP="00A615C0"/>
    <w:p w14:paraId="32855B7D" w14:textId="77777777" w:rsidR="004D7DA9" w:rsidRPr="00DF021B" w:rsidRDefault="004D7DA9" w:rsidP="004D7DA9">
      <w:pPr>
        <w:rPr>
          <w:b/>
          <w:bCs/>
          <w:color w:val="4C94D8" w:themeColor="text2" w:themeTint="80"/>
          <w:sz w:val="28"/>
          <w:szCs w:val="28"/>
        </w:rPr>
      </w:pPr>
      <w:r w:rsidRPr="00DF021B">
        <w:rPr>
          <w:b/>
          <w:bCs/>
          <w:color w:val="4C94D8" w:themeColor="text2" w:themeTint="80"/>
          <w:sz w:val="28"/>
          <w:szCs w:val="28"/>
        </w:rPr>
        <w:lastRenderedPageBreak/>
        <w:t>Measure-Specific Activity Data</w:t>
      </w:r>
    </w:p>
    <w:p w14:paraId="7F04FD48" w14:textId="1B7C65CE" w:rsidR="004D7DA9" w:rsidRDefault="004D7DA9" w:rsidP="004D7DA9">
      <w:r>
        <w:t xml:space="preserve">This measure assumes that </w:t>
      </w:r>
      <w:r w:rsidR="00C573ED">
        <w:t xml:space="preserve">weatherization will reduce </w:t>
      </w:r>
      <w:r w:rsidR="00937671">
        <w:t xml:space="preserve">energy use for </w:t>
      </w:r>
      <w:r w:rsidR="00B8021C">
        <w:t>single family home</w:t>
      </w:r>
      <w:r w:rsidR="00F9042B">
        <w:t xml:space="preserve">s </w:t>
      </w:r>
      <w:r w:rsidR="00C573ED">
        <w:t>and</w:t>
      </w:r>
      <w:r w:rsidR="00B8021C">
        <w:t xml:space="preserve"> thereby reduce overall GHG emissions.</w:t>
      </w:r>
      <w:r w:rsidR="003A6D8D">
        <w:t xml:space="preserve"> The corresponding reduction and energy use is based on the CARB model for </w:t>
      </w:r>
      <w:r w:rsidR="00DF7A00">
        <w:t>Weatherization of Low-Income Dwellings. Actual improvements will vary based on the type of home and the</w:t>
      </w:r>
      <w:r w:rsidR="00FD7D09">
        <w:t xml:space="preserve"> mitigations implemented.</w:t>
      </w:r>
      <w:r w:rsidR="002717AB">
        <w:t xml:space="preserve"> Specific data used includes the total number of homes and CARB estimates for kWh</w:t>
      </w:r>
      <w:r w:rsidR="00AE2C1D">
        <w:t xml:space="preserve"> and </w:t>
      </w:r>
      <w:r w:rsidR="00D55047">
        <w:t xml:space="preserve">the </w:t>
      </w:r>
      <w:proofErr w:type="spellStart"/>
      <w:r w:rsidR="00D55047">
        <w:t>eGRID</w:t>
      </w:r>
      <w:proofErr w:type="spellEnd"/>
      <w:r w:rsidR="00D55047">
        <w:t xml:space="preserve"> </w:t>
      </w:r>
      <w:r w:rsidR="00AE2C1D">
        <w:t>MTCO</w:t>
      </w:r>
      <w:r w:rsidR="00AE2C1D" w:rsidRPr="00AE2C1D">
        <w:rPr>
          <w:vertAlign w:val="subscript"/>
        </w:rPr>
        <w:t>2</w:t>
      </w:r>
      <w:r w:rsidR="00AE2C1D">
        <w:t>e</w:t>
      </w:r>
      <w:r w:rsidR="00D55047">
        <w:t xml:space="preserve"> factor for the NWPP subregion</w:t>
      </w:r>
      <w:r w:rsidR="00AE2C1D">
        <w:t>.</w:t>
      </w:r>
    </w:p>
    <w:p w14:paraId="2021AF30" w14:textId="77777777" w:rsidR="00FD7D09" w:rsidRDefault="00FD7D09" w:rsidP="004D7DA9"/>
    <w:p w14:paraId="11F4FA82" w14:textId="79DFE4AC" w:rsidR="00FD7D09" w:rsidRPr="00817605" w:rsidRDefault="00FD7D09" w:rsidP="004D7DA9">
      <w:r>
        <w:t>Emissions from fireplaces and non-certified wood stoves is based on the CARB model for Woodsmoke Reduction</w:t>
      </w:r>
      <w:r w:rsidR="00AE2C1D">
        <w:t xml:space="preserve"> and data includes the total number of fireplaces and woodstoves, </w:t>
      </w:r>
      <w:r w:rsidR="00554488">
        <w:t>EPA certified wood stoves or inserts as the replacement, and CARB estimates for MTCO</w:t>
      </w:r>
      <w:r w:rsidR="00554488" w:rsidRPr="00554488">
        <w:rPr>
          <w:vertAlign w:val="subscript"/>
        </w:rPr>
        <w:t>2</w:t>
      </w:r>
      <w:r w:rsidR="00554488">
        <w:t>e.</w:t>
      </w:r>
    </w:p>
    <w:p w14:paraId="424F8AE9" w14:textId="77777777" w:rsidR="002B3E12" w:rsidRDefault="002B3E12"/>
    <w:p w14:paraId="0C74F8BB" w14:textId="77777777" w:rsidR="00AB33FD" w:rsidRPr="004D7DA9" w:rsidRDefault="00AB33FD"/>
    <w:p w14:paraId="335832C9" w14:textId="70936EB4" w:rsidR="00554488" w:rsidRPr="00DF021B" w:rsidRDefault="00554488" w:rsidP="00554488">
      <w:pPr>
        <w:rPr>
          <w:b/>
          <w:bCs/>
          <w:color w:val="4C94D8" w:themeColor="text2" w:themeTint="80"/>
          <w:sz w:val="28"/>
          <w:szCs w:val="28"/>
        </w:rPr>
      </w:pPr>
      <w:r w:rsidRPr="00DF021B">
        <w:rPr>
          <w:b/>
          <w:bCs/>
          <w:color w:val="4C94D8" w:themeColor="text2" w:themeTint="80"/>
          <w:sz w:val="28"/>
          <w:szCs w:val="28"/>
        </w:rPr>
        <w:t>GHG Emissions Reduced</w:t>
      </w:r>
    </w:p>
    <w:p w14:paraId="3C4A7F2B" w14:textId="77777777" w:rsidR="00F83139" w:rsidRPr="00550521" w:rsidRDefault="00F83139" w:rsidP="00F83139">
      <w:pPr>
        <w:rPr>
          <w:i/>
          <w:iCs/>
        </w:rPr>
      </w:pPr>
      <w:r w:rsidRPr="00550521">
        <w:rPr>
          <w:i/>
          <w:iCs/>
        </w:rPr>
        <w:t>Table – Energy Efficiency Improvements</w:t>
      </w:r>
    </w:p>
    <w:p w14:paraId="10FD7B6D" w14:textId="2E134ED4" w:rsidR="00F83139" w:rsidRDefault="00D73258" w:rsidP="00F83139">
      <w:r w:rsidRPr="00D73258">
        <w:drawing>
          <wp:inline distT="0" distB="0" distL="0" distR="0" wp14:anchorId="34CDC66C" wp14:editId="001D1455">
            <wp:extent cx="6400800" cy="1870710"/>
            <wp:effectExtent l="0" t="0" r="0" b="0"/>
            <wp:docPr id="1847453499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1870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2E5559" w14:textId="1AF4F741" w:rsidR="00B17B07" w:rsidRDefault="00B17B07">
      <w:pPr>
        <w:rPr>
          <w:i/>
          <w:iCs/>
        </w:rPr>
      </w:pPr>
    </w:p>
    <w:p w14:paraId="04FCF49C" w14:textId="1799CBDB" w:rsidR="00F83139" w:rsidRPr="00D579AC" w:rsidRDefault="00F83139" w:rsidP="00F83139">
      <w:pPr>
        <w:rPr>
          <w:i/>
          <w:iCs/>
        </w:rPr>
      </w:pPr>
      <w:r w:rsidRPr="00D579AC">
        <w:rPr>
          <w:i/>
          <w:iCs/>
        </w:rPr>
        <w:t>Table – Woodstove Emissions Reduction</w:t>
      </w:r>
    </w:p>
    <w:p w14:paraId="7740C6FB" w14:textId="419D0CFA" w:rsidR="00F83139" w:rsidRDefault="00021E80" w:rsidP="00F83139">
      <w:r w:rsidRPr="00021E80">
        <w:rPr>
          <w:noProof/>
        </w:rPr>
        <w:drawing>
          <wp:inline distT="0" distB="0" distL="0" distR="0" wp14:anchorId="576A4A69" wp14:editId="795D3D57">
            <wp:extent cx="6400800" cy="270954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270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1E81E0" w14:textId="42BE280B" w:rsidR="00A4683C" w:rsidRDefault="00A4683C">
      <w:r>
        <w:br w:type="page"/>
      </w:r>
    </w:p>
    <w:p w14:paraId="14130704" w14:textId="77777777" w:rsidR="00F83139" w:rsidRDefault="00F83139" w:rsidP="00F83139"/>
    <w:p w14:paraId="2C691710" w14:textId="77777777" w:rsidR="00F83139" w:rsidRPr="00F83139" w:rsidRDefault="00F83139" w:rsidP="00F83139">
      <w:pPr>
        <w:rPr>
          <w:i/>
          <w:iCs/>
        </w:rPr>
      </w:pPr>
      <w:r w:rsidRPr="00F83139">
        <w:rPr>
          <w:i/>
          <w:iCs/>
        </w:rPr>
        <w:t>Table – Total Emissions Reduction Measure 1</w:t>
      </w:r>
    </w:p>
    <w:p w14:paraId="56A68C7D" w14:textId="09CFBD1F" w:rsidR="00F83139" w:rsidRDefault="00021E80" w:rsidP="00F83139">
      <w:r w:rsidRPr="00021E80">
        <w:rPr>
          <w:noProof/>
        </w:rPr>
        <w:drawing>
          <wp:inline distT="0" distB="0" distL="0" distR="0" wp14:anchorId="429624E8" wp14:editId="06986E97">
            <wp:extent cx="6400800" cy="17208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172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E51D77" w14:textId="47D127E6" w:rsidR="008A2EDF" w:rsidRDefault="008A2EDF">
      <w:pPr>
        <w:rPr>
          <w:b/>
          <w:bCs/>
          <w:color w:val="156082" w:themeColor="accent1"/>
          <w:sz w:val="32"/>
          <w:szCs w:val="32"/>
        </w:rPr>
      </w:pPr>
    </w:p>
    <w:p w14:paraId="08C9FD5F" w14:textId="77777777" w:rsidR="00021E80" w:rsidRDefault="00021E80" w:rsidP="00A615C0">
      <w:pPr>
        <w:rPr>
          <w:b/>
          <w:bCs/>
          <w:color w:val="156082" w:themeColor="accent1"/>
          <w:sz w:val="32"/>
          <w:szCs w:val="32"/>
        </w:rPr>
      </w:pPr>
    </w:p>
    <w:p w14:paraId="02232CE0" w14:textId="76A3E661" w:rsidR="00A615C0" w:rsidRPr="000C616C" w:rsidRDefault="00A615C0" w:rsidP="00A615C0">
      <w:pPr>
        <w:rPr>
          <w:b/>
          <w:bCs/>
          <w:color w:val="156082" w:themeColor="accent1"/>
          <w:sz w:val="32"/>
          <w:szCs w:val="32"/>
        </w:rPr>
      </w:pPr>
      <w:r w:rsidRPr="000C616C">
        <w:rPr>
          <w:b/>
          <w:bCs/>
          <w:color w:val="156082" w:themeColor="accent1"/>
          <w:sz w:val="32"/>
          <w:szCs w:val="32"/>
        </w:rPr>
        <w:t xml:space="preserve">Measure </w:t>
      </w:r>
      <w:r>
        <w:rPr>
          <w:b/>
          <w:bCs/>
          <w:color w:val="156082" w:themeColor="accent1"/>
          <w:sz w:val="32"/>
          <w:szCs w:val="32"/>
        </w:rPr>
        <w:t>2</w:t>
      </w:r>
      <w:r w:rsidR="00887DC2">
        <w:rPr>
          <w:b/>
          <w:bCs/>
          <w:color w:val="156082" w:themeColor="accent1"/>
          <w:sz w:val="32"/>
          <w:szCs w:val="32"/>
        </w:rPr>
        <w:t xml:space="preserve"> </w:t>
      </w:r>
      <w:r w:rsidR="00223FE8">
        <w:rPr>
          <w:b/>
          <w:bCs/>
          <w:color w:val="156082" w:themeColor="accent1"/>
          <w:sz w:val="32"/>
          <w:szCs w:val="32"/>
        </w:rPr>
        <w:t xml:space="preserve">– </w:t>
      </w:r>
      <w:r w:rsidR="00887DC2">
        <w:rPr>
          <w:b/>
          <w:bCs/>
          <w:color w:val="156082" w:themeColor="accent1"/>
          <w:sz w:val="32"/>
          <w:szCs w:val="32"/>
        </w:rPr>
        <w:t>Renewable energy installation</w:t>
      </w:r>
    </w:p>
    <w:p w14:paraId="1A7D3191" w14:textId="77777777" w:rsidR="00A615C0" w:rsidRPr="00DF021B" w:rsidRDefault="00A615C0" w:rsidP="00A615C0">
      <w:pPr>
        <w:rPr>
          <w:b/>
          <w:bCs/>
          <w:color w:val="4C94D8" w:themeColor="text2" w:themeTint="80"/>
          <w:sz w:val="28"/>
          <w:szCs w:val="28"/>
        </w:rPr>
      </w:pPr>
      <w:r w:rsidRPr="00DF021B">
        <w:rPr>
          <w:b/>
          <w:bCs/>
          <w:color w:val="4C94D8" w:themeColor="text2" w:themeTint="80"/>
          <w:sz w:val="28"/>
          <w:szCs w:val="28"/>
        </w:rPr>
        <w:t>GHG Reduction Estimate Method</w:t>
      </w:r>
    </w:p>
    <w:p w14:paraId="298E105B" w14:textId="444A1001" w:rsidR="007D75EE" w:rsidRDefault="002D211A" w:rsidP="00A615C0">
      <w:r>
        <w:t xml:space="preserve">The request for Measure 2 focuses on </w:t>
      </w:r>
      <w:r w:rsidR="007D75EE">
        <w:t xml:space="preserve">solar installation at the Clearwater River Casino </w:t>
      </w:r>
      <w:r w:rsidR="008323B5">
        <w:t xml:space="preserve">&amp; </w:t>
      </w:r>
      <w:r w:rsidR="00F57E45">
        <w:t>Lodge</w:t>
      </w:r>
      <w:r w:rsidR="008323B5">
        <w:t xml:space="preserve"> </w:t>
      </w:r>
      <w:r w:rsidR="007D75EE">
        <w:t>and the Field Office in Joseph, OR. Both locations would be fully powered by solar upon completion of this project.</w:t>
      </w:r>
    </w:p>
    <w:p w14:paraId="4F442245" w14:textId="77777777" w:rsidR="007D75EE" w:rsidRDefault="007D75EE" w:rsidP="00A615C0"/>
    <w:p w14:paraId="04690B1E" w14:textId="4F001A10" w:rsidR="009014D3" w:rsidRDefault="00223FE8" w:rsidP="006A6841">
      <w:r>
        <w:t>E</w:t>
      </w:r>
      <w:r w:rsidR="002C22B8">
        <w:t>stimated costs for purchasing and implementing solar panels and arrays</w:t>
      </w:r>
      <w:r>
        <w:t xml:space="preserve"> are based on industry averages</w:t>
      </w:r>
      <w:r w:rsidR="002C22B8">
        <w:t xml:space="preserve">. </w:t>
      </w:r>
      <w:r w:rsidR="006A6841">
        <w:t xml:space="preserve">Other costs include purchase and installation of Tesla </w:t>
      </w:r>
      <w:proofErr w:type="spellStart"/>
      <w:r w:rsidR="00D77A0A">
        <w:t>PowerWalls</w:t>
      </w:r>
      <w:proofErr w:type="spellEnd"/>
      <w:r w:rsidR="006A6841">
        <w:t xml:space="preserve"> and Tesla Megapacks. </w:t>
      </w:r>
    </w:p>
    <w:p w14:paraId="4BD2D3BC" w14:textId="77777777" w:rsidR="00CB1167" w:rsidRDefault="00CB1167" w:rsidP="006A6841"/>
    <w:p w14:paraId="7003A50E" w14:textId="3B5C2182" w:rsidR="002B160D" w:rsidRDefault="002B160D" w:rsidP="006A6841">
      <w:r>
        <w:t xml:space="preserve">GHG reductions are based on eliminating electricity </w:t>
      </w:r>
      <w:r w:rsidR="00D41766">
        <w:t>purchased</w:t>
      </w:r>
      <w:r>
        <w:t xml:space="preserve"> from the local grid. </w:t>
      </w:r>
      <w:r w:rsidR="008D424E">
        <w:t xml:space="preserve">We used 2023 </w:t>
      </w:r>
      <w:r w:rsidR="00DF021B">
        <w:t>utility data (kWh)</w:t>
      </w:r>
      <w:r w:rsidR="008D424E">
        <w:t xml:space="preserve"> for each location </w:t>
      </w:r>
      <w:r w:rsidR="00CB35CB">
        <w:t>as the baseline for reductions</w:t>
      </w:r>
      <w:r w:rsidR="008070C5">
        <w:t xml:space="preserve"> and </w:t>
      </w:r>
      <w:r w:rsidR="008D424E">
        <w:t xml:space="preserve">assumed there would be no change in demand. </w:t>
      </w:r>
      <w:r w:rsidR="00851C02">
        <w:t xml:space="preserve">Additionally, propane used at the Joseph Field Office and </w:t>
      </w:r>
      <w:r w:rsidR="00976038">
        <w:t>will be discontinued</w:t>
      </w:r>
    </w:p>
    <w:p w14:paraId="6814F760" w14:textId="77777777" w:rsidR="002B160D" w:rsidRDefault="002B160D" w:rsidP="006A6841"/>
    <w:p w14:paraId="5E2C894C" w14:textId="77777777" w:rsidR="008A2D67" w:rsidRDefault="008A2D67" w:rsidP="00A615C0"/>
    <w:p w14:paraId="439A5ECA" w14:textId="77777777" w:rsidR="00A615C0" w:rsidRPr="00DF021B" w:rsidRDefault="00A615C0" w:rsidP="00A615C0">
      <w:pPr>
        <w:rPr>
          <w:b/>
          <w:bCs/>
          <w:color w:val="4C94D8" w:themeColor="text2" w:themeTint="80"/>
          <w:sz w:val="28"/>
          <w:szCs w:val="28"/>
        </w:rPr>
      </w:pPr>
      <w:r w:rsidRPr="00DF021B">
        <w:rPr>
          <w:b/>
          <w:bCs/>
          <w:color w:val="4C94D8" w:themeColor="text2" w:themeTint="80"/>
          <w:sz w:val="28"/>
          <w:szCs w:val="28"/>
        </w:rPr>
        <w:t>Models/Tools Used</w:t>
      </w:r>
    </w:p>
    <w:p w14:paraId="343FED21" w14:textId="77F41F68" w:rsidR="006A6841" w:rsidRDefault="006A6841" w:rsidP="00891FC7">
      <w:pPr>
        <w:pStyle w:val="ListParagraph"/>
        <w:numPr>
          <w:ilvl w:val="0"/>
          <w:numId w:val="2"/>
        </w:numPr>
      </w:pPr>
      <w:proofErr w:type="spellStart"/>
      <w:r w:rsidRPr="008266CB">
        <w:t>eGRID</w:t>
      </w:r>
      <w:proofErr w:type="spellEnd"/>
      <w:r>
        <w:t xml:space="preserve"> </w:t>
      </w:r>
      <w:r w:rsidR="008266CB">
        <w:t xml:space="preserve">Summary Data </w:t>
      </w:r>
      <w:r>
        <w:t>for</w:t>
      </w:r>
      <w:r w:rsidR="00891FC7">
        <w:t xml:space="preserve"> the</w:t>
      </w:r>
      <w:r>
        <w:t xml:space="preserve"> NWPP</w:t>
      </w:r>
      <w:r w:rsidR="00891FC7">
        <w:t xml:space="preserve"> subregion (2022 data)</w:t>
      </w:r>
      <w:r>
        <w:t xml:space="preserve"> </w:t>
      </w:r>
    </w:p>
    <w:p w14:paraId="1A8D78D7" w14:textId="568E7D9D" w:rsidR="00511A78" w:rsidRDefault="00511A78" w:rsidP="00891FC7">
      <w:pPr>
        <w:pStyle w:val="ListParagraph"/>
        <w:numPr>
          <w:ilvl w:val="0"/>
          <w:numId w:val="2"/>
        </w:numPr>
      </w:pPr>
      <w:r w:rsidRPr="00DF021B">
        <w:rPr>
          <w:i/>
          <w:iCs/>
        </w:rPr>
        <w:t>EPA Emission Factors for GHG Inventories 2024</w:t>
      </w:r>
      <w:r>
        <w:t xml:space="preserve"> </w:t>
      </w:r>
      <w:r w:rsidR="00DF021B">
        <w:t xml:space="preserve">was used </w:t>
      </w:r>
      <w:r>
        <w:t>to calculate MTCO</w:t>
      </w:r>
      <w:r w:rsidRPr="00511A78">
        <w:rPr>
          <w:vertAlign w:val="subscript"/>
        </w:rPr>
        <w:t>2</w:t>
      </w:r>
      <w:r>
        <w:t>e for propane</w:t>
      </w:r>
    </w:p>
    <w:p w14:paraId="5B5CA207" w14:textId="484AADF6" w:rsidR="00AA21F8" w:rsidRDefault="00504A6E" w:rsidP="00891FC7">
      <w:pPr>
        <w:pStyle w:val="ListParagraph"/>
        <w:numPr>
          <w:ilvl w:val="0"/>
          <w:numId w:val="2"/>
        </w:numPr>
      </w:pPr>
      <w:r>
        <w:t xml:space="preserve">Excel </w:t>
      </w:r>
      <w:r w:rsidR="00AA21F8">
        <w:t>to calculate the GHG reductions based on kW</w:t>
      </w:r>
      <w:r w:rsidR="00317F90">
        <w:t>h</w:t>
      </w:r>
      <w:r w:rsidR="00AA21F8">
        <w:t xml:space="preserve"> and the </w:t>
      </w:r>
      <w:proofErr w:type="spellStart"/>
      <w:r w:rsidR="00AA21F8">
        <w:t>eGRID</w:t>
      </w:r>
      <w:proofErr w:type="spellEnd"/>
      <w:r w:rsidR="00AA21F8">
        <w:t xml:space="preserve"> </w:t>
      </w:r>
      <w:r w:rsidR="00891FC7">
        <w:t>factors</w:t>
      </w:r>
      <w:r>
        <w:t xml:space="preserve"> over the implementation period</w:t>
      </w:r>
    </w:p>
    <w:p w14:paraId="1023F42A" w14:textId="77777777" w:rsidR="00A615C0" w:rsidRDefault="00A615C0" w:rsidP="00A615C0"/>
    <w:p w14:paraId="38C16AB6" w14:textId="77777777" w:rsidR="008A2D67" w:rsidRDefault="008A2D67" w:rsidP="00A615C0"/>
    <w:p w14:paraId="4E5AA44E" w14:textId="77777777" w:rsidR="00A615C0" w:rsidRPr="00DF021B" w:rsidRDefault="00A615C0" w:rsidP="00A615C0">
      <w:pPr>
        <w:rPr>
          <w:b/>
          <w:bCs/>
          <w:color w:val="4C94D8" w:themeColor="text2" w:themeTint="80"/>
          <w:sz w:val="28"/>
          <w:szCs w:val="28"/>
        </w:rPr>
      </w:pPr>
      <w:r w:rsidRPr="00DF021B">
        <w:rPr>
          <w:b/>
          <w:bCs/>
          <w:color w:val="4C94D8" w:themeColor="text2" w:themeTint="80"/>
          <w:sz w:val="28"/>
          <w:szCs w:val="28"/>
        </w:rPr>
        <w:t>Measure Implementation Assumptions</w:t>
      </w:r>
    </w:p>
    <w:p w14:paraId="38EFCE3D" w14:textId="2B4C45A8" w:rsidR="00DE0298" w:rsidRPr="00DE0298" w:rsidRDefault="0056011F" w:rsidP="00A615C0">
      <w:pPr>
        <w:rPr>
          <w:i/>
          <w:iCs/>
        </w:rPr>
      </w:pPr>
      <w:r>
        <w:rPr>
          <w:i/>
          <w:iCs/>
        </w:rPr>
        <w:t xml:space="preserve">Table - </w:t>
      </w:r>
      <w:r w:rsidR="00DE0298" w:rsidRPr="00DE0298">
        <w:rPr>
          <w:i/>
          <w:iCs/>
        </w:rPr>
        <w:t>Timeline for implementation</w:t>
      </w:r>
    </w:p>
    <w:p w14:paraId="658CBF08" w14:textId="3BE89322" w:rsidR="00A77721" w:rsidRDefault="000A7CF9" w:rsidP="00B967A4">
      <w:r w:rsidRPr="000A7CF9">
        <w:rPr>
          <w:noProof/>
        </w:rPr>
        <w:drawing>
          <wp:inline distT="0" distB="0" distL="0" distR="0" wp14:anchorId="64615764" wp14:editId="763CA5D8">
            <wp:extent cx="6400800" cy="997585"/>
            <wp:effectExtent l="0" t="0" r="0" b="5715"/>
            <wp:docPr id="2005673465" name="Picture 1" descr="A table with numbers and percentag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5673465" name="Picture 1" descr="A table with numbers and percentages&#10;&#10;Description automatically 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997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0289FE" w14:textId="77777777" w:rsidR="00021E80" w:rsidRDefault="00021E80" w:rsidP="00A615C0">
      <w:pPr>
        <w:rPr>
          <w:b/>
          <w:bCs/>
          <w:color w:val="4C94D8" w:themeColor="text2" w:themeTint="80"/>
          <w:sz w:val="28"/>
          <w:szCs w:val="28"/>
        </w:rPr>
      </w:pPr>
    </w:p>
    <w:p w14:paraId="61BB54A7" w14:textId="77777777" w:rsidR="00021E80" w:rsidRDefault="00021E80" w:rsidP="00A615C0">
      <w:pPr>
        <w:rPr>
          <w:b/>
          <w:bCs/>
          <w:color w:val="4C94D8" w:themeColor="text2" w:themeTint="80"/>
          <w:sz w:val="28"/>
          <w:szCs w:val="28"/>
        </w:rPr>
      </w:pPr>
    </w:p>
    <w:p w14:paraId="634BDD87" w14:textId="6AAB804E" w:rsidR="00A615C0" w:rsidRPr="00DF021B" w:rsidRDefault="00021E80" w:rsidP="00A615C0">
      <w:pPr>
        <w:rPr>
          <w:b/>
          <w:bCs/>
          <w:color w:val="4C94D8" w:themeColor="text2" w:themeTint="80"/>
          <w:sz w:val="28"/>
          <w:szCs w:val="28"/>
        </w:rPr>
      </w:pPr>
      <w:r>
        <w:rPr>
          <w:b/>
          <w:bCs/>
          <w:color w:val="4C94D8" w:themeColor="text2" w:themeTint="80"/>
          <w:sz w:val="28"/>
          <w:szCs w:val="28"/>
        </w:rPr>
        <w:lastRenderedPageBreak/>
        <w:t>G</w:t>
      </w:r>
      <w:r w:rsidR="00A615C0" w:rsidRPr="00DF021B">
        <w:rPr>
          <w:b/>
          <w:bCs/>
          <w:color w:val="4C94D8" w:themeColor="text2" w:themeTint="80"/>
          <w:sz w:val="28"/>
          <w:szCs w:val="28"/>
        </w:rPr>
        <w:t>HG Reduction Estimate Assumptions</w:t>
      </w:r>
    </w:p>
    <w:p w14:paraId="23FF09E3" w14:textId="574E7D33" w:rsidR="00B967A4" w:rsidRDefault="003277A4" w:rsidP="00B967A4">
      <w:pPr>
        <w:pStyle w:val="ListParagraph"/>
        <w:numPr>
          <w:ilvl w:val="0"/>
          <w:numId w:val="2"/>
        </w:numPr>
      </w:pPr>
      <w:r>
        <w:t>Solar installation location</w:t>
      </w:r>
      <w:r w:rsidR="00AC38BF">
        <w:t>s</w:t>
      </w:r>
      <w:r>
        <w:t xml:space="preserve"> </w:t>
      </w:r>
      <w:r w:rsidR="00AD11B3">
        <w:t>=</w:t>
      </w:r>
      <w:r>
        <w:t xml:space="preserve"> Clearwater Casino </w:t>
      </w:r>
      <w:r w:rsidR="00B96F7D">
        <w:t xml:space="preserve">&amp; Lodge </w:t>
      </w:r>
      <w:r>
        <w:t>and Field Office in Joseph, OR</w:t>
      </w:r>
    </w:p>
    <w:p w14:paraId="0A2B20C3" w14:textId="4B3F02B7" w:rsidR="00B967A4" w:rsidRDefault="00B967A4" w:rsidP="00B967A4">
      <w:pPr>
        <w:pStyle w:val="ListParagraph"/>
        <w:numPr>
          <w:ilvl w:val="0"/>
          <w:numId w:val="2"/>
        </w:numPr>
      </w:pPr>
      <w:r>
        <w:t xml:space="preserve">2023 </w:t>
      </w:r>
      <w:r w:rsidR="00976038">
        <w:t>b</w:t>
      </w:r>
      <w:r w:rsidR="00A40105">
        <w:t>aseline for both locations – 3,102,500</w:t>
      </w:r>
      <w:r w:rsidR="00976038">
        <w:t xml:space="preserve"> kWh</w:t>
      </w:r>
    </w:p>
    <w:p w14:paraId="073127E2" w14:textId="620F201C" w:rsidR="00F73526" w:rsidRDefault="00B967A4" w:rsidP="00F73526">
      <w:pPr>
        <w:pStyle w:val="ListParagraph"/>
        <w:numPr>
          <w:ilvl w:val="0"/>
          <w:numId w:val="2"/>
        </w:numPr>
      </w:pPr>
      <w:proofErr w:type="spellStart"/>
      <w:r>
        <w:t>eGRID</w:t>
      </w:r>
      <w:proofErr w:type="spellEnd"/>
      <w:r>
        <w:t xml:space="preserve"> emissions </w:t>
      </w:r>
      <w:r w:rsidR="00BD4E5A">
        <w:t xml:space="preserve">factor </w:t>
      </w:r>
      <w:r>
        <w:t xml:space="preserve">for NWPP </w:t>
      </w:r>
      <w:r w:rsidR="00BD4E5A">
        <w:t>(</w:t>
      </w:r>
      <w:r w:rsidR="006E7483">
        <w:t xml:space="preserve">updated </w:t>
      </w:r>
      <w:r w:rsidR="00BD4E5A">
        <w:t xml:space="preserve">2022) </w:t>
      </w:r>
      <w:r w:rsidR="00976038">
        <w:t>–</w:t>
      </w:r>
      <w:r>
        <w:t xml:space="preserve"> 605.9 </w:t>
      </w:r>
      <w:proofErr w:type="spellStart"/>
      <w:r>
        <w:t>lbs</w:t>
      </w:r>
      <w:proofErr w:type="spellEnd"/>
      <w:r w:rsidR="00317F90">
        <w:t xml:space="preserve"> CO</w:t>
      </w:r>
      <w:r w:rsidR="00317F90" w:rsidRPr="00317F90">
        <w:rPr>
          <w:vertAlign w:val="subscript"/>
        </w:rPr>
        <w:t>2</w:t>
      </w:r>
      <w:r w:rsidR="00317F90">
        <w:t>e</w:t>
      </w:r>
      <w:r>
        <w:t>/MWh</w:t>
      </w:r>
    </w:p>
    <w:p w14:paraId="55A2F3BB" w14:textId="5C4E6363" w:rsidR="00534864" w:rsidRDefault="00534864" w:rsidP="00F73526">
      <w:pPr>
        <w:pStyle w:val="ListParagraph"/>
        <w:numPr>
          <w:ilvl w:val="0"/>
          <w:numId w:val="2"/>
        </w:numPr>
      </w:pPr>
      <w:r>
        <w:t>Total kWh replaced by solar</w:t>
      </w:r>
      <w:r w:rsidR="0093756E">
        <w:t xml:space="preserve"> – 3,102,500</w:t>
      </w:r>
    </w:p>
    <w:p w14:paraId="46F391B4" w14:textId="684A2B7E" w:rsidR="0093756E" w:rsidRDefault="0093756E" w:rsidP="00F73526">
      <w:pPr>
        <w:pStyle w:val="ListParagraph"/>
        <w:numPr>
          <w:ilvl w:val="0"/>
          <w:numId w:val="2"/>
        </w:numPr>
      </w:pPr>
      <w:r>
        <w:t>2023 baseline for Propane use in Joseph, OR</w:t>
      </w:r>
      <w:r w:rsidR="00E977EE">
        <w:t xml:space="preserve"> – 1,897 gallons</w:t>
      </w:r>
    </w:p>
    <w:p w14:paraId="5753901A" w14:textId="35EA85AB" w:rsidR="00CB0453" w:rsidRDefault="00CB0453" w:rsidP="00F73526">
      <w:pPr>
        <w:pStyle w:val="ListParagraph"/>
        <w:numPr>
          <w:ilvl w:val="0"/>
          <w:numId w:val="2"/>
        </w:numPr>
      </w:pPr>
      <w:r>
        <w:t>Emissions factor for Propane – 0.027 MTCO</w:t>
      </w:r>
      <w:r w:rsidRPr="00CB0453">
        <w:rPr>
          <w:vertAlign w:val="subscript"/>
        </w:rPr>
        <w:t>2</w:t>
      </w:r>
      <w:r>
        <w:t>e per gallon</w:t>
      </w:r>
    </w:p>
    <w:p w14:paraId="7909F53C" w14:textId="0FD284F0" w:rsidR="001659C1" w:rsidRDefault="001659C1" w:rsidP="00F73526">
      <w:pPr>
        <w:pStyle w:val="ListParagraph"/>
        <w:numPr>
          <w:ilvl w:val="0"/>
          <w:numId w:val="2"/>
        </w:numPr>
      </w:pPr>
      <w:r>
        <w:t>kWh replaced by solar – 100%</w:t>
      </w:r>
    </w:p>
    <w:p w14:paraId="09C20671" w14:textId="7BD8CB3B" w:rsidR="001659C1" w:rsidRDefault="001659C1" w:rsidP="00F73526">
      <w:pPr>
        <w:pStyle w:val="ListParagraph"/>
        <w:numPr>
          <w:ilvl w:val="0"/>
          <w:numId w:val="2"/>
        </w:numPr>
      </w:pPr>
      <w:r>
        <w:t>Gallons of propane replaced by solar – 100%</w:t>
      </w:r>
    </w:p>
    <w:p w14:paraId="6DBBF810" w14:textId="3ADDC6F8" w:rsidR="001659C1" w:rsidRDefault="00E452B1" w:rsidP="00F73526">
      <w:pPr>
        <w:pStyle w:val="ListParagraph"/>
        <w:numPr>
          <w:ilvl w:val="0"/>
          <w:numId w:val="2"/>
        </w:numPr>
      </w:pPr>
      <w:r>
        <w:t>No change in electricity demand in future years</w:t>
      </w:r>
    </w:p>
    <w:p w14:paraId="721929FE" w14:textId="3BC1C3BD" w:rsidR="00F47697" w:rsidRDefault="00F47697" w:rsidP="00F73526">
      <w:pPr>
        <w:pStyle w:val="ListParagraph"/>
        <w:numPr>
          <w:ilvl w:val="0"/>
          <w:numId w:val="2"/>
        </w:numPr>
      </w:pPr>
      <w:r>
        <w:t xml:space="preserve">No change in </w:t>
      </w:r>
      <w:proofErr w:type="spellStart"/>
      <w:r>
        <w:t>eGRID</w:t>
      </w:r>
      <w:proofErr w:type="spellEnd"/>
      <w:r>
        <w:t xml:space="preserve"> emissions factor for NWPP</w:t>
      </w:r>
      <w:r w:rsidR="00F45D22">
        <w:t xml:space="preserve"> in future years</w:t>
      </w:r>
    </w:p>
    <w:p w14:paraId="233DFF3B" w14:textId="77777777" w:rsidR="00317F90" w:rsidRDefault="00317F90" w:rsidP="00317F90"/>
    <w:p w14:paraId="6F322519" w14:textId="77777777" w:rsidR="00A615C0" w:rsidRDefault="00A615C0" w:rsidP="00A615C0"/>
    <w:p w14:paraId="6B456FEC" w14:textId="77777777" w:rsidR="00A615C0" w:rsidRPr="00DF021B" w:rsidRDefault="00A615C0" w:rsidP="00A615C0">
      <w:pPr>
        <w:rPr>
          <w:b/>
          <w:bCs/>
          <w:color w:val="4C94D8" w:themeColor="text2" w:themeTint="80"/>
          <w:sz w:val="28"/>
          <w:szCs w:val="28"/>
        </w:rPr>
      </w:pPr>
      <w:r w:rsidRPr="00DF021B">
        <w:rPr>
          <w:b/>
          <w:bCs/>
          <w:color w:val="4C94D8" w:themeColor="text2" w:themeTint="80"/>
          <w:sz w:val="28"/>
          <w:szCs w:val="28"/>
        </w:rPr>
        <w:t>Reference Case Scenario</w:t>
      </w:r>
    </w:p>
    <w:p w14:paraId="70156117" w14:textId="67B7C5BD" w:rsidR="009B5576" w:rsidRDefault="009B5576" w:rsidP="00A615C0">
      <w:r>
        <w:t xml:space="preserve">The Nez Perce Tribe is </w:t>
      </w:r>
      <w:r w:rsidR="00516B7F">
        <w:t>installing</w:t>
      </w:r>
      <w:r>
        <w:t xml:space="preserve"> solar panels and arrays</w:t>
      </w:r>
      <w:r w:rsidR="00DA7423">
        <w:t xml:space="preserve">, along with Tesla </w:t>
      </w:r>
      <w:proofErr w:type="spellStart"/>
      <w:r w:rsidR="00DA7423">
        <w:t>PowerWalls</w:t>
      </w:r>
      <w:proofErr w:type="spellEnd"/>
      <w:r w:rsidR="00DA7423">
        <w:t xml:space="preserve"> and Megapacks, to make the Tribe fully energy independent. This is a long-term project and this request for CPRG funding is one component of the overall project.</w:t>
      </w:r>
    </w:p>
    <w:p w14:paraId="096812F5" w14:textId="77777777" w:rsidR="009B5576" w:rsidRDefault="009B5576" w:rsidP="00A615C0"/>
    <w:p w14:paraId="4513E230" w14:textId="7F3AAF68" w:rsidR="00B727FB" w:rsidRDefault="00AD49FF" w:rsidP="00A615C0">
      <w:r>
        <w:t xml:space="preserve">Energy use by the buildings </w:t>
      </w:r>
      <w:r w:rsidR="001A77D6">
        <w:t xml:space="preserve">in future years </w:t>
      </w:r>
      <w:r>
        <w:t>is assumed to remain flat (or unchange</w:t>
      </w:r>
      <w:r w:rsidR="001A77D6">
        <w:t>d</w:t>
      </w:r>
      <w:r>
        <w:t>)</w:t>
      </w:r>
      <w:r w:rsidR="001A77D6">
        <w:t xml:space="preserve"> from the 2023 baseline</w:t>
      </w:r>
      <w:r>
        <w:t xml:space="preserve">. We did not account </w:t>
      </w:r>
      <w:r w:rsidR="00B26619">
        <w:t xml:space="preserve">for any year-over-year increases in demand, nor any decrease </w:t>
      </w:r>
      <w:r w:rsidR="004B678C">
        <w:t xml:space="preserve">in demand </w:t>
      </w:r>
      <w:r w:rsidR="00B26619">
        <w:t>related to efficiency improvements</w:t>
      </w:r>
      <w:r w:rsidR="000F3DBE">
        <w:t xml:space="preserve"> that may be implemented between 2025 and 2030 (or 2050)</w:t>
      </w:r>
      <w:r w:rsidR="00B26619">
        <w:t xml:space="preserve">. </w:t>
      </w:r>
    </w:p>
    <w:p w14:paraId="7310821F" w14:textId="77777777" w:rsidR="00B727FB" w:rsidRDefault="00B727FB" w:rsidP="00A615C0"/>
    <w:p w14:paraId="2062DF04" w14:textId="0AF2D777" w:rsidR="000F3DBE" w:rsidRPr="00F46418" w:rsidRDefault="000F3DBE" w:rsidP="00A615C0">
      <w:r>
        <w:t xml:space="preserve">Additionally, the </w:t>
      </w:r>
      <w:r w:rsidR="00CD5078">
        <w:t xml:space="preserve">GHG estimates do not account for any “greening” of the energy grid. </w:t>
      </w:r>
      <w:r w:rsidR="002A5669">
        <w:t xml:space="preserve">Our understanding is that the State of Idaho </w:t>
      </w:r>
      <w:r w:rsidR="00067D93">
        <w:t>does not have a green energy goal and did not include any requests for renewable energy in their PCAP.</w:t>
      </w:r>
    </w:p>
    <w:p w14:paraId="739B0073" w14:textId="77777777" w:rsidR="00A615C0" w:rsidRDefault="00A615C0" w:rsidP="00A615C0"/>
    <w:p w14:paraId="15497494" w14:textId="77777777" w:rsidR="00956814" w:rsidRDefault="00956814" w:rsidP="00A615C0"/>
    <w:p w14:paraId="1C6D4067" w14:textId="77777777" w:rsidR="00A615C0" w:rsidRPr="00DF021B" w:rsidRDefault="00A615C0" w:rsidP="00A615C0">
      <w:pPr>
        <w:rPr>
          <w:b/>
          <w:bCs/>
          <w:color w:val="4C94D8" w:themeColor="text2" w:themeTint="80"/>
          <w:sz w:val="28"/>
          <w:szCs w:val="28"/>
        </w:rPr>
      </w:pPr>
      <w:r w:rsidRPr="00DF021B">
        <w:rPr>
          <w:b/>
          <w:bCs/>
          <w:color w:val="4C94D8" w:themeColor="text2" w:themeTint="80"/>
          <w:sz w:val="28"/>
          <w:szCs w:val="28"/>
        </w:rPr>
        <w:t>Measure-Specific Activity Data</w:t>
      </w:r>
    </w:p>
    <w:p w14:paraId="5E661B3D" w14:textId="1FAAC8C6" w:rsidR="00A615C0" w:rsidRDefault="00817605" w:rsidP="00A615C0">
      <w:r>
        <w:t xml:space="preserve">This measure assumes that all </w:t>
      </w:r>
      <w:r w:rsidR="00DA3F43">
        <w:t xml:space="preserve">electricity produced via solar power has zero carbon emissions and fully eliminates the </w:t>
      </w:r>
      <w:proofErr w:type="spellStart"/>
      <w:r w:rsidR="00D23A82">
        <w:t>eGRID</w:t>
      </w:r>
      <w:proofErr w:type="spellEnd"/>
      <w:r w:rsidR="00D23A82">
        <w:t xml:space="preserve">-estimated </w:t>
      </w:r>
      <w:r w:rsidR="00DA3F43">
        <w:t xml:space="preserve">emissions from </w:t>
      </w:r>
      <w:r w:rsidR="009120AF">
        <w:t>commercially purchased electricit</w:t>
      </w:r>
      <w:r w:rsidR="00D23A82">
        <w:t>y. Solar efficiency is assumed at 100%</w:t>
      </w:r>
      <w:r w:rsidR="003067F1">
        <w:t xml:space="preserve"> and that </w:t>
      </w:r>
      <w:r w:rsidR="002B08DD">
        <w:t xml:space="preserve">the </w:t>
      </w:r>
      <w:r w:rsidR="00066781">
        <w:t xml:space="preserve">Tesla </w:t>
      </w:r>
      <w:proofErr w:type="spellStart"/>
      <w:r w:rsidR="003067F1">
        <w:t>PowerWalls</w:t>
      </w:r>
      <w:proofErr w:type="spellEnd"/>
      <w:r w:rsidR="003067F1">
        <w:t xml:space="preserve"> and Megapacks provide</w:t>
      </w:r>
      <w:r w:rsidR="00C336EA">
        <w:t xml:space="preserve"> </w:t>
      </w:r>
      <w:r w:rsidR="00066781">
        <w:t>sufficient storage capacity to power buildings without requiring supplemental energy from the grid.</w:t>
      </w:r>
      <w:r w:rsidR="006B7E4A">
        <w:t xml:space="preserve"> </w:t>
      </w:r>
    </w:p>
    <w:p w14:paraId="2E8AAF09" w14:textId="77777777" w:rsidR="00C336EA" w:rsidRDefault="00C336EA" w:rsidP="00A615C0"/>
    <w:p w14:paraId="06ABD6D6" w14:textId="3B5FBE55" w:rsidR="00C336EA" w:rsidRPr="00817605" w:rsidRDefault="00A70783" w:rsidP="00A615C0">
      <w:r>
        <w:t>This project will replace 3,102.5 MWh</w:t>
      </w:r>
      <w:r w:rsidR="003572E2">
        <w:t xml:space="preserve"> </w:t>
      </w:r>
      <w:r w:rsidR="00F22E87">
        <w:t xml:space="preserve">of purchased electricity </w:t>
      </w:r>
      <w:r w:rsidR="003572E2">
        <w:t>by 2030</w:t>
      </w:r>
      <w:r>
        <w:t xml:space="preserve"> </w:t>
      </w:r>
      <w:r w:rsidR="00AC2944">
        <w:t>using solar panels and arrays.</w:t>
      </w:r>
    </w:p>
    <w:p w14:paraId="2F915B8A" w14:textId="77777777" w:rsidR="00742286" w:rsidRPr="00742286" w:rsidRDefault="00742286" w:rsidP="00A615C0"/>
    <w:p w14:paraId="7AE56C3A" w14:textId="321DA7E5" w:rsidR="00A4683C" w:rsidRDefault="00A4683C">
      <w:r>
        <w:br w:type="page"/>
      </w:r>
    </w:p>
    <w:p w14:paraId="0E2FCF40" w14:textId="76717D6B" w:rsidR="00A615C0" w:rsidRPr="00DF021B" w:rsidRDefault="00A615C0" w:rsidP="00A615C0">
      <w:pPr>
        <w:rPr>
          <w:b/>
          <w:bCs/>
          <w:color w:val="4C94D8" w:themeColor="text2" w:themeTint="80"/>
          <w:sz w:val="28"/>
          <w:szCs w:val="28"/>
        </w:rPr>
      </w:pPr>
      <w:r w:rsidRPr="00DF021B">
        <w:rPr>
          <w:b/>
          <w:bCs/>
          <w:color w:val="4C94D8" w:themeColor="text2" w:themeTint="80"/>
          <w:sz w:val="28"/>
          <w:szCs w:val="28"/>
        </w:rPr>
        <w:lastRenderedPageBreak/>
        <w:t>GHG Emissions Reduced</w:t>
      </w:r>
    </w:p>
    <w:p w14:paraId="5BAA0515" w14:textId="7BCE9DBA" w:rsidR="00742286" w:rsidRDefault="00534D4D">
      <w:pPr>
        <w:rPr>
          <w:b/>
          <w:bCs/>
        </w:rPr>
      </w:pPr>
      <w:r w:rsidRPr="00534D4D">
        <w:drawing>
          <wp:inline distT="0" distB="0" distL="0" distR="0" wp14:anchorId="654395B2" wp14:editId="341146E6">
            <wp:extent cx="6400800" cy="2980690"/>
            <wp:effectExtent l="0" t="0" r="0" b="0"/>
            <wp:docPr id="164664902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2980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598146" w14:textId="77777777" w:rsidR="00A4683C" w:rsidRDefault="00A4683C" w:rsidP="00A0144B">
      <w:pPr>
        <w:rPr>
          <w:b/>
          <w:bCs/>
          <w:color w:val="156082" w:themeColor="accent1"/>
          <w:sz w:val="32"/>
          <w:szCs w:val="32"/>
        </w:rPr>
      </w:pPr>
    </w:p>
    <w:p w14:paraId="4FE9D28D" w14:textId="77777777" w:rsidR="00534D4D" w:rsidRDefault="00534D4D" w:rsidP="00A0144B">
      <w:pPr>
        <w:rPr>
          <w:b/>
          <w:bCs/>
          <w:color w:val="156082" w:themeColor="accent1"/>
          <w:sz w:val="32"/>
          <w:szCs w:val="32"/>
        </w:rPr>
      </w:pPr>
    </w:p>
    <w:p w14:paraId="0E6EA6CE" w14:textId="77777777" w:rsidR="00534D4D" w:rsidRDefault="00534D4D" w:rsidP="00A0144B">
      <w:pPr>
        <w:rPr>
          <w:b/>
          <w:bCs/>
          <w:color w:val="156082" w:themeColor="accent1"/>
          <w:sz w:val="32"/>
          <w:szCs w:val="32"/>
        </w:rPr>
      </w:pPr>
    </w:p>
    <w:p w14:paraId="0B9FBC1F" w14:textId="13ADE5E7" w:rsidR="00A0144B" w:rsidRPr="000C616C" w:rsidRDefault="00A0144B" w:rsidP="00A0144B">
      <w:pPr>
        <w:rPr>
          <w:b/>
          <w:bCs/>
          <w:color w:val="156082" w:themeColor="accent1"/>
          <w:sz w:val="32"/>
          <w:szCs w:val="32"/>
        </w:rPr>
      </w:pPr>
      <w:r w:rsidRPr="000C616C">
        <w:rPr>
          <w:b/>
          <w:bCs/>
          <w:color w:val="156082" w:themeColor="accent1"/>
          <w:sz w:val="32"/>
          <w:szCs w:val="32"/>
        </w:rPr>
        <w:t xml:space="preserve">Measure </w:t>
      </w:r>
      <w:r>
        <w:rPr>
          <w:b/>
          <w:bCs/>
          <w:color w:val="156082" w:themeColor="accent1"/>
          <w:sz w:val="32"/>
          <w:szCs w:val="32"/>
        </w:rPr>
        <w:t xml:space="preserve">3 </w:t>
      </w:r>
      <w:r w:rsidR="00EC5411">
        <w:rPr>
          <w:b/>
          <w:bCs/>
          <w:color w:val="156082" w:themeColor="accent1"/>
          <w:sz w:val="32"/>
          <w:szCs w:val="32"/>
        </w:rPr>
        <w:t xml:space="preserve">– </w:t>
      </w:r>
      <w:r w:rsidR="008A2D67">
        <w:rPr>
          <w:b/>
          <w:bCs/>
          <w:color w:val="156082" w:themeColor="accent1"/>
          <w:sz w:val="32"/>
          <w:szCs w:val="32"/>
        </w:rPr>
        <w:t>Fleet Electrification</w:t>
      </w:r>
    </w:p>
    <w:p w14:paraId="6D21293F" w14:textId="77777777" w:rsidR="005013D2" w:rsidRPr="00DF021B" w:rsidRDefault="005013D2" w:rsidP="005013D2">
      <w:pPr>
        <w:rPr>
          <w:b/>
          <w:bCs/>
          <w:color w:val="4C94D8" w:themeColor="text2" w:themeTint="80"/>
          <w:sz w:val="28"/>
          <w:szCs w:val="28"/>
        </w:rPr>
      </w:pPr>
      <w:r w:rsidRPr="00DF021B">
        <w:rPr>
          <w:b/>
          <w:bCs/>
          <w:color w:val="4C94D8" w:themeColor="text2" w:themeTint="80"/>
          <w:sz w:val="28"/>
          <w:szCs w:val="28"/>
        </w:rPr>
        <w:t>GHG Reduction Estimate Method</w:t>
      </w:r>
    </w:p>
    <w:p w14:paraId="2C385976" w14:textId="5BECC618" w:rsidR="005013D2" w:rsidRDefault="005013D2" w:rsidP="005013D2">
      <w:r>
        <w:t>Th</w:t>
      </w:r>
      <w:r w:rsidR="006D2C38">
        <w:t>is</w:t>
      </w:r>
      <w:r>
        <w:t xml:space="preserve"> request </w:t>
      </w:r>
      <w:r w:rsidR="006D2C38">
        <w:t xml:space="preserve">is a part of Measure 3 outlined in the PCAP. </w:t>
      </w:r>
      <w:r w:rsidR="00DC55D5">
        <w:t xml:space="preserve">This part of the CPRG </w:t>
      </w:r>
      <w:r w:rsidR="00B973B2">
        <w:t>application</w:t>
      </w:r>
      <w:r w:rsidR="006D2C38">
        <w:t xml:space="preserve"> will install </w:t>
      </w:r>
      <w:r w:rsidR="00A00032">
        <w:t xml:space="preserve">four </w:t>
      </w:r>
      <w:proofErr w:type="gramStart"/>
      <w:r w:rsidR="00A00032">
        <w:t>Level</w:t>
      </w:r>
      <w:proofErr w:type="gramEnd"/>
      <w:r w:rsidR="00A00032">
        <w:t xml:space="preserve"> II and two Level III chargers. </w:t>
      </w:r>
      <w:r w:rsidR="00202D78">
        <w:t xml:space="preserve">Installing these chargers starts to build the foundation </w:t>
      </w:r>
      <w:r w:rsidR="00B973B2">
        <w:t xml:space="preserve">for the </w:t>
      </w:r>
      <w:r w:rsidR="00202D78">
        <w:t>EV charging network needed to develop an all-electric fleet.</w:t>
      </w:r>
    </w:p>
    <w:p w14:paraId="08CCDC36" w14:textId="77777777" w:rsidR="005013D2" w:rsidRDefault="005013D2" w:rsidP="005013D2"/>
    <w:p w14:paraId="059BB415" w14:textId="70D22C17" w:rsidR="005013D2" w:rsidRDefault="00202D78" w:rsidP="005013D2">
      <w:r>
        <w:t xml:space="preserve">The Nez Perce Tribe currently has </w:t>
      </w:r>
      <w:r w:rsidR="00905762">
        <w:t>two chargers and the GHG estimates are based on reports provide</w:t>
      </w:r>
      <w:r w:rsidR="00704046">
        <w:t xml:space="preserve">d by </w:t>
      </w:r>
      <w:proofErr w:type="spellStart"/>
      <w:r w:rsidR="00704046">
        <w:t>Chargepoint</w:t>
      </w:r>
      <w:proofErr w:type="spellEnd"/>
      <w:r w:rsidR="003B636E">
        <w:t xml:space="preserve"> for those two chargers</w:t>
      </w:r>
      <w:r w:rsidR="00704046">
        <w:t>.</w:t>
      </w:r>
      <w:r w:rsidR="0097367B">
        <w:t xml:space="preserve"> These chargers and the six new chargers will be available to a combination of employees and the public.</w:t>
      </w:r>
    </w:p>
    <w:p w14:paraId="41584F16" w14:textId="77777777" w:rsidR="005013D2" w:rsidRDefault="005013D2" w:rsidP="005013D2"/>
    <w:p w14:paraId="6AC1713F" w14:textId="01B0D7D4" w:rsidR="00DA6C88" w:rsidRDefault="00DA6C88" w:rsidP="005013D2">
      <w:r>
        <w:t xml:space="preserve">The estimates </w:t>
      </w:r>
      <w:r w:rsidR="00305A9B">
        <w:t xml:space="preserve">include emissions reduced by employees and the public charging EVs. </w:t>
      </w:r>
      <w:r w:rsidR="00977DDE">
        <w:t xml:space="preserve">Reductions from transitioning the fleet at the </w:t>
      </w:r>
      <w:r w:rsidR="00554278">
        <w:t xml:space="preserve">Joseph Field Office </w:t>
      </w:r>
      <w:r w:rsidR="00F63FF7">
        <w:t xml:space="preserve">(based on the Nez Perce Tribe’s fleet transition plan) </w:t>
      </w:r>
      <w:r w:rsidR="00554278">
        <w:t xml:space="preserve">are also included, though the funding </w:t>
      </w:r>
      <w:r w:rsidR="00A61A78">
        <w:t>for the fleet transition is not included in this request.</w:t>
      </w:r>
    </w:p>
    <w:p w14:paraId="3313662A" w14:textId="77777777" w:rsidR="00DA6C88" w:rsidRDefault="00DA6C88" w:rsidP="005013D2"/>
    <w:p w14:paraId="73DEE770" w14:textId="77777777" w:rsidR="005013D2" w:rsidRDefault="005013D2" w:rsidP="005013D2"/>
    <w:p w14:paraId="4961BBD5" w14:textId="77777777" w:rsidR="005013D2" w:rsidRPr="00DF021B" w:rsidRDefault="005013D2" w:rsidP="005013D2">
      <w:pPr>
        <w:rPr>
          <w:b/>
          <w:bCs/>
          <w:color w:val="4C94D8" w:themeColor="text2" w:themeTint="80"/>
          <w:sz w:val="28"/>
          <w:szCs w:val="28"/>
        </w:rPr>
      </w:pPr>
      <w:r w:rsidRPr="00DF021B">
        <w:rPr>
          <w:b/>
          <w:bCs/>
          <w:color w:val="4C94D8" w:themeColor="text2" w:themeTint="80"/>
          <w:sz w:val="28"/>
          <w:szCs w:val="28"/>
        </w:rPr>
        <w:t>Models/Tools Used</w:t>
      </w:r>
    </w:p>
    <w:p w14:paraId="5A6B7E70" w14:textId="5929D7E9" w:rsidR="005013D2" w:rsidRDefault="005013D2" w:rsidP="005013D2">
      <w:pPr>
        <w:pStyle w:val="ListParagraph"/>
        <w:numPr>
          <w:ilvl w:val="0"/>
          <w:numId w:val="2"/>
        </w:numPr>
      </w:pPr>
      <w:r>
        <w:t xml:space="preserve">Excel model to calculate the GHG reductions </w:t>
      </w:r>
      <w:r w:rsidR="0097367B">
        <w:t xml:space="preserve">using 2022 </w:t>
      </w:r>
      <w:r w:rsidR="003B636E">
        <w:t xml:space="preserve">as the </w:t>
      </w:r>
      <w:r w:rsidR="0097367B">
        <w:t>baseline</w:t>
      </w:r>
      <w:r w:rsidR="003B636E">
        <w:t xml:space="preserve"> year</w:t>
      </w:r>
      <w:r w:rsidR="00E567DB">
        <w:t xml:space="preserve"> for MTCO</w:t>
      </w:r>
      <w:r w:rsidR="00E567DB" w:rsidRPr="00E567DB">
        <w:rPr>
          <w:vertAlign w:val="subscript"/>
        </w:rPr>
        <w:t>2</w:t>
      </w:r>
      <w:r w:rsidR="00E567DB">
        <w:t>e</w:t>
      </w:r>
    </w:p>
    <w:p w14:paraId="3FB2DE36" w14:textId="7FDF2AD3" w:rsidR="00662C0C" w:rsidRDefault="00662C0C" w:rsidP="005013D2">
      <w:pPr>
        <w:pStyle w:val="ListParagraph"/>
        <w:numPr>
          <w:ilvl w:val="0"/>
          <w:numId w:val="2"/>
        </w:numPr>
      </w:pPr>
      <w:r>
        <w:t>C</w:t>
      </w:r>
      <w:r w:rsidR="002269C5">
        <w:t xml:space="preserve">harging meter </w:t>
      </w:r>
      <w:r w:rsidR="00516B7F">
        <w:t>use report</w:t>
      </w:r>
      <w:r w:rsidR="002269C5">
        <w:t xml:space="preserve"> from </w:t>
      </w:r>
      <w:proofErr w:type="spellStart"/>
      <w:r w:rsidR="002269C5">
        <w:t>Chargepoint</w:t>
      </w:r>
      <w:proofErr w:type="spellEnd"/>
      <w:r w:rsidR="00E567DB">
        <w:t xml:space="preserve"> showing MTCO</w:t>
      </w:r>
      <w:r w:rsidR="00E567DB" w:rsidRPr="00E567DB">
        <w:rPr>
          <w:vertAlign w:val="subscript"/>
        </w:rPr>
        <w:t>2</w:t>
      </w:r>
      <w:r w:rsidR="00E567DB">
        <w:t>e</w:t>
      </w:r>
    </w:p>
    <w:p w14:paraId="1650A4D9" w14:textId="39C2A71D" w:rsidR="0074066F" w:rsidRDefault="0074066F" w:rsidP="005013D2">
      <w:pPr>
        <w:pStyle w:val="ListParagraph"/>
        <w:numPr>
          <w:ilvl w:val="0"/>
          <w:numId w:val="2"/>
        </w:numPr>
      </w:pPr>
      <w:r>
        <w:t xml:space="preserve">EPA </w:t>
      </w:r>
      <w:r w:rsidR="0079513C">
        <w:t xml:space="preserve">GHG emissions factors from the 2024 </w:t>
      </w:r>
      <w:r w:rsidR="001F67DB">
        <w:t>GHG Emission Factors Hub</w:t>
      </w:r>
      <w:r w:rsidR="00550B11">
        <w:t xml:space="preserve"> for vehicle type and model year</w:t>
      </w:r>
    </w:p>
    <w:p w14:paraId="68DE6527" w14:textId="77777777" w:rsidR="005013D2" w:rsidRDefault="005013D2" w:rsidP="005013D2"/>
    <w:p w14:paraId="1D81F3E9" w14:textId="77777777" w:rsidR="00534D4D" w:rsidRDefault="00534D4D" w:rsidP="005013D2">
      <w:pPr>
        <w:rPr>
          <w:b/>
          <w:bCs/>
          <w:color w:val="4C94D8" w:themeColor="text2" w:themeTint="80"/>
          <w:sz w:val="28"/>
          <w:szCs w:val="28"/>
        </w:rPr>
      </w:pPr>
    </w:p>
    <w:p w14:paraId="763D9C8D" w14:textId="77777777" w:rsidR="00534D4D" w:rsidRDefault="00534D4D" w:rsidP="005013D2">
      <w:pPr>
        <w:rPr>
          <w:b/>
          <w:bCs/>
          <w:color w:val="4C94D8" w:themeColor="text2" w:themeTint="80"/>
          <w:sz w:val="28"/>
          <w:szCs w:val="28"/>
        </w:rPr>
      </w:pPr>
    </w:p>
    <w:p w14:paraId="1CF8ACCB" w14:textId="1D76EBB7" w:rsidR="005013D2" w:rsidRPr="00DF021B" w:rsidRDefault="005013D2" w:rsidP="005013D2">
      <w:pPr>
        <w:rPr>
          <w:b/>
          <w:bCs/>
          <w:color w:val="4C94D8" w:themeColor="text2" w:themeTint="80"/>
          <w:sz w:val="28"/>
          <w:szCs w:val="28"/>
        </w:rPr>
      </w:pPr>
      <w:r w:rsidRPr="00DF021B">
        <w:rPr>
          <w:b/>
          <w:bCs/>
          <w:color w:val="4C94D8" w:themeColor="text2" w:themeTint="80"/>
          <w:sz w:val="28"/>
          <w:szCs w:val="28"/>
        </w:rPr>
        <w:lastRenderedPageBreak/>
        <w:t>Measure Implementation Assumptions</w:t>
      </w:r>
    </w:p>
    <w:p w14:paraId="0B09A51E" w14:textId="77777777" w:rsidR="005013D2" w:rsidRPr="00DE0298" w:rsidRDefault="005013D2" w:rsidP="005013D2">
      <w:pPr>
        <w:rPr>
          <w:i/>
          <w:iCs/>
        </w:rPr>
      </w:pPr>
      <w:r>
        <w:rPr>
          <w:i/>
          <w:iCs/>
        </w:rPr>
        <w:t xml:space="preserve">Table - </w:t>
      </w:r>
      <w:r w:rsidRPr="00DE0298">
        <w:rPr>
          <w:i/>
          <w:iCs/>
        </w:rPr>
        <w:t>Timeline for implementation</w:t>
      </w:r>
    </w:p>
    <w:p w14:paraId="0C101A50" w14:textId="58573A35" w:rsidR="005013D2" w:rsidRDefault="00F07C7E" w:rsidP="005013D2">
      <w:r w:rsidRPr="00F07C7E">
        <w:rPr>
          <w:noProof/>
        </w:rPr>
        <w:drawing>
          <wp:inline distT="0" distB="0" distL="0" distR="0" wp14:anchorId="2560ECD4" wp14:editId="7C4E22C7">
            <wp:extent cx="6400800" cy="1490345"/>
            <wp:effectExtent l="0" t="0" r="0" b="0"/>
            <wp:docPr id="282249578" name="Picture 1" descr="A table with numbers and numbe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249578" name="Picture 1" descr="A table with numbers and numbers&#10;&#10;Description automatically generated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490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10A707" w14:textId="77777777" w:rsidR="004255CC" w:rsidRDefault="004255CC" w:rsidP="005013D2"/>
    <w:p w14:paraId="5DF6267A" w14:textId="77777777" w:rsidR="005013D2" w:rsidRDefault="005013D2" w:rsidP="005013D2"/>
    <w:p w14:paraId="472F03F1" w14:textId="77777777" w:rsidR="005013D2" w:rsidRPr="00DF021B" w:rsidRDefault="005013D2" w:rsidP="005013D2">
      <w:pPr>
        <w:rPr>
          <w:b/>
          <w:bCs/>
          <w:color w:val="4C94D8" w:themeColor="text2" w:themeTint="80"/>
          <w:sz w:val="28"/>
          <w:szCs w:val="28"/>
        </w:rPr>
      </w:pPr>
      <w:r w:rsidRPr="00DF021B">
        <w:rPr>
          <w:b/>
          <w:bCs/>
          <w:color w:val="4C94D8" w:themeColor="text2" w:themeTint="80"/>
          <w:sz w:val="28"/>
          <w:szCs w:val="28"/>
        </w:rPr>
        <w:t>GHG Reduction Estimate Assumptions</w:t>
      </w:r>
    </w:p>
    <w:p w14:paraId="71B7046C" w14:textId="573FCDAD" w:rsidR="005013D2" w:rsidRDefault="003602A7" w:rsidP="005013D2">
      <w:pPr>
        <w:pStyle w:val="ListParagraph"/>
        <w:numPr>
          <w:ilvl w:val="0"/>
          <w:numId w:val="2"/>
        </w:numPr>
      </w:pPr>
      <w:r>
        <w:t xml:space="preserve">Charger </w:t>
      </w:r>
      <w:r w:rsidR="005013D2">
        <w:t>installation location</w:t>
      </w:r>
      <w:r>
        <w:t>s</w:t>
      </w:r>
      <w:r w:rsidR="005013D2">
        <w:t xml:space="preserve"> – Clearwater </w:t>
      </w:r>
      <w:r w:rsidR="003B636E">
        <w:t>River Casin</w:t>
      </w:r>
      <w:r w:rsidR="00E567DB">
        <w:t>o &amp; Lodge</w:t>
      </w:r>
      <w:r w:rsidR="005013D2">
        <w:t xml:space="preserve"> and Field Office in Joseph, OR</w:t>
      </w:r>
    </w:p>
    <w:p w14:paraId="42CECD9A" w14:textId="21AEBBCA" w:rsidR="005013D2" w:rsidRDefault="003602A7" w:rsidP="005013D2">
      <w:pPr>
        <w:pStyle w:val="ListParagraph"/>
        <w:numPr>
          <w:ilvl w:val="0"/>
          <w:numId w:val="2"/>
        </w:numPr>
      </w:pPr>
      <w:r>
        <w:t xml:space="preserve">Level II chargers </w:t>
      </w:r>
      <w:r w:rsidR="00120475">
        <w:t>=</w:t>
      </w:r>
      <w:r>
        <w:t xml:space="preserve"> 4</w:t>
      </w:r>
    </w:p>
    <w:p w14:paraId="3F649719" w14:textId="58C00505" w:rsidR="003602A7" w:rsidRDefault="003602A7" w:rsidP="005013D2">
      <w:pPr>
        <w:pStyle w:val="ListParagraph"/>
        <w:numPr>
          <w:ilvl w:val="0"/>
          <w:numId w:val="2"/>
        </w:numPr>
      </w:pPr>
      <w:r>
        <w:t xml:space="preserve">Level III chargers </w:t>
      </w:r>
      <w:r w:rsidR="00120475">
        <w:t>=</w:t>
      </w:r>
      <w:r>
        <w:t xml:space="preserve"> 2</w:t>
      </w:r>
    </w:p>
    <w:p w14:paraId="733284EF" w14:textId="5F2A4389" w:rsidR="003602A7" w:rsidRDefault="001D1503" w:rsidP="005013D2">
      <w:pPr>
        <w:pStyle w:val="ListParagraph"/>
        <w:numPr>
          <w:ilvl w:val="0"/>
          <w:numId w:val="2"/>
        </w:numPr>
      </w:pPr>
      <w:r>
        <w:t>EV charger emissions reduction</w:t>
      </w:r>
      <w:r w:rsidR="00120475">
        <w:t xml:space="preserve"> =</w:t>
      </w:r>
      <w:r w:rsidR="00B0252A">
        <w:t xml:space="preserve"> 5.5 MTCO2e </w:t>
      </w:r>
      <w:r>
        <w:t xml:space="preserve">per year </w:t>
      </w:r>
      <w:r w:rsidR="00B0252A">
        <w:t xml:space="preserve">(based on </w:t>
      </w:r>
      <w:r>
        <w:t>2022 d</w:t>
      </w:r>
      <w:r w:rsidR="00AD11B3">
        <w:t xml:space="preserve">ata </w:t>
      </w:r>
      <w:r w:rsidR="00550F94">
        <w:t xml:space="preserve">from </w:t>
      </w:r>
      <w:r w:rsidR="00AD11B3">
        <w:t xml:space="preserve">a </w:t>
      </w:r>
      <w:proofErr w:type="spellStart"/>
      <w:r w:rsidR="00550F94">
        <w:t>Chargepoint</w:t>
      </w:r>
      <w:proofErr w:type="spellEnd"/>
      <w:r w:rsidR="00550F94">
        <w:t xml:space="preserve"> report for </w:t>
      </w:r>
      <w:r w:rsidR="00AD11B3">
        <w:t xml:space="preserve">the existing </w:t>
      </w:r>
      <w:r w:rsidR="00550F94">
        <w:t>Nez Perce Tribe</w:t>
      </w:r>
      <w:r w:rsidR="00120475">
        <w:t xml:space="preserve"> EV chargers)</w:t>
      </w:r>
    </w:p>
    <w:p w14:paraId="61BB0798" w14:textId="35CBFF2F" w:rsidR="00D62BC0" w:rsidRDefault="00D62BC0" w:rsidP="005013D2">
      <w:pPr>
        <w:pStyle w:val="ListParagraph"/>
        <w:numPr>
          <w:ilvl w:val="0"/>
          <w:numId w:val="2"/>
        </w:numPr>
      </w:pPr>
      <w:r>
        <w:t>Timeline for transition to all electric fleet</w:t>
      </w:r>
    </w:p>
    <w:p w14:paraId="53089C56" w14:textId="3AC54246" w:rsidR="00550B11" w:rsidRDefault="00550B11" w:rsidP="00550B11">
      <w:pPr>
        <w:pStyle w:val="ListParagraph"/>
        <w:numPr>
          <w:ilvl w:val="0"/>
          <w:numId w:val="2"/>
        </w:numPr>
      </w:pPr>
      <w:r>
        <w:t>EPA GHG emissions factors from the 2024 GHG Emission Factors Hub for vehicle type and model year</w:t>
      </w:r>
    </w:p>
    <w:p w14:paraId="4AD94CD7" w14:textId="2D0CD2A2" w:rsidR="005A4321" w:rsidRDefault="005A4321" w:rsidP="005013D2">
      <w:pPr>
        <w:pStyle w:val="ListParagraph"/>
        <w:numPr>
          <w:ilvl w:val="0"/>
          <w:numId w:val="2"/>
        </w:numPr>
      </w:pPr>
      <w:r>
        <w:t>Annual emissions factors per vehicle based on vehicle type</w:t>
      </w:r>
      <w:r w:rsidR="00550B11">
        <w:t xml:space="preserve"> and annual miles travelled</w:t>
      </w:r>
      <w:r>
        <w:t>:</w:t>
      </w:r>
    </w:p>
    <w:p w14:paraId="54BD1E5E" w14:textId="73CCF227" w:rsidR="005A4321" w:rsidRDefault="005A4321" w:rsidP="005A4321">
      <w:pPr>
        <w:pStyle w:val="ListParagraph"/>
        <w:numPr>
          <w:ilvl w:val="1"/>
          <w:numId w:val="2"/>
        </w:numPr>
      </w:pPr>
      <w:r>
        <w:t xml:space="preserve">Light-duty Truck = </w:t>
      </w:r>
      <w:r w:rsidR="00433BF9">
        <w:t>5.8 MTCO</w:t>
      </w:r>
      <w:r w:rsidR="00433BF9" w:rsidRPr="00433BF9">
        <w:rPr>
          <w:vertAlign w:val="subscript"/>
        </w:rPr>
        <w:t>2</w:t>
      </w:r>
      <w:r w:rsidR="00433BF9">
        <w:t>e</w:t>
      </w:r>
    </w:p>
    <w:p w14:paraId="065DDF44" w14:textId="3922D7E6" w:rsidR="00433BF9" w:rsidRDefault="00433BF9" w:rsidP="005A4321">
      <w:pPr>
        <w:pStyle w:val="ListParagraph"/>
        <w:numPr>
          <w:ilvl w:val="1"/>
          <w:numId w:val="2"/>
        </w:numPr>
      </w:pPr>
      <w:r>
        <w:t>SUV = 8.9</w:t>
      </w:r>
      <w:r w:rsidR="00550B11">
        <w:t xml:space="preserve"> MTCO</w:t>
      </w:r>
      <w:r w:rsidR="00550B11" w:rsidRPr="00433BF9">
        <w:rPr>
          <w:vertAlign w:val="subscript"/>
        </w:rPr>
        <w:t>2</w:t>
      </w:r>
      <w:r w:rsidR="00550B11">
        <w:t>e</w:t>
      </w:r>
    </w:p>
    <w:p w14:paraId="7A2F0BA1" w14:textId="08C15E9C" w:rsidR="00550B11" w:rsidRDefault="00550B11" w:rsidP="005A4321">
      <w:pPr>
        <w:pStyle w:val="ListParagraph"/>
        <w:numPr>
          <w:ilvl w:val="1"/>
          <w:numId w:val="2"/>
        </w:numPr>
      </w:pPr>
      <w:r>
        <w:t>Sedan = 5.2 MTCO</w:t>
      </w:r>
      <w:r w:rsidRPr="00433BF9">
        <w:rPr>
          <w:vertAlign w:val="subscript"/>
        </w:rPr>
        <w:t>2</w:t>
      </w:r>
      <w:r>
        <w:t>e</w:t>
      </w:r>
    </w:p>
    <w:p w14:paraId="12B27493" w14:textId="77777777" w:rsidR="005013D2" w:rsidRDefault="005013D2" w:rsidP="005013D2"/>
    <w:p w14:paraId="632EE6E5" w14:textId="77777777" w:rsidR="005013D2" w:rsidRDefault="005013D2" w:rsidP="005013D2"/>
    <w:p w14:paraId="195CC193" w14:textId="77777777" w:rsidR="005013D2" w:rsidRPr="00DF021B" w:rsidRDefault="005013D2" w:rsidP="005013D2">
      <w:pPr>
        <w:rPr>
          <w:b/>
          <w:bCs/>
          <w:color w:val="4C94D8" w:themeColor="text2" w:themeTint="80"/>
          <w:sz w:val="28"/>
          <w:szCs w:val="28"/>
        </w:rPr>
      </w:pPr>
      <w:r w:rsidRPr="00DF021B">
        <w:rPr>
          <w:b/>
          <w:bCs/>
          <w:color w:val="4C94D8" w:themeColor="text2" w:themeTint="80"/>
          <w:sz w:val="28"/>
          <w:szCs w:val="28"/>
        </w:rPr>
        <w:t>Reference Case Scenario</w:t>
      </w:r>
    </w:p>
    <w:p w14:paraId="790EECBE" w14:textId="06325520" w:rsidR="005013D2" w:rsidRDefault="00FD2142" w:rsidP="005013D2">
      <w:r>
        <w:t>The Nez Perce Tribe intends to convert its entire fleet to electric vehicles</w:t>
      </w:r>
      <w:r w:rsidR="00FA2C28">
        <w:t xml:space="preserve"> and doing so requires installing a network of meters. The </w:t>
      </w:r>
      <w:r w:rsidR="00BC01F3">
        <w:t>Joseph</w:t>
      </w:r>
      <w:r w:rsidR="00FA2C28">
        <w:t xml:space="preserve"> Field Office is </w:t>
      </w:r>
      <w:r w:rsidR="00375352">
        <w:t>not close to cities that may have charging stations</w:t>
      </w:r>
      <w:r w:rsidR="00CD097C">
        <w:t>. Installing chargers at that location is a critical first step to converting the Fleet.</w:t>
      </w:r>
    </w:p>
    <w:p w14:paraId="4F6392F3" w14:textId="77777777" w:rsidR="00CD097C" w:rsidRDefault="00CD097C" w:rsidP="005013D2"/>
    <w:p w14:paraId="11FB2717" w14:textId="3DB8541E" w:rsidR="00CD097C" w:rsidRDefault="00CD097C" w:rsidP="005013D2">
      <w:r>
        <w:t>Adding chargers</w:t>
      </w:r>
      <w:r w:rsidR="0025049E">
        <w:t xml:space="preserve"> at the Clearwater </w:t>
      </w:r>
      <w:r w:rsidR="00B96F7D">
        <w:t xml:space="preserve">River </w:t>
      </w:r>
      <w:r w:rsidR="0025049E">
        <w:t xml:space="preserve">Casino </w:t>
      </w:r>
      <w:r w:rsidR="00B96F7D">
        <w:t xml:space="preserve">&amp; Lodge </w:t>
      </w:r>
      <w:r w:rsidR="001B5762">
        <w:t xml:space="preserve">will allow </w:t>
      </w:r>
      <w:r w:rsidR="0025049E">
        <w:t xml:space="preserve">visitors to charge their EVs. The Casino is also a frequent midway point for </w:t>
      </w:r>
      <w:r w:rsidR="00836862">
        <w:t>through-travelers to fill up with gas. Installing chargers her</w:t>
      </w:r>
      <w:r w:rsidR="00732814">
        <w:t xml:space="preserve">e will bridge a large </w:t>
      </w:r>
      <w:r w:rsidR="00B771A9">
        <w:t xml:space="preserve">geographical </w:t>
      </w:r>
      <w:r w:rsidR="00732814">
        <w:t>gap between charging stations.</w:t>
      </w:r>
    </w:p>
    <w:p w14:paraId="38DEECDF" w14:textId="77777777" w:rsidR="00732814" w:rsidRDefault="00732814" w:rsidP="005013D2"/>
    <w:p w14:paraId="4C9D2BA2" w14:textId="13B50A87" w:rsidR="005013D2" w:rsidRDefault="00785431" w:rsidP="005013D2">
      <w:r>
        <w:t xml:space="preserve">All the </w:t>
      </w:r>
      <w:proofErr w:type="gramStart"/>
      <w:r>
        <w:t>chargers</w:t>
      </w:r>
      <w:proofErr w:type="gramEnd"/>
      <w:r>
        <w:t xml:space="preserve"> will be available to a combination of the public and employees. </w:t>
      </w:r>
      <w:r w:rsidR="003631F2">
        <w:t xml:space="preserve">The use data and subsequent emissions are based on reports provided by </w:t>
      </w:r>
      <w:proofErr w:type="spellStart"/>
      <w:r w:rsidR="003631F2">
        <w:t>Char</w:t>
      </w:r>
      <w:r w:rsidR="00F219F6">
        <w:t>g</w:t>
      </w:r>
      <w:r w:rsidR="003631F2">
        <w:t>epoint</w:t>
      </w:r>
      <w:proofErr w:type="spellEnd"/>
      <w:r w:rsidR="00BC01F3">
        <w:t xml:space="preserve"> from existing Nez Perce Tribe chargers</w:t>
      </w:r>
      <w:r w:rsidR="003631F2">
        <w:t>.</w:t>
      </w:r>
    </w:p>
    <w:p w14:paraId="66755EFD" w14:textId="77777777" w:rsidR="009262D3" w:rsidRDefault="009262D3" w:rsidP="005013D2"/>
    <w:p w14:paraId="6B403C87" w14:textId="76AC2AE2" w:rsidR="004D07A5" w:rsidRDefault="004D07A5" w:rsidP="005013D2">
      <w:r>
        <w:t xml:space="preserve">Fleet vehicles range in model years. EPA data for </w:t>
      </w:r>
      <w:r w:rsidR="001209D5">
        <w:t xml:space="preserve">emissions based on model year along with average miles </w:t>
      </w:r>
      <w:r w:rsidR="00234C94">
        <w:t xml:space="preserve">for each vehicle type (e.g., Light-duty truck, SUV, Sedan) </w:t>
      </w:r>
      <w:r w:rsidR="001209D5">
        <w:t>was used to derive an annual emissions f</w:t>
      </w:r>
      <w:r w:rsidR="00234C94">
        <w:t xml:space="preserve">actor for each vehicle. </w:t>
      </w:r>
      <w:r w:rsidR="007321A6">
        <w:t>That data is reflected in the table in the GHG Emissions Reduced section.</w:t>
      </w:r>
    </w:p>
    <w:p w14:paraId="462AE129" w14:textId="77777777" w:rsidR="004D07A5" w:rsidRDefault="004D07A5" w:rsidP="005013D2"/>
    <w:p w14:paraId="30BE4B49" w14:textId="47B869B8" w:rsidR="009262D3" w:rsidRDefault="009262D3" w:rsidP="009262D3">
      <w:r>
        <w:lastRenderedPageBreak/>
        <w:t>Additionally, the GHG estimates do not account for any “greening” of the energy grid. Our understanding is that the State of Idaho does not have a green energy goal and did not include any requests for renewable energy in their PCAP.</w:t>
      </w:r>
    </w:p>
    <w:p w14:paraId="250C8A72" w14:textId="77777777" w:rsidR="00DB4EB7" w:rsidRDefault="00DB4EB7" w:rsidP="009262D3"/>
    <w:p w14:paraId="449FD45F" w14:textId="77777777" w:rsidR="005013D2" w:rsidRDefault="005013D2" w:rsidP="005013D2"/>
    <w:p w14:paraId="42A31747" w14:textId="77777777" w:rsidR="005013D2" w:rsidRPr="00F46D76" w:rsidRDefault="005013D2" w:rsidP="005013D2">
      <w:pPr>
        <w:rPr>
          <w:b/>
          <w:bCs/>
          <w:color w:val="4C94D8" w:themeColor="text2" w:themeTint="80"/>
          <w:sz w:val="28"/>
          <w:szCs w:val="28"/>
        </w:rPr>
      </w:pPr>
      <w:r w:rsidRPr="00F46D76">
        <w:rPr>
          <w:b/>
          <w:bCs/>
          <w:color w:val="4C94D8" w:themeColor="text2" w:themeTint="80"/>
          <w:sz w:val="28"/>
          <w:szCs w:val="28"/>
        </w:rPr>
        <w:t>Measure-Specific Activity Data</w:t>
      </w:r>
    </w:p>
    <w:p w14:paraId="72C1BC24" w14:textId="6C3D2A2F" w:rsidR="005B1506" w:rsidRDefault="003631F2" w:rsidP="005013D2">
      <w:r>
        <w:t xml:space="preserve">This measure assumes that </w:t>
      </w:r>
      <w:r w:rsidR="00302930">
        <w:t xml:space="preserve">emissions reductions </w:t>
      </w:r>
      <w:r>
        <w:t xml:space="preserve">2022 </w:t>
      </w:r>
      <w:r w:rsidR="00120475">
        <w:t xml:space="preserve">emissions </w:t>
      </w:r>
      <w:r w:rsidR="005B1506">
        <w:t xml:space="preserve">because there is insufficient data to project the amount of charging in future years. </w:t>
      </w:r>
      <w:r w:rsidR="00B63425">
        <w:t xml:space="preserve">It also assumes that </w:t>
      </w:r>
      <w:r w:rsidR="00C736D6">
        <w:t>the emissions reduction from use of those chargers will remain flat</w:t>
      </w:r>
      <w:r w:rsidR="00302930">
        <w:t>, which is a conservative estimate</w:t>
      </w:r>
      <w:r w:rsidR="00860E5E">
        <w:t xml:space="preserve">. </w:t>
      </w:r>
    </w:p>
    <w:p w14:paraId="1A006717" w14:textId="77777777" w:rsidR="000D4561" w:rsidRDefault="000D4561" w:rsidP="005013D2"/>
    <w:p w14:paraId="6614BF57" w14:textId="6F1DF72F" w:rsidR="000D4561" w:rsidRDefault="000D4561" w:rsidP="005013D2">
      <w:r>
        <w:t xml:space="preserve">GHG emission reductions reflect </w:t>
      </w:r>
      <w:r w:rsidR="00DB44BB">
        <w:t>a reduction in miles travelled using gasoline fueled cars and light-dut</w:t>
      </w:r>
      <w:r w:rsidR="00BB1B8B">
        <w:t>y</w:t>
      </w:r>
      <w:r w:rsidR="00DB44BB">
        <w:t xml:space="preserve"> trucks. </w:t>
      </w:r>
      <w:proofErr w:type="spellStart"/>
      <w:r w:rsidR="00BB1B8B">
        <w:t>Chargepoint</w:t>
      </w:r>
      <w:proofErr w:type="spellEnd"/>
      <w:r w:rsidR="00BB1B8B">
        <w:t xml:space="preserve"> provides the Nez Perce Tribe with reports that sho</w:t>
      </w:r>
      <w:r w:rsidR="00470E75">
        <w:t>w the kg of CO2e that are reduced from use of the stations. That data was used to estimate the reductions.</w:t>
      </w:r>
    </w:p>
    <w:p w14:paraId="0F73C283" w14:textId="77777777" w:rsidR="005B1506" w:rsidRDefault="005B1506" w:rsidP="005013D2"/>
    <w:p w14:paraId="78E8370B" w14:textId="31C1104E" w:rsidR="00550B11" w:rsidRDefault="00550B11"/>
    <w:p w14:paraId="659EB484" w14:textId="77777777" w:rsidR="005013D2" w:rsidRPr="00F46D76" w:rsidRDefault="005013D2" w:rsidP="005013D2">
      <w:pPr>
        <w:rPr>
          <w:b/>
          <w:bCs/>
          <w:color w:val="4C94D8" w:themeColor="text2" w:themeTint="80"/>
          <w:sz w:val="28"/>
          <w:szCs w:val="28"/>
        </w:rPr>
      </w:pPr>
      <w:r w:rsidRPr="00F46D76">
        <w:rPr>
          <w:b/>
          <w:bCs/>
          <w:color w:val="4C94D8" w:themeColor="text2" w:themeTint="80"/>
          <w:sz w:val="28"/>
          <w:szCs w:val="28"/>
        </w:rPr>
        <w:t>GHG Emissions Reduced</w:t>
      </w:r>
    </w:p>
    <w:p w14:paraId="7064A098" w14:textId="178470EF" w:rsidR="00A0144B" w:rsidRDefault="00EB7293">
      <w:pPr>
        <w:rPr>
          <w:b/>
          <w:bCs/>
        </w:rPr>
      </w:pPr>
      <w:r w:rsidRPr="00EB7293">
        <w:rPr>
          <w:b/>
          <w:bCs/>
          <w:noProof/>
        </w:rPr>
        <w:drawing>
          <wp:inline distT="0" distB="0" distL="0" distR="0" wp14:anchorId="4EED4469" wp14:editId="793BDCE4">
            <wp:extent cx="6400800" cy="3479165"/>
            <wp:effectExtent l="0" t="0" r="0" b="635"/>
            <wp:docPr id="1336706874" name="Picture 1" descr="A table with numbers and numbe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6706874" name="Picture 1" descr="A table with numbers and numbers&#10;&#10;Description automatically generated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3479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2775AE" w14:textId="77777777" w:rsidR="00A0144B" w:rsidRPr="00C31314" w:rsidRDefault="00A0144B">
      <w:pPr>
        <w:rPr>
          <w:b/>
          <w:bCs/>
        </w:rPr>
      </w:pPr>
    </w:p>
    <w:sectPr w:rsidR="00A0144B" w:rsidRPr="00C31314" w:rsidSect="00DC0C40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CB09E5"/>
    <w:multiLevelType w:val="hybridMultilevel"/>
    <w:tmpl w:val="0A1066BC"/>
    <w:lvl w:ilvl="0" w:tplc="99EC8AF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E2841" w:themeColor="text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B73133"/>
    <w:multiLevelType w:val="hybridMultilevel"/>
    <w:tmpl w:val="4AFE87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423399">
    <w:abstractNumId w:val="1"/>
  </w:num>
  <w:num w:numId="2" w16cid:durableId="12535155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0E1"/>
    <w:rsid w:val="000016C1"/>
    <w:rsid w:val="00005FA1"/>
    <w:rsid w:val="00006756"/>
    <w:rsid w:val="000076AC"/>
    <w:rsid w:val="0001168A"/>
    <w:rsid w:val="000121AE"/>
    <w:rsid w:val="000136E1"/>
    <w:rsid w:val="00013734"/>
    <w:rsid w:val="00017460"/>
    <w:rsid w:val="00017C07"/>
    <w:rsid w:val="00020FAC"/>
    <w:rsid w:val="00021E80"/>
    <w:rsid w:val="00033F8A"/>
    <w:rsid w:val="000403E3"/>
    <w:rsid w:val="00042821"/>
    <w:rsid w:val="0004420B"/>
    <w:rsid w:val="00044A4E"/>
    <w:rsid w:val="000562CE"/>
    <w:rsid w:val="00064B6A"/>
    <w:rsid w:val="00066781"/>
    <w:rsid w:val="00067D93"/>
    <w:rsid w:val="0007471D"/>
    <w:rsid w:val="000853E6"/>
    <w:rsid w:val="000879AB"/>
    <w:rsid w:val="000A0F5C"/>
    <w:rsid w:val="000A4747"/>
    <w:rsid w:val="000A7CF9"/>
    <w:rsid w:val="000B1897"/>
    <w:rsid w:val="000B7D71"/>
    <w:rsid w:val="000C188B"/>
    <w:rsid w:val="000C2F3F"/>
    <w:rsid w:val="000C40A9"/>
    <w:rsid w:val="000C616C"/>
    <w:rsid w:val="000D1503"/>
    <w:rsid w:val="000D24A5"/>
    <w:rsid w:val="000D31B1"/>
    <w:rsid w:val="000D3840"/>
    <w:rsid w:val="000D3953"/>
    <w:rsid w:val="000D4561"/>
    <w:rsid w:val="000D497A"/>
    <w:rsid w:val="000D7D98"/>
    <w:rsid w:val="000E39A6"/>
    <w:rsid w:val="000E3C35"/>
    <w:rsid w:val="000E4710"/>
    <w:rsid w:val="000F3DBE"/>
    <w:rsid w:val="000F6078"/>
    <w:rsid w:val="000F77A6"/>
    <w:rsid w:val="00116BB1"/>
    <w:rsid w:val="00120475"/>
    <w:rsid w:val="0012097A"/>
    <w:rsid w:val="001209D5"/>
    <w:rsid w:val="00125378"/>
    <w:rsid w:val="00160B5F"/>
    <w:rsid w:val="001659C1"/>
    <w:rsid w:val="00165ED4"/>
    <w:rsid w:val="0016781A"/>
    <w:rsid w:val="00186FF6"/>
    <w:rsid w:val="001A2165"/>
    <w:rsid w:val="001A4E58"/>
    <w:rsid w:val="001A5125"/>
    <w:rsid w:val="001A77D6"/>
    <w:rsid w:val="001B1B65"/>
    <w:rsid w:val="001B560E"/>
    <w:rsid w:val="001B5762"/>
    <w:rsid w:val="001D1503"/>
    <w:rsid w:val="001D637B"/>
    <w:rsid w:val="001D7823"/>
    <w:rsid w:val="001E4643"/>
    <w:rsid w:val="001F3241"/>
    <w:rsid w:val="001F67DB"/>
    <w:rsid w:val="002003D0"/>
    <w:rsid w:val="00202D78"/>
    <w:rsid w:val="00206E6E"/>
    <w:rsid w:val="002109F5"/>
    <w:rsid w:val="00214557"/>
    <w:rsid w:val="00216216"/>
    <w:rsid w:val="00223FE8"/>
    <w:rsid w:val="002269C5"/>
    <w:rsid w:val="002332DE"/>
    <w:rsid w:val="00234C94"/>
    <w:rsid w:val="0024128D"/>
    <w:rsid w:val="0025049E"/>
    <w:rsid w:val="00262B8F"/>
    <w:rsid w:val="002717AB"/>
    <w:rsid w:val="0027755A"/>
    <w:rsid w:val="002816A9"/>
    <w:rsid w:val="00282C47"/>
    <w:rsid w:val="00286312"/>
    <w:rsid w:val="00297A14"/>
    <w:rsid w:val="002A167A"/>
    <w:rsid w:val="002A5669"/>
    <w:rsid w:val="002A7375"/>
    <w:rsid w:val="002B08DD"/>
    <w:rsid w:val="002B0CD2"/>
    <w:rsid w:val="002B1154"/>
    <w:rsid w:val="002B160D"/>
    <w:rsid w:val="002B3E12"/>
    <w:rsid w:val="002C0CEE"/>
    <w:rsid w:val="002C22B8"/>
    <w:rsid w:val="002C244F"/>
    <w:rsid w:val="002C26D1"/>
    <w:rsid w:val="002C59B7"/>
    <w:rsid w:val="002D211A"/>
    <w:rsid w:val="002D69B6"/>
    <w:rsid w:val="002E5F77"/>
    <w:rsid w:val="002F2AC8"/>
    <w:rsid w:val="002F795E"/>
    <w:rsid w:val="00302930"/>
    <w:rsid w:val="00305A9B"/>
    <w:rsid w:val="003067F1"/>
    <w:rsid w:val="00312177"/>
    <w:rsid w:val="003140E2"/>
    <w:rsid w:val="00317F90"/>
    <w:rsid w:val="0032194F"/>
    <w:rsid w:val="00324A17"/>
    <w:rsid w:val="00325E5C"/>
    <w:rsid w:val="003277A4"/>
    <w:rsid w:val="0033693A"/>
    <w:rsid w:val="003428C2"/>
    <w:rsid w:val="00346476"/>
    <w:rsid w:val="003572E2"/>
    <w:rsid w:val="003602A7"/>
    <w:rsid w:val="003605F9"/>
    <w:rsid w:val="003621FA"/>
    <w:rsid w:val="003631F2"/>
    <w:rsid w:val="00370A39"/>
    <w:rsid w:val="00374E4E"/>
    <w:rsid w:val="00375352"/>
    <w:rsid w:val="003910E1"/>
    <w:rsid w:val="00392266"/>
    <w:rsid w:val="00396EC4"/>
    <w:rsid w:val="003A6D8D"/>
    <w:rsid w:val="003B4D57"/>
    <w:rsid w:val="003B636E"/>
    <w:rsid w:val="003C1C3B"/>
    <w:rsid w:val="003C47EF"/>
    <w:rsid w:val="003D02C4"/>
    <w:rsid w:val="003E7AF5"/>
    <w:rsid w:val="003F5B7A"/>
    <w:rsid w:val="003F6E66"/>
    <w:rsid w:val="004135DF"/>
    <w:rsid w:val="004236B9"/>
    <w:rsid w:val="004255CC"/>
    <w:rsid w:val="00427AA3"/>
    <w:rsid w:val="00431162"/>
    <w:rsid w:val="00433BF9"/>
    <w:rsid w:val="00437C2E"/>
    <w:rsid w:val="00437DF1"/>
    <w:rsid w:val="0044026F"/>
    <w:rsid w:val="00470E75"/>
    <w:rsid w:val="00482437"/>
    <w:rsid w:val="0048430E"/>
    <w:rsid w:val="00487DF4"/>
    <w:rsid w:val="004949EB"/>
    <w:rsid w:val="004960E7"/>
    <w:rsid w:val="004B0EF0"/>
    <w:rsid w:val="004B18CD"/>
    <w:rsid w:val="004B2760"/>
    <w:rsid w:val="004B27CD"/>
    <w:rsid w:val="004B678C"/>
    <w:rsid w:val="004D070B"/>
    <w:rsid w:val="004D07A5"/>
    <w:rsid w:val="004D415C"/>
    <w:rsid w:val="004D4FD4"/>
    <w:rsid w:val="004D7ADD"/>
    <w:rsid w:val="004D7DA9"/>
    <w:rsid w:val="005013D2"/>
    <w:rsid w:val="00504A6E"/>
    <w:rsid w:val="00504F32"/>
    <w:rsid w:val="00511A78"/>
    <w:rsid w:val="00516B7F"/>
    <w:rsid w:val="00520722"/>
    <w:rsid w:val="005216D9"/>
    <w:rsid w:val="00534864"/>
    <w:rsid w:val="00534D4D"/>
    <w:rsid w:val="005458A0"/>
    <w:rsid w:val="00550399"/>
    <w:rsid w:val="00550521"/>
    <w:rsid w:val="00550B11"/>
    <w:rsid w:val="00550F94"/>
    <w:rsid w:val="00554278"/>
    <w:rsid w:val="00554488"/>
    <w:rsid w:val="005554B2"/>
    <w:rsid w:val="0056011F"/>
    <w:rsid w:val="005753B4"/>
    <w:rsid w:val="00576674"/>
    <w:rsid w:val="00587D36"/>
    <w:rsid w:val="005A4321"/>
    <w:rsid w:val="005A567D"/>
    <w:rsid w:val="005B1506"/>
    <w:rsid w:val="005B526F"/>
    <w:rsid w:val="005B52F5"/>
    <w:rsid w:val="005B5379"/>
    <w:rsid w:val="005D3919"/>
    <w:rsid w:val="005E1027"/>
    <w:rsid w:val="005E3376"/>
    <w:rsid w:val="005F101A"/>
    <w:rsid w:val="006035A0"/>
    <w:rsid w:val="00604F19"/>
    <w:rsid w:val="006148BE"/>
    <w:rsid w:val="0063502A"/>
    <w:rsid w:val="00640DBA"/>
    <w:rsid w:val="00640E5F"/>
    <w:rsid w:val="00652F79"/>
    <w:rsid w:val="00662C0C"/>
    <w:rsid w:val="00672237"/>
    <w:rsid w:val="00675976"/>
    <w:rsid w:val="00675AE5"/>
    <w:rsid w:val="006827DD"/>
    <w:rsid w:val="00697EF8"/>
    <w:rsid w:val="006A0978"/>
    <w:rsid w:val="006A44D6"/>
    <w:rsid w:val="006A6841"/>
    <w:rsid w:val="006A6B57"/>
    <w:rsid w:val="006B0820"/>
    <w:rsid w:val="006B112E"/>
    <w:rsid w:val="006B571C"/>
    <w:rsid w:val="006B7E4A"/>
    <w:rsid w:val="006D2C38"/>
    <w:rsid w:val="006E7483"/>
    <w:rsid w:val="006E79E9"/>
    <w:rsid w:val="006F14FA"/>
    <w:rsid w:val="006F2F7F"/>
    <w:rsid w:val="006F7652"/>
    <w:rsid w:val="00704046"/>
    <w:rsid w:val="00705071"/>
    <w:rsid w:val="00706821"/>
    <w:rsid w:val="00713798"/>
    <w:rsid w:val="00713A92"/>
    <w:rsid w:val="007302A4"/>
    <w:rsid w:val="007321A6"/>
    <w:rsid w:val="00732814"/>
    <w:rsid w:val="00732CDA"/>
    <w:rsid w:val="00740261"/>
    <w:rsid w:val="0074066F"/>
    <w:rsid w:val="00742286"/>
    <w:rsid w:val="00742D2B"/>
    <w:rsid w:val="00750C1D"/>
    <w:rsid w:val="007539AA"/>
    <w:rsid w:val="00757F6F"/>
    <w:rsid w:val="007714AF"/>
    <w:rsid w:val="00774C96"/>
    <w:rsid w:val="00785431"/>
    <w:rsid w:val="00791CB2"/>
    <w:rsid w:val="0079513C"/>
    <w:rsid w:val="007A0043"/>
    <w:rsid w:val="007B3F06"/>
    <w:rsid w:val="007C7063"/>
    <w:rsid w:val="007C7739"/>
    <w:rsid w:val="007D6AE0"/>
    <w:rsid w:val="007D75EE"/>
    <w:rsid w:val="007E350B"/>
    <w:rsid w:val="007F38F9"/>
    <w:rsid w:val="007F3BEF"/>
    <w:rsid w:val="008015C6"/>
    <w:rsid w:val="00804418"/>
    <w:rsid w:val="008070C5"/>
    <w:rsid w:val="008148FB"/>
    <w:rsid w:val="00817605"/>
    <w:rsid w:val="0082228A"/>
    <w:rsid w:val="008240F4"/>
    <w:rsid w:val="00824334"/>
    <w:rsid w:val="008266CB"/>
    <w:rsid w:val="008323B5"/>
    <w:rsid w:val="00836862"/>
    <w:rsid w:val="00841EBC"/>
    <w:rsid w:val="008477E5"/>
    <w:rsid w:val="00851C02"/>
    <w:rsid w:val="00860E5E"/>
    <w:rsid w:val="00864EE1"/>
    <w:rsid w:val="00871451"/>
    <w:rsid w:val="00887DC2"/>
    <w:rsid w:val="00887EA6"/>
    <w:rsid w:val="008901F6"/>
    <w:rsid w:val="00891FC7"/>
    <w:rsid w:val="008A2D67"/>
    <w:rsid w:val="008A2EDF"/>
    <w:rsid w:val="008A4EC0"/>
    <w:rsid w:val="008A7DF9"/>
    <w:rsid w:val="008B6C3A"/>
    <w:rsid w:val="008D424E"/>
    <w:rsid w:val="008D48DA"/>
    <w:rsid w:val="008D523E"/>
    <w:rsid w:val="008E0772"/>
    <w:rsid w:val="008E42AC"/>
    <w:rsid w:val="008E479A"/>
    <w:rsid w:val="009014D3"/>
    <w:rsid w:val="00902EE3"/>
    <w:rsid w:val="00905762"/>
    <w:rsid w:val="009120AF"/>
    <w:rsid w:val="00914498"/>
    <w:rsid w:val="00915B70"/>
    <w:rsid w:val="00916F51"/>
    <w:rsid w:val="0092246E"/>
    <w:rsid w:val="00924D90"/>
    <w:rsid w:val="00926058"/>
    <w:rsid w:val="009262D3"/>
    <w:rsid w:val="00927D02"/>
    <w:rsid w:val="009327E8"/>
    <w:rsid w:val="00933CAA"/>
    <w:rsid w:val="00935C50"/>
    <w:rsid w:val="0093756E"/>
    <w:rsid w:val="00937671"/>
    <w:rsid w:val="009454E7"/>
    <w:rsid w:val="00947A35"/>
    <w:rsid w:val="009516E1"/>
    <w:rsid w:val="0095346C"/>
    <w:rsid w:val="00956814"/>
    <w:rsid w:val="00956885"/>
    <w:rsid w:val="0097367B"/>
    <w:rsid w:val="00976038"/>
    <w:rsid w:val="00977DDE"/>
    <w:rsid w:val="00991F7E"/>
    <w:rsid w:val="009A2981"/>
    <w:rsid w:val="009B1C82"/>
    <w:rsid w:val="009B1F52"/>
    <w:rsid w:val="009B3AD4"/>
    <w:rsid w:val="009B5576"/>
    <w:rsid w:val="009B76B4"/>
    <w:rsid w:val="009C04BF"/>
    <w:rsid w:val="009C4A4C"/>
    <w:rsid w:val="009C766A"/>
    <w:rsid w:val="009D0775"/>
    <w:rsid w:val="009D233C"/>
    <w:rsid w:val="009D4C0C"/>
    <w:rsid w:val="009E12C9"/>
    <w:rsid w:val="009E3EC9"/>
    <w:rsid w:val="009F7F2D"/>
    <w:rsid w:val="00A00032"/>
    <w:rsid w:val="00A0144B"/>
    <w:rsid w:val="00A12C91"/>
    <w:rsid w:val="00A12F2A"/>
    <w:rsid w:val="00A14976"/>
    <w:rsid w:val="00A21F01"/>
    <w:rsid w:val="00A24836"/>
    <w:rsid w:val="00A359D9"/>
    <w:rsid w:val="00A40105"/>
    <w:rsid w:val="00A41F91"/>
    <w:rsid w:val="00A42EB5"/>
    <w:rsid w:val="00A4379A"/>
    <w:rsid w:val="00A447B1"/>
    <w:rsid w:val="00A4683C"/>
    <w:rsid w:val="00A531FB"/>
    <w:rsid w:val="00A615C0"/>
    <w:rsid w:val="00A61A78"/>
    <w:rsid w:val="00A63BC8"/>
    <w:rsid w:val="00A6757E"/>
    <w:rsid w:val="00A70783"/>
    <w:rsid w:val="00A72F61"/>
    <w:rsid w:val="00A77721"/>
    <w:rsid w:val="00A81595"/>
    <w:rsid w:val="00A83D3A"/>
    <w:rsid w:val="00A85CD2"/>
    <w:rsid w:val="00A86012"/>
    <w:rsid w:val="00AA21F8"/>
    <w:rsid w:val="00AB33FD"/>
    <w:rsid w:val="00AB496B"/>
    <w:rsid w:val="00AC25A3"/>
    <w:rsid w:val="00AC2944"/>
    <w:rsid w:val="00AC38BF"/>
    <w:rsid w:val="00AC3A1B"/>
    <w:rsid w:val="00AC4D0B"/>
    <w:rsid w:val="00AD11B3"/>
    <w:rsid w:val="00AD219A"/>
    <w:rsid w:val="00AD3037"/>
    <w:rsid w:val="00AD49FF"/>
    <w:rsid w:val="00AE1611"/>
    <w:rsid w:val="00AE1A8E"/>
    <w:rsid w:val="00AE2C1D"/>
    <w:rsid w:val="00AF050A"/>
    <w:rsid w:val="00AF0893"/>
    <w:rsid w:val="00AF0E02"/>
    <w:rsid w:val="00B0252A"/>
    <w:rsid w:val="00B1583E"/>
    <w:rsid w:val="00B17026"/>
    <w:rsid w:val="00B17B07"/>
    <w:rsid w:val="00B244EA"/>
    <w:rsid w:val="00B26619"/>
    <w:rsid w:val="00B3266C"/>
    <w:rsid w:val="00B34FBD"/>
    <w:rsid w:val="00B47E21"/>
    <w:rsid w:val="00B53F40"/>
    <w:rsid w:val="00B63425"/>
    <w:rsid w:val="00B658B5"/>
    <w:rsid w:val="00B65A8F"/>
    <w:rsid w:val="00B67A19"/>
    <w:rsid w:val="00B67AF9"/>
    <w:rsid w:val="00B727FB"/>
    <w:rsid w:val="00B751C8"/>
    <w:rsid w:val="00B771A9"/>
    <w:rsid w:val="00B77F9D"/>
    <w:rsid w:val="00B8021C"/>
    <w:rsid w:val="00B87CD9"/>
    <w:rsid w:val="00B90742"/>
    <w:rsid w:val="00B96792"/>
    <w:rsid w:val="00B967A4"/>
    <w:rsid w:val="00B96F7D"/>
    <w:rsid w:val="00B973B2"/>
    <w:rsid w:val="00BB1B8B"/>
    <w:rsid w:val="00BB7E16"/>
    <w:rsid w:val="00BC01F3"/>
    <w:rsid w:val="00BC19EB"/>
    <w:rsid w:val="00BD280E"/>
    <w:rsid w:val="00BD38D1"/>
    <w:rsid w:val="00BD4E5A"/>
    <w:rsid w:val="00BE587E"/>
    <w:rsid w:val="00BE76D0"/>
    <w:rsid w:val="00BE7A68"/>
    <w:rsid w:val="00BF4C29"/>
    <w:rsid w:val="00BF682D"/>
    <w:rsid w:val="00C0206A"/>
    <w:rsid w:val="00C03996"/>
    <w:rsid w:val="00C06978"/>
    <w:rsid w:val="00C21580"/>
    <w:rsid w:val="00C267E5"/>
    <w:rsid w:val="00C31314"/>
    <w:rsid w:val="00C31421"/>
    <w:rsid w:val="00C336EA"/>
    <w:rsid w:val="00C348A9"/>
    <w:rsid w:val="00C3535E"/>
    <w:rsid w:val="00C3601F"/>
    <w:rsid w:val="00C3710F"/>
    <w:rsid w:val="00C422CD"/>
    <w:rsid w:val="00C502A0"/>
    <w:rsid w:val="00C56807"/>
    <w:rsid w:val="00C573ED"/>
    <w:rsid w:val="00C63668"/>
    <w:rsid w:val="00C63726"/>
    <w:rsid w:val="00C65A9E"/>
    <w:rsid w:val="00C731A8"/>
    <w:rsid w:val="00C736D6"/>
    <w:rsid w:val="00C75C3D"/>
    <w:rsid w:val="00C82B30"/>
    <w:rsid w:val="00C834A8"/>
    <w:rsid w:val="00C85774"/>
    <w:rsid w:val="00C96D1B"/>
    <w:rsid w:val="00CA3C5D"/>
    <w:rsid w:val="00CA55EF"/>
    <w:rsid w:val="00CA6962"/>
    <w:rsid w:val="00CB0453"/>
    <w:rsid w:val="00CB1167"/>
    <w:rsid w:val="00CB24CF"/>
    <w:rsid w:val="00CB35CB"/>
    <w:rsid w:val="00CB5DEA"/>
    <w:rsid w:val="00CB65C8"/>
    <w:rsid w:val="00CD097C"/>
    <w:rsid w:val="00CD5078"/>
    <w:rsid w:val="00CD7FA2"/>
    <w:rsid w:val="00CE067B"/>
    <w:rsid w:val="00CE1494"/>
    <w:rsid w:val="00CE350E"/>
    <w:rsid w:val="00CF0A7A"/>
    <w:rsid w:val="00CF34B3"/>
    <w:rsid w:val="00CF55B2"/>
    <w:rsid w:val="00D02AE2"/>
    <w:rsid w:val="00D14D80"/>
    <w:rsid w:val="00D21885"/>
    <w:rsid w:val="00D21EC4"/>
    <w:rsid w:val="00D23A82"/>
    <w:rsid w:val="00D2480C"/>
    <w:rsid w:val="00D26B5F"/>
    <w:rsid w:val="00D30439"/>
    <w:rsid w:val="00D32D43"/>
    <w:rsid w:val="00D34471"/>
    <w:rsid w:val="00D3692D"/>
    <w:rsid w:val="00D41766"/>
    <w:rsid w:val="00D417E0"/>
    <w:rsid w:val="00D55047"/>
    <w:rsid w:val="00D5792C"/>
    <w:rsid w:val="00D579AC"/>
    <w:rsid w:val="00D62BC0"/>
    <w:rsid w:val="00D66E36"/>
    <w:rsid w:val="00D73258"/>
    <w:rsid w:val="00D75F8F"/>
    <w:rsid w:val="00D77A0A"/>
    <w:rsid w:val="00D802DE"/>
    <w:rsid w:val="00D807B8"/>
    <w:rsid w:val="00DA3F43"/>
    <w:rsid w:val="00DA412C"/>
    <w:rsid w:val="00DA4F20"/>
    <w:rsid w:val="00DA679E"/>
    <w:rsid w:val="00DA6C88"/>
    <w:rsid w:val="00DA7423"/>
    <w:rsid w:val="00DB44BB"/>
    <w:rsid w:val="00DB4EB7"/>
    <w:rsid w:val="00DB7848"/>
    <w:rsid w:val="00DC0C40"/>
    <w:rsid w:val="00DC15B3"/>
    <w:rsid w:val="00DC55D5"/>
    <w:rsid w:val="00DC69E6"/>
    <w:rsid w:val="00DD2141"/>
    <w:rsid w:val="00DE0298"/>
    <w:rsid w:val="00DE0BC1"/>
    <w:rsid w:val="00DE1BA8"/>
    <w:rsid w:val="00DF021B"/>
    <w:rsid w:val="00DF7A00"/>
    <w:rsid w:val="00E079A4"/>
    <w:rsid w:val="00E23E0B"/>
    <w:rsid w:val="00E25128"/>
    <w:rsid w:val="00E26D43"/>
    <w:rsid w:val="00E27DBD"/>
    <w:rsid w:val="00E30C7B"/>
    <w:rsid w:val="00E37235"/>
    <w:rsid w:val="00E452B1"/>
    <w:rsid w:val="00E46FCE"/>
    <w:rsid w:val="00E567DB"/>
    <w:rsid w:val="00E6411D"/>
    <w:rsid w:val="00E80B2B"/>
    <w:rsid w:val="00E8784C"/>
    <w:rsid w:val="00E900A6"/>
    <w:rsid w:val="00E90F67"/>
    <w:rsid w:val="00E92366"/>
    <w:rsid w:val="00E977EE"/>
    <w:rsid w:val="00EA02F6"/>
    <w:rsid w:val="00EA5E65"/>
    <w:rsid w:val="00EB7293"/>
    <w:rsid w:val="00EC07C0"/>
    <w:rsid w:val="00EC4E79"/>
    <w:rsid w:val="00EC5411"/>
    <w:rsid w:val="00ED2857"/>
    <w:rsid w:val="00ED3DE1"/>
    <w:rsid w:val="00EE0B0E"/>
    <w:rsid w:val="00EE1B6F"/>
    <w:rsid w:val="00EF4705"/>
    <w:rsid w:val="00EF55A4"/>
    <w:rsid w:val="00F03704"/>
    <w:rsid w:val="00F044EB"/>
    <w:rsid w:val="00F07C7E"/>
    <w:rsid w:val="00F1083D"/>
    <w:rsid w:val="00F1481C"/>
    <w:rsid w:val="00F14ECE"/>
    <w:rsid w:val="00F156D0"/>
    <w:rsid w:val="00F219F6"/>
    <w:rsid w:val="00F22E87"/>
    <w:rsid w:val="00F25E6D"/>
    <w:rsid w:val="00F45D22"/>
    <w:rsid w:val="00F46418"/>
    <w:rsid w:val="00F468DA"/>
    <w:rsid w:val="00F46D76"/>
    <w:rsid w:val="00F47697"/>
    <w:rsid w:val="00F508BF"/>
    <w:rsid w:val="00F526B2"/>
    <w:rsid w:val="00F57E45"/>
    <w:rsid w:val="00F63FF7"/>
    <w:rsid w:val="00F717C1"/>
    <w:rsid w:val="00F73526"/>
    <w:rsid w:val="00F83139"/>
    <w:rsid w:val="00F9042B"/>
    <w:rsid w:val="00FA2C28"/>
    <w:rsid w:val="00FA5EF8"/>
    <w:rsid w:val="00FB2648"/>
    <w:rsid w:val="00FB4257"/>
    <w:rsid w:val="00FB7014"/>
    <w:rsid w:val="00FC3308"/>
    <w:rsid w:val="00FD2142"/>
    <w:rsid w:val="00FD7D09"/>
    <w:rsid w:val="00FE0186"/>
    <w:rsid w:val="00FF2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3DA607"/>
  <w15:chartTrackingRefBased/>
  <w15:docId w15:val="{0A5F2F97-784A-FB45-894F-7BB181AD3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910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910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910E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910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910E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910E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910E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910E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910E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910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910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910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910E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910E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910E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910E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910E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910E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910E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910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910E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910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910E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910E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910E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910E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910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910E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910E1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8D52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46418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891FC7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91FC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266CB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67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5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image" Target="media/image1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emf"/><Relationship Id="rId17" Type="http://schemas.openxmlformats.org/officeDocument/2006/relationships/image" Target="media/image10.png"/><Relationship Id="rId2" Type="http://schemas.openxmlformats.org/officeDocument/2006/relationships/customXml" Target="../customXml/item2.xml"/><Relationship Id="rId16" Type="http://schemas.openxmlformats.org/officeDocument/2006/relationships/image" Target="media/image9.em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emf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764ee1-fb84-4742-94f5-104ff507c7f1">
      <Terms xmlns="http://schemas.microsoft.com/office/infopath/2007/PartnerControls"/>
    </lcf76f155ced4ddcb4097134ff3c332f>
    <TaxCatchAll xmlns="bc56259c-1fc8-4977-b94c-20823305d26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5E38792A32DD468A637AAD9D408FC4" ma:contentTypeVersion="15" ma:contentTypeDescription="Create a new document." ma:contentTypeScope="" ma:versionID="7a9b8d0b7528d1a97181c1442fbed533">
  <xsd:schema xmlns:xsd="http://www.w3.org/2001/XMLSchema" xmlns:xs="http://www.w3.org/2001/XMLSchema" xmlns:p="http://schemas.microsoft.com/office/2006/metadata/properties" xmlns:ns2="a6764ee1-fb84-4742-94f5-104ff507c7f1" xmlns:ns3="bc56259c-1fc8-4977-b94c-20823305d26b" targetNamespace="http://schemas.microsoft.com/office/2006/metadata/properties" ma:root="true" ma:fieldsID="4f0cf48c3944ae6094f159a7c2f588ef" ns2:_="" ns3:_="">
    <xsd:import namespace="a6764ee1-fb84-4742-94f5-104ff507c7f1"/>
    <xsd:import namespace="bc56259c-1fc8-4977-b94c-20823305d2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64ee1-fb84-4742-94f5-104ff507c7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97cdcfb1-d055-4ecb-9717-79705cec57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56259c-1fc8-4977-b94c-20823305d26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23cb4023-0df1-424e-9531-ed85daa94245}" ma:internalName="TaxCatchAll" ma:showField="CatchAllData" ma:web="bc56259c-1fc8-4977-b94c-20823305d2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87D0AE-78DA-4784-84FC-0552AF3D3B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B41735-B085-4EA2-9694-9024BF3B01D9}">
  <ds:schemaRefs>
    <ds:schemaRef ds:uri="http://schemas.microsoft.com/office/2006/metadata/properties"/>
    <ds:schemaRef ds:uri="http://schemas.microsoft.com/office/infopath/2007/PartnerControls"/>
    <ds:schemaRef ds:uri="a6764ee1-fb84-4742-94f5-104ff507c7f1"/>
    <ds:schemaRef ds:uri="bc56259c-1fc8-4977-b94c-20823305d26b"/>
  </ds:schemaRefs>
</ds:datastoreItem>
</file>

<file path=customXml/itemProps3.xml><?xml version="1.0" encoding="utf-8"?>
<ds:datastoreItem xmlns:ds="http://schemas.openxmlformats.org/officeDocument/2006/customXml" ds:itemID="{5244DE6C-7D67-4691-B53E-36CC9B2ABE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64ee1-fb84-4742-94f5-104ff507c7f1"/>
    <ds:schemaRef ds:uri="bc56259c-1fc8-4977-b94c-20823305d2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9</Pages>
  <Words>1784</Words>
  <Characters>10172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Odegard</dc:creator>
  <cp:keywords/>
  <dc:description/>
  <cp:lastModifiedBy>Julie Simpson</cp:lastModifiedBy>
  <cp:revision>10</cp:revision>
  <dcterms:created xsi:type="dcterms:W3CDTF">2024-04-01T07:23:00Z</dcterms:created>
  <dcterms:modified xsi:type="dcterms:W3CDTF">2024-04-01T08:00:00Z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0x0101007F5E38792A32DD468A637AAD9D408FC4</vt:lpwstr>
  </property>
  <property fmtid="{D5CDD505-2E9C-101B-9397-08002B2CF9AE}" pid="3" name="MediaServiceImageTags">
    <vt:lpwstr/>
  </property>
</Properties>
</file>