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72D8E" w14:textId="7B0ED305" w:rsidR="00582666" w:rsidRDefault="007B1553" w:rsidP="003F5443">
      <w:pPr>
        <w:pStyle w:val="BodyText"/>
      </w:pPr>
      <w:r>
        <w:t>Pro</w:t>
      </w:r>
      <w:r w:rsidR="00396EEF">
        <w:t>gram</w:t>
      </w:r>
      <w:r w:rsidR="00BA0726">
        <w:t>: Energy Conservation Grant</w:t>
      </w:r>
    </w:p>
    <w:p w14:paraId="49162C4C" w14:textId="49649C81" w:rsidR="007B1553" w:rsidRDefault="00B30DFE" w:rsidP="00B30DFE">
      <w:pPr>
        <w:pStyle w:val="Heading1"/>
        <w:numPr>
          <w:ilvl w:val="0"/>
          <w:numId w:val="0"/>
        </w:numPr>
        <w:ind w:left="794" w:hanging="794"/>
      </w:pPr>
      <w:r>
        <w:t>Program Background</w:t>
      </w:r>
    </w:p>
    <w:p w14:paraId="234E8663" w14:textId="2D33779B" w:rsidR="007B1553" w:rsidRDefault="009313F2" w:rsidP="003F5443">
      <w:pPr>
        <w:pStyle w:val="BodyText"/>
      </w:pPr>
      <w:r>
        <w:t>The Energy Conservation Grant</w:t>
      </w:r>
      <w:r w:rsidR="00C354A9">
        <w:t xml:space="preserve"> is administered by the North Dakota Department of Commerce</w:t>
      </w:r>
      <w:r w:rsidR="00045582">
        <w:t xml:space="preserve"> </w:t>
      </w:r>
      <w:r w:rsidR="009E32EB">
        <w:t>and</w:t>
      </w:r>
      <w:r w:rsidR="00045582">
        <w:t xml:space="preserve"> focuses on </w:t>
      </w:r>
      <w:r w:rsidR="00C64938">
        <w:t xml:space="preserve">assisting </w:t>
      </w:r>
      <w:r w:rsidR="003F7827">
        <w:t xml:space="preserve">North Dakota political subdivisions (including tribal governments) with </w:t>
      </w:r>
      <w:r w:rsidR="00045582">
        <w:t>energy efficiency improvements to public buildings.</w:t>
      </w:r>
      <w:r w:rsidR="00C07BE3">
        <w:rPr>
          <w:rStyle w:val="FootnoteReference"/>
        </w:rPr>
        <w:footnoteReference w:id="2"/>
      </w:r>
      <w:r w:rsidR="00045582">
        <w:t xml:space="preserve"> These energy efficiency </w:t>
      </w:r>
      <w:r w:rsidR="00974B49">
        <w:t>measure</w:t>
      </w:r>
      <w:r w:rsidR="00045582">
        <w:t xml:space="preserve">s </w:t>
      </w:r>
      <w:r w:rsidR="00B30DFE">
        <w:t>include</w:t>
      </w:r>
      <w:r w:rsidR="00995BA6" w:rsidRPr="00995BA6">
        <w:t xml:space="preserve"> </w:t>
      </w:r>
      <w:r w:rsidR="00995BA6">
        <w:t>HVAC and boiler</w:t>
      </w:r>
      <w:r w:rsidR="001E7552">
        <w:t>s</w:t>
      </w:r>
      <w:r w:rsidR="00995BA6">
        <w:t>,</w:t>
      </w:r>
      <w:r w:rsidR="00B30DFE">
        <w:t xml:space="preserve"> </w:t>
      </w:r>
      <w:r w:rsidR="00995BA6">
        <w:t>more</w:t>
      </w:r>
      <w:r w:rsidR="00B30DFE">
        <w:t xml:space="preserve"> </w:t>
      </w:r>
      <w:r w:rsidR="00E649E1">
        <w:t xml:space="preserve">efficient lighting, </w:t>
      </w:r>
      <w:r w:rsidR="00B2646B">
        <w:t xml:space="preserve">installation of insulation, </w:t>
      </w:r>
      <w:r w:rsidR="00E649E1">
        <w:t xml:space="preserve">and other improvements that meet the </w:t>
      </w:r>
      <w:r w:rsidR="0058665A">
        <w:t>p</w:t>
      </w:r>
      <w:r w:rsidR="00E649E1">
        <w:t>rogram</w:t>
      </w:r>
      <w:r w:rsidR="00AE22C3">
        <w:t>’</w:t>
      </w:r>
      <w:r w:rsidR="00E649E1">
        <w:t xml:space="preserve">s requirements for </w:t>
      </w:r>
      <w:r w:rsidR="0052546D">
        <w:t>a 10</w:t>
      </w:r>
      <w:r w:rsidR="00995BA6">
        <w:t>-</w:t>
      </w:r>
      <w:r w:rsidR="0052546D">
        <w:t>year or less payback period.</w:t>
      </w:r>
      <w:r w:rsidR="00EF1BC9">
        <w:t xml:space="preserve"> This </w:t>
      </w:r>
      <w:r w:rsidR="0058665A">
        <w:t>p</w:t>
      </w:r>
      <w:r w:rsidR="00AE22C3">
        <w:t>rogram</w:t>
      </w:r>
      <w:r w:rsidR="00EF1BC9">
        <w:t xml:space="preserve"> was started in 2013 and to date, approximately </w:t>
      </w:r>
      <w:r w:rsidR="00C63FED">
        <w:t>245</w:t>
      </w:r>
      <w:r w:rsidR="00B22037">
        <w:t xml:space="preserve"> energy efficiency</w:t>
      </w:r>
      <w:r w:rsidR="00C63FED">
        <w:t xml:space="preserve"> </w:t>
      </w:r>
      <w:r w:rsidR="00B22037">
        <w:t>projects have been funded</w:t>
      </w:r>
      <w:r w:rsidR="00AE22C3">
        <w:t xml:space="preserve"> statewide.</w:t>
      </w:r>
      <w:r w:rsidR="003F7827">
        <w:t xml:space="preserve"> Commerce will expand this program to p</w:t>
      </w:r>
      <w:r w:rsidR="00170E58">
        <w:t>rovide a greater amount of project funding to support more upgrades, include larger county buildings and schools as eligible applicants, target LIDAC areas with additional points in applications, and provide workforce training opportunities in schools.</w:t>
      </w:r>
    </w:p>
    <w:p w14:paraId="07B1B5C0" w14:textId="3D4F73DE" w:rsidR="00B30DFE" w:rsidRDefault="00B30DFE" w:rsidP="00B30DFE">
      <w:pPr>
        <w:pStyle w:val="Heading1"/>
        <w:numPr>
          <w:ilvl w:val="0"/>
          <w:numId w:val="0"/>
        </w:numPr>
        <w:ind w:left="794" w:hanging="794"/>
      </w:pPr>
      <w:r>
        <w:t>Summary of GHG Emission Reduction Results</w:t>
      </w:r>
    </w:p>
    <w:p w14:paraId="3362EF1C" w14:textId="5937CECA" w:rsidR="004963E3" w:rsidRDefault="00100E61" w:rsidP="004963E3">
      <w:pPr>
        <w:pStyle w:val="BodyText"/>
        <w:rPr>
          <w:rFonts w:ascii="Verdana" w:hAnsi="Verdana" w:cs="Segoe UI"/>
          <w:szCs w:val="20"/>
        </w:rPr>
      </w:pPr>
      <w:r>
        <w:rPr>
          <w:rFonts w:ascii="Verdana" w:hAnsi="Verdana" w:cs="Segoe UI"/>
          <w:szCs w:val="20"/>
        </w:rPr>
        <w:t xml:space="preserve">Table </w:t>
      </w:r>
      <w:r w:rsidR="00DD0014">
        <w:rPr>
          <w:rFonts w:ascii="Verdana" w:hAnsi="Verdana" w:cs="Segoe UI"/>
          <w:szCs w:val="20"/>
        </w:rPr>
        <w:t>1</w:t>
      </w:r>
      <w:r>
        <w:rPr>
          <w:rFonts w:ascii="Verdana" w:hAnsi="Verdana" w:cs="Segoe UI"/>
          <w:szCs w:val="20"/>
        </w:rPr>
        <w:t xml:space="preserve"> summarizes total GHG emissions reduced associated with expansion of the </w:t>
      </w:r>
      <w:r w:rsidR="00170E58">
        <w:rPr>
          <w:rFonts w:ascii="Verdana" w:hAnsi="Verdana" w:cs="Segoe UI"/>
          <w:szCs w:val="20"/>
        </w:rPr>
        <w:t>p</w:t>
      </w:r>
      <w:r>
        <w:rPr>
          <w:rFonts w:ascii="Verdana" w:hAnsi="Verdana" w:cs="Segoe UI"/>
          <w:szCs w:val="20"/>
        </w:rPr>
        <w:t xml:space="preserve">rogram. Total cumulative GHG emissions reduced were estimated to be </w:t>
      </w:r>
      <w:r w:rsidR="00F13EDE">
        <w:rPr>
          <w:rFonts w:ascii="Verdana" w:hAnsi="Verdana" w:cs="Segoe UI"/>
          <w:szCs w:val="20"/>
        </w:rPr>
        <w:t>217,</w:t>
      </w:r>
      <w:r w:rsidR="003B661D">
        <w:rPr>
          <w:rFonts w:ascii="Verdana" w:hAnsi="Verdana" w:cs="Segoe UI"/>
          <w:szCs w:val="20"/>
        </w:rPr>
        <w:t>737</w:t>
      </w:r>
      <w:r>
        <w:rPr>
          <w:rFonts w:ascii="Verdana" w:hAnsi="Verdana" w:cs="Segoe UI"/>
          <w:szCs w:val="20"/>
        </w:rPr>
        <w:t xml:space="preserve"> MT CO</w:t>
      </w:r>
      <w:r w:rsidRPr="000E252D">
        <w:rPr>
          <w:rFonts w:ascii="Verdana" w:hAnsi="Verdana" w:cs="Segoe UI"/>
          <w:szCs w:val="20"/>
          <w:vertAlign w:val="subscript"/>
        </w:rPr>
        <w:t>2</w:t>
      </w:r>
      <w:r>
        <w:rPr>
          <w:rFonts w:ascii="Verdana" w:hAnsi="Verdana" w:cs="Segoe UI"/>
          <w:szCs w:val="20"/>
        </w:rPr>
        <w:t xml:space="preserve">e from 2025-2030 and </w:t>
      </w:r>
      <w:r w:rsidR="00F13EDE">
        <w:rPr>
          <w:rFonts w:ascii="Verdana" w:hAnsi="Verdana" w:cs="Segoe UI"/>
          <w:szCs w:val="20"/>
        </w:rPr>
        <w:t>1,22</w:t>
      </w:r>
      <w:r w:rsidR="003B661D">
        <w:rPr>
          <w:rFonts w:ascii="Verdana" w:hAnsi="Verdana" w:cs="Segoe UI"/>
          <w:szCs w:val="20"/>
        </w:rPr>
        <w:t>1</w:t>
      </w:r>
      <w:r w:rsidR="00F13EDE">
        <w:rPr>
          <w:rFonts w:ascii="Verdana" w:hAnsi="Verdana" w:cs="Segoe UI"/>
          <w:szCs w:val="20"/>
        </w:rPr>
        <w:t>,</w:t>
      </w:r>
      <w:r w:rsidR="003B661D">
        <w:rPr>
          <w:rFonts w:ascii="Verdana" w:hAnsi="Verdana" w:cs="Segoe UI"/>
          <w:szCs w:val="20"/>
        </w:rPr>
        <w:t>621</w:t>
      </w:r>
      <w:r>
        <w:rPr>
          <w:rFonts w:ascii="Verdana" w:hAnsi="Verdana" w:cs="Segoe UI"/>
          <w:szCs w:val="20"/>
        </w:rPr>
        <w:t xml:space="preserve"> MT CO</w:t>
      </w:r>
      <w:r w:rsidRPr="000E252D">
        <w:rPr>
          <w:rFonts w:ascii="Verdana" w:hAnsi="Verdana" w:cs="Segoe UI"/>
          <w:szCs w:val="20"/>
          <w:vertAlign w:val="subscript"/>
        </w:rPr>
        <w:t>2</w:t>
      </w:r>
      <w:r>
        <w:rPr>
          <w:rFonts w:ascii="Verdana" w:hAnsi="Verdana" w:cs="Segoe UI"/>
          <w:szCs w:val="20"/>
        </w:rPr>
        <w:t>e from 2025 to 2050. Results are shown for each separate measure within the program</w:t>
      </w:r>
      <w:r w:rsidR="009C2EAC">
        <w:rPr>
          <w:rFonts w:ascii="Verdana" w:hAnsi="Verdana" w:cs="Segoe UI"/>
          <w:szCs w:val="20"/>
        </w:rPr>
        <w:t xml:space="preserve"> analyzed</w:t>
      </w:r>
      <w:r>
        <w:rPr>
          <w:rFonts w:ascii="Verdana" w:hAnsi="Verdana" w:cs="Segoe UI"/>
          <w:szCs w:val="20"/>
        </w:rPr>
        <w:t xml:space="preserve"> </w:t>
      </w:r>
      <w:r w:rsidR="009C2EAC">
        <w:rPr>
          <w:rFonts w:ascii="Verdana" w:hAnsi="Verdana" w:cs="Segoe UI"/>
          <w:szCs w:val="20"/>
        </w:rPr>
        <w:t>that</w:t>
      </w:r>
      <w:r>
        <w:rPr>
          <w:rFonts w:ascii="Verdana" w:hAnsi="Verdana" w:cs="Segoe UI"/>
          <w:szCs w:val="20"/>
        </w:rPr>
        <w:t xml:space="preserve">, supported by </w:t>
      </w:r>
      <w:r w:rsidR="00170E58">
        <w:rPr>
          <w:rFonts w:ascii="Verdana" w:hAnsi="Verdana" w:cs="Segoe UI"/>
          <w:szCs w:val="20"/>
        </w:rPr>
        <w:t xml:space="preserve">additional </w:t>
      </w:r>
      <w:r>
        <w:rPr>
          <w:rFonts w:ascii="Verdana" w:hAnsi="Verdana" w:cs="Segoe UI"/>
          <w:szCs w:val="20"/>
        </w:rPr>
        <w:t xml:space="preserve">funding, would result in GHG emissions reductions. These measures include </w:t>
      </w:r>
      <w:r w:rsidR="00D17E63">
        <w:rPr>
          <w:rFonts w:ascii="Verdana" w:hAnsi="Verdana" w:cs="Segoe UI"/>
          <w:szCs w:val="20"/>
        </w:rPr>
        <w:t>HVAC upgrades, boiler upgrades, LED lighting</w:t>
      </w:r>
      <w:r w:rsidR="00AC1AA8">
        <w:rPr>
          <w:rFonts w:ascii="Verdana" w:hAnsi="Verdana" w:cs="Segoe UI"/>
          <w:szCs w:val="20"/>
        </w:rPr>
        <w:t xml:space="preserve"> installations, insulation installation and window upgrades</w:t>
      </w:r>
      <w:r>
        <w:rPr>
          <w:rFonts w:ascii="Verdana" w:hAnsi="Verdana" w:cs="Segoe UI"/>
          <w:szCs w:val="20"/>
        </w:rPr>
        <w:t>.</w:t>
      </w:r>
    </w:p>
    <w:p w14:paraId="0AAF238E" w14:textId="6B2A425D" w:rsidR="004963E3" w:rsidRPr="009F4524" w:rsidRDefault="004963E3" w:rsidP="009F4524">
      <w:pPr>
        <w:pStyle w:val="BodyText"/>
        <w:spacing w:before="80" w:after="40" w:line="240" w:lineRule="auto"/>
        <w:rPr>
          <w:b/>
        </w:rPr>
      </w:pPr>
      <w:r w:rsidRPr="009F4524">
        <w:rPr>
          <w:b/>
        </w:rPr>
        <w:t xml:space="preserve">Table </w:t>
      </w:r>
      <w:r w:rsidR="00AC1AA8" w:rsidRPr="009F4524">
        <w:rPr>
          <w:b/>
        </w:rPr>
        <w:t>1</w:t>
      </w:r>
      <w:r w:rsidRPr="009F4524">
        <w:rPr>
          <w:b/>
        </w:rPr>
        <w:t>. GHG Em</w:t>
      </w:r>
      <w:r w:rsidR="006B41B9" w:rsidRPr="009F4524">
        <w:rPr>
          <w:b/>
        </w:rPr>
        <w:t xml:space="preserve">ission Reductions by </w:t>
      </w:r>
      <w:r w:rsidR="00974B49" w:rsidRPr="009F4524">
        <w:rPr>
          <w:b/>
        </w:rPr>
        <w:t xml:space="preserve">Energy Efficiency </w:t>
      </w:r>
      <w:r w:rsidR="006B41B9" w:rsidRPr="009F4524">
        <w:rPr>
          <w:b/>
        </w:rPr>
        <w:t>Measure</w:t>
      </w:r>
    </w:p>
    <w:tbl>
      <w:tblPr>
        <w:tblStyle w:val="ERMTable1"/>
        <w:tblW w:w="0" w:type="auto"/>
        <w:jc w:val="center"/>
        <w:tblLook w:val="04A0" w:firstRow="1" w:lastRow="0" w:firstColumn="1" w:lastColumn="0" w:noHBand="0" w:noVBand="1"/>
      </w:tblPr>
      <w:tblGrid>
        <w:gridCol w:w="3212"/>
        <w:gridCol w:w="2592"/>
        <w:gridCol w:w="2592"/>
      </w:tblGrid>
      <w:tr w:rsidR="006B41B9" w14:paraId="508E9F05" w14:textId="77777777" w:rsidTr="0089731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3AF5576" w14:textId="563A9EB6" w:rsidR="006B41B9" w:rsidRDefault="006B41B9" w:rsidP="00897311">
            <w:pPr>
              <w:pStyle w:val="BodyText"/>
              <w:spacing w:after="0" w:line="240" w:lineRule="auto"/>
              <w:jc w:val="center"/>
            </w:pPr>
            <w:r w:rsidRPr="006B41B9">
              <w:t>MT CO</w:t>
            </w:r>
            <w:r w:rsidRPr="003B661D">
              <w:rPr>
                <w:vertAlign w:val="subscript"/>
              </w:rPr>
              <w:t>2</w:t>
            </w:r>
            <w:r w:rsidRPr="006B41B9">
              <w:t>e</w:t>
            </w:r>
          </w:p>
        </w:tc>
        <w:tc>
          <w:tcPr>
            <w:tcW w:w="2592" w:type="dxa"/>
            <w:vAlign w:val="center"/>
          </w:tcPr>
          <w:p w14:paraId="60C90A4D" w14:textId="77777777" w:rsidR="00296495" w:rsidRPr="006B41B9" w:rsidRDefault="00296495" w:rsidP="00897311">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sidRPr="006B41B9">
              <w:rPr>
                <w:bCs/>
              </w:rPr>
              <w:t>Cumulative</w:t>
            </w:r>
          </w:p>
          <w:p w14:paraId="386E6B0E" w14:textId="1B9D1865" w:rsidR="006B41B9" w:rsidRDefault="00296495" w:rsidP="00897311">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pPr>
            <w:r w:rsidRPr="006B41B9">
              <w:rPr>
                <w:bCs/>
              </w:rPr>
              <w:t>2025-2030</w:t>
            </w:r>
          </w:p>
        </w:tc>
        <w:tc>
          <w:tcPr>
            <w:tcW w:w="2592" w:type="dxa"/>
            <w:vAlign w:val="center"/>
          </w:tcPr>
          <w:p w14:paraId="086D33C5" w14:textId="77777777" w:rsidR="00296495" w:rsidRPr="006B41B9" w:rsidRDefault="00296495" w:rsidP="00897311">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sidRPr="006B41B9">
              <w:rPr>
                <w:bCs/>
              </w:rPr>
              <w:t>Cumulative</w:t>
            </w:r>
          </w:p>
          <w:p w14:paraId="7F0DD418" w14:textId="6067CD14" w:rsidR="006B41B9" w:rsidRDefault="00296495" w:rsidP="00897311">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pPr>
            <w:r w:rsidRPr="006B41B9">
              <w:rPr>
                <w:bCs/>
              </w:rPr>
              <w:t>2025-2050</w:t>
            </w:r>
          </w:p>
        </w:tc>
      </w:tr>
      <w:tr w:rsidR="006B41B9" w14:paraId="36493DE8" w14:textId="77777777" w:rsidTr="0089731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0A7757DD" w14:textId="0703C2F5" w:rsidR="006B41B9" w:rsidRDefault="00ED6A41" w:rsidP="00897311">
            <w:pPr>
              <w:pStyle w:val="BodyText"/>
              <w:spacing w:after="0" w:line="240" w:lineRule="auto"/>
            </w:pPr>
            <w:r>
              <w:t xml:space="preserve">1. </w:t>
            </w:r>
            <w:r w:rsidR="006B41B9">
              <w:t>HVAC Upgrade</w:t>
            </w:r>
            <w:r w:rsidR="00897311">
              <w:t>s</w:t>
            </w:r>
          </w:p>
        </w:tc>
        <w:tc>
          <w:tcPr>
            <w:tcW w:w="2592" w:type="dxa"/>
            <w:vAlign w:val="center"/>
          </w:tcPr>
          <w:p w14:paraId="1F7272FB" w14:textId="4139B12F" w:rsidR="006B41B9" w:rsidRDefault="00AC1AA8" w:rsidP="00897311">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160,957</w:t>
            </w:r>
          </w:p>
        </w:tc>
        <w:tc>
          <w:tcPr>
            <w:tcW w:w="2592" w:type="dxa"/>
            <w:vAlign w:val="center"/>
          </w:tcPr>
          <w:p w14:paraId="04B1DBC8" w14:textId="740208B6" w:rsidR="006B41B9" w:rsidRDefault="00AC1AA8" w:rsidP="00897311">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965,745</w:t>
            </w:r>
          </w:p>
        </w:tc>
      </w:tr>
      <w:tr w:rsidR="006B41B9" w14:paraId="0367641D" w14:textId="77777777" w:rsidTr="00897311">
        <w:trPr>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2D8B43D" w14:textId="5E795D10" w:rsidR="006B41B9" w:rsidRDefault="00ED6A41" w:rsidP="00897311">
            <w:pPr>
              <w:pStyle w:val="BodyText"/>
              <w:spacing w:after="0" w:line="240" w:lineRule="auto"/>
            </w:pPr>
            <w:r>
              <w:t xml:space="preserve">2. </w:t>
            </w:r>
            <w:r w:rsidR="006B41B9">
              <w:t xml:space="preserve">Boiler </w:t>
            </w:r>
            <w:r w:rsidR="008456F7">
              <w:t>Upgrades</w:t>
            </w:r>
          </w:p>
        </w:tc>
        <w:tc>
          <w:tcPr>
            <w:tcW w:w="2592" w:type="dxa"/>
            <w:vAlign w:val="center"/>
          </w:tcPr>
          <w:p w14:paraId="3E876286" w14:textId="17278B45" w:rsidR="006B41B9" w:rsidRDefault="00EF624A" w:rsidP="00897311">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924</w:t>
            </w:r>
          </w:p>
        </w:tc>
        <w:tc>
          <w:tcPr>
            <w:tcW w:w="2592" w:type="dxa"/>
            <w:vAlign w:val="center"/>
          </w:tcPr>
          <w:p w14:paraId="6ADB8AC4" w14:textId="2F962CB9" w:rsidR="006B41B9" w:rsidRDefault="00EF624A" w:rsidP="00897311">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5,543</w:t>
            </w:r>
          </w:p>
        </w:tc>
      </w:tr>
      <w:tr w:rsidR="006B41B9" w14:paraId="0E3CDB55" w14:textId="77777777" w:rsidTr="0089731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0785705" w14:textId="56DE4262" w:rsidR="006B41B9" w:rsidRDefault="00ED6A41" w:rsidP="00897311">
            <w:pPr>
              <w:pStyle w:val="BodyText"/>
              <w:spacing w:after="0" w:line="240" w:lineRule="auto"/>
            </w:pPr>
            <w:r>
              <w:t xml:space="preserve">3. </w:t>
            </w:r>
            <w:r w:rsidR="001E7552">
              <w:t>LED Lighting Installations</w:t>
            </w:r>
          </w:p>
        </w:tc>
        <w:tc>
          <w:tcPr>
            <w:tcW w:w="2592" w:type="dxa"/>
            <w:vAlign w:val="center"/>
          </w:tcPr>
          <w:p w14:paraId="13AF3449" w14:textId="2A734060" w:rsidR="006B41B9" w:rsidRDefault="00EE5A75" w:rsidP="00897311">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53,272</w:t>
            </w:r>
          </w:p>
        </w:tc>
        <w:tc>
          <w:tcPr>
            <w:tcW w:w="2592" w:type="dxa"/>
            <w:vAlign w:val="center"/>
          </w:tcPr>
          <w:p w14:paraId="4375835A" w14:textId="13FC9C64" w:rsidR="006B41B9" w:rsidRDefault="00EE5A75" w:rsidP="00897311">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234,833</w:t>
            </w:r>
          </w:p>
        </w:tc>
      </w:tr>
      <w:tr w:rsidR="006B41B9" w14:paraId="4D40F692" w14:textId="77777777" w:rsidTr="00897311">
        <w:trPr>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FB6F1DE" w14:textId="340284DD" w:rsidR="006B41B9" w:rsidRDefault="00ED6A41" w:rsidP="00897311">
            <w:pPr>
              <w:pStyle w:val="BodyText"/>
              <w:spacing w:after="0" w:line="240" w:lineRule="auto"/>
            </w:pPr>
            <w:r>
              <w:t xml:space="preserve">4. </w:t>
            </w:r>
            <w:r w:rsidR="006B41B9">
              <w:t xml:space="preserve">Insulation </w:t>
            </w:r>
            <w:r w:rsidR="0014511B">
              <w:t>Installation</w:t>
            </w:r>
            <w:r w:rsidR="00897311">
              <w:t>s</w:t>
            </w:r>
          </w:p>
        </w:tc>
        <w:tc>
          <w:tcPr>
            <w:tcW w:w="2592" w:type="dxa"/>
            <w:vAlign w:val="center"/>
          </w:tcPr>
          <w:p w14:paraId="496BC601" w14:textId="3466B1A8" w:rsidR="006B41B9" w:rsidRDefault="00605EE7" w:rsidP="00897311">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w:t>
            </w:r>
            <w:r w:rsidR="002975C8">
              <w:t>492</w:t>
            </w:r>
          </w:p>
        </w:tc>
        <w:tc>
          <w:tcPr>
            <w:tcW w:w="2592" w:type="dxa"/>
            <w:vAlign w:val="center"/>
          </w:tcPr>
          <w:p w14:paraId="4697EBE1" w14:textId="6CDC5FD3" w:rsidR="006B41B9" w:rsidRDefault="00605EE7" w:rsidP="00897311">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w:t>
            </w:r>
            <w:r w:rsidR="002975C8">
              <w:t>4,952</w:t>
            </w:r>
          </w:p>
        </w:tc>
      </w:tr>
      <w:tr w:rsidR="001E7552" w14:paraId="7150D818" w14:textId="77777777" w:rsidTr="0089731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862D4D8" w14:textId="37E82948" w:rsidR="001E7552" w:rsidRDefault="00ED6A41" w:rsidP="00897311">
            <w:pPr>
              <w:pStyle w:val="BodyText"/>
              <w:spacing w:after="0" w:line="240" w:lineRule="auto"/>
            </w:pPr>
            <w:r>
              <w:t xml:space="preserve">5. </w:t>
            </w:r>
            <w:r w:rsidR="001E7552">
              <w:t>Window Upgrades</w:t>
            </w:r>
          </w:p>
        </w:tc>
        <w:tc>
          <w:tcPr>
            <w:tcW w:w="2592" w:type="dxa"/>
            <w:vAlign w:val="center"/>
          </w:tcPr>
          <w:p w14:paraId="628C4DFD" w14:textId="45F529CE" w:rsidR="001E7552" w:rsidRDefault="00605EE7" w:rsidP="00897311">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91</w:t>
            </w:r>
          </w:p>
        </w:tc>
        <w:tc>
          <w:tcPr>
            <w:tcW w:w="2592" w:type="dxa"/>
            <w:vAlign w:val="center"/>
          </w:tcPr>
          <w:p w14:paraId="3B98D5DA" w14:textId="51903227" w:rsidR="001E7552" w:rsidRDefault="00605EE7" w:rsidP="00897311">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548</w:t>
            </w:r>
          </w:p>
        </w:tc>
      </w:tr>
      <w:tr w:rsidR="006B41B9" w14:paraId="148E442F" w14:textId="77777777" w:rsidTr="00897311">
        <w:trPr>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2D679F65" w14:textId="75663267" w:rsidR="006B41B9" w:rsidRPr="005563E7" w:rsidRDefault="005563E7" w:rsidP="00897311">
            <w:pPr>
              <w:pStyle w:val="BodyText"/>
              <w:spacing w:after="0" w:line="240" w:lineRule="auto"/>
              <w:rPr>
                <w:b/>
                <w:bCs/>
              </w:rPr>
            </w:pPr>
            <w:r>
              <w:rPr>
                <w:b/>
                <w:bCs/>
              </w:rPr>
              <w:t>Program Total</w:t>
            </w:r>
          </w:p>
        </w:tc>
        <w:tc>
          <w:tcPr>
            <w:tcW w:w="2592" w:type="dxa"/>
            <w:vAlign w:val="center"/>
          </w:tcPr>
          <w:p w14:paraId="7B5AC153" w14:textId="358E85D5" w:rsidR="006B41B9" w:rsidRDefault="00EE5A75" w:rsidP="00897311">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217,</w:t>
            </w:r>
            <w:r w:rsidR="00696893">
              <w:t>737</w:t>
            </w:r>
          </w:p>
        </w:tc>
        <w:tc>
          <w:tcPr>
            <w:tcW w:w="2592" w:type="dxa"/>
            <w:vAlign w:val="center"/>
          </w:tcPr>
          <w:p w14:paraId="63B792F9" w14:textId="11860165" w:rsidR="006B41B9" w:rsidRDefault="00EE5A75" w:rsidP="00897311">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1,22</w:t>
            </w:r>
            <w:r w:rsidR="00696893">
              <w:t>1</w:t>
            </w:r>
            <w:r>
              <w:t>,</w:t>
            </w:r>
            <w:r w:rsidR="00696893">
              <w:t>621</w:t>
            </w:r>
          </w:p>
        </w:tc>
      </w:tr>
    </w:tbl>
    <w:p w14:paraId="4DC618B9" w14:textId="77777777" w:rsidR="006B41B9" w:rsidRDefault="006B41B9" w:rsidP="004963E3">
      <w:pPr>
        <w:pStyle w:val="BodyText"/>
        <w:rPr>
          <w:rFonts w:ascii="Verdana" w:hAnsi="Verdana" w:cs="Segoe UI"/>
          <w:szCs w:val="20"/>
        </w:rPr>
      </w:pPr>
    </w:p>
    <w:p w14:paraId="0DA5F98B" w14:textId="012713C3" w:rsidR="004963E3" w:rsidRDefault="004963E3" w:rsidP="004963E3">
      <w:pPr>
        <w:pStyle w:val="BodyText"/>
        <w:rPr>
          <w:rFonts w:ascii="Verdana" w:hAnsi="Verdana" w:cs="Segoe UI"/>
          <w:szCs w:val="20"/>
        </w:rPr>
      </w:pPr>
      <w:r w:rsidRPr="004963E3">
        <w:t xml:space="preserve">Emissions reductions from </w:t>
      </w:r>
      <w:r w:rsidR="00EA2566">
        <w:rPr>
          <w:rFonts w:ascii="Verdana" w:hAnsi="Verdana" w:cs="Segoe UI"/>
          <w:szCs w:val="20"/>
        </w:rPr>
        <w:t>HVAC upgrades</w:t>
      </w:r>
      <w:r w:rsidRPr="004963E3">
        <w:t xml:space="preserve"> make up the </w:t>
      </w:r>
      <w:r w:rsidR="00170E58">
        <w:t xml:space="preserve">largest share </w:t>
      </w:r>
      <w:r w:rsidRPr="004963E3">
        <w:t xml:space="preserve">of total emission reductions from </w:t>
      </w:r>
      <w:r w:rsidR="00170E58">
        <w:t>the p</w:t>
      </w:r>
      <w:r w:rsidRPr="004963E3">
        <w:t xml:space="preserve">rogram expansion with </w:t>
      </w:r>
      <w:r w:rsidR="00170E58">
        <w:t>additional</w:t>
      </w:r>
      <w:r w:rsidR="00170E58" w:rsidRPr="004963E3">
        <w:t xml:space="preserve"> </w:t>
      </w:r>
      <w:r w:rsidRPr="004963E3">
        <w:t>funding over</w:t>
      </w:r>
      <w:r w:rsidR="00A44ADA">
        <w:t xml:space="preserve"> </w:t>
      </w:r>
      <w:r w:rsidRPr="004963E3">
        <w:t>time</w:t>
      </w:r>
      <w:r w:rsidR="00CE2893">
        <w:t>.</w:t>
      </w:r>
      <w:r w:rsidR="00F60146">
        <w:t xml:space="preserve"> </w:t>
      </w:r>
      <w:r w:rsidR="004028AC">
        <w:t xml:space="preserve">LED lighting installations also </w:t>
      </w:r>
      <w:r w:rsidR="009F0F2C">
        <w:t>result in meaningful</w:t>
      </w:r>
      <w:r w:rsidR="004028AC">
        <w:t xml:space="preserve"> emissions reductions</w:t>
      </w:r>
      <w:r w:rsidR="00CE2893">
        <w:t xml:space="preserve">. </w:t>
      </w:r>
      <w:r w:rsidRPr="004963E3">
        <w:t xml:space="preserve">Analysis methodology for each measure </w:t>
      </w:r>
      <w:r w:rsidR="00ED6A41">
        <w:t xml:space="preserve">and the program </w:t>
      </w:r>
      <w:proofErr w:type="gramStart"/>
      <w:r w:rsidR="00ED6A41">
        <w:t xml:space="preserve">as a whole </w:t>
      </w:r>
      <w:r w:rsidRPr="004963E3">
        <w:t>is</w:t>
      </w:r>
      <w:proofErr w:type="gramEnd"/>
      <w:r w:rsidRPr="004963E3">
        <w:t xml:space="preserve"> described in the following section.</w:t>
      </w:r>
      <w:r w:rsidR="00EA748C">
        <w:t xml:space="preserve"> </w:t>
      </w:r>
      <w:r w:rsidR="00EA748C" w:rsidRPr="00EA748C">
        <w:rPr>
          <w:rFonts w:ascii="Verdana" w:hAnsi="Verdana" w:cs="Segoe UI"/>
          <w:szCs w:val="20"/>
        </w:rPr>
        <w:t xml:space="preserve">See </w:t>
      </w:r>
      <w:r w:rsidR="000E37D6">
        <w:rPr>
          <w:rFonts w:ascii="Verdana" w:hAnsi="Verdana" w:cs="Segoe UI"/>
          <w:szCs w:val="20"/>
        </w:rPr>
        <w:t>Table 2</w:t>
      </w:r>
      <w:r w:rsidR="00EA748C" w:rsidRPr="00EA748C">
        <w:rPr>
          <w:rFonts w:ascii="Verdana" w:hAnsi="Verdana" w:cs="Segoe UI"/>
          <w:szCs w:val="20"/>
        </w:rPr>
        <w:t xml:space="preserve"> </w:t>
      </w:r>
      <w:r w:rsidR="000E37D6">
        <w:rPr>
          <w:rFonts w:ascii="Verdana" w:hAnsi="Verdana" w:cs="Segoe UI"/>
          <w:szCs w:val="20"/>
        </w:rPr>
        <w:t xml:space="preserve">below </w:t>
      </w:r>
      <w:r w:rsidR="00EA748C" w:rsidRPr="00EA748C">
        <w:rPr>
          <w:rFonts w:ascii="Verdana" w:hAnsi="Verdana" w:cs="Segoe UI"/>
          <w:szCs w:val="20"/>
        </w:rPr>
        <w:t>for more detail on the GHG emissions reductions estimates, including annual savings</w:t>
      </w:r>
      <w:r w:rsidR="00ED6A41">
        <w:rPr>
          <w:rFonts w:ascii="Verdana" w:hAnsi="Verdana" w:cs="Segoe UI"/>
          <w:szCs w:val="20"/>
        </w:rPr>
        <w:t xml:space="preserve"> by measure</w:t>
      </w:r>
      <w:r w:rsidR="00EA748C" w:rsidRPr="00EA748C">
        <w:rPr>
          <w:rFonts w:ascii="Verdana" w:hAnsi="Verdana" w:cs="Segoe UI"/>
          <w:szCs w:val="20"/>
        </w:rPr>
        <w:t>.</w:t>
      </w:r>
    </w:p>
    <w:p w14:paraId="1E78B890" w14:textId="77777777" w:rsidR="00FE324F" w:rsidRDefault="00FE324F" w:rsidP="00FE324F">
      <w:pPr>
        <w:pStyle w:val="BodyText"/>
      </w:pPr>
    </w:p>
    <w:p w14:paraId="145AF68B" w14:textId="77777777" w:rsidR="000E37D6" w:rsidRDefault="000E37D6" w:rsidP="00FE324F">
      <w:pPr>
        <w:pStyle w:val="BodyText"/>
      </w:pPr>
    </w:p>
    <w:p w14:paraId="5EC43A36" w14:textId="34E761AD" w:rsidR="00FE324F" w:rsidRPr="00FE324F" w:rsidRDefault="00FE324F" w:rsidP="00FE324F">
      <w:pPr>
        <w:pStyle w:val="BodyText"/>
        <w:rPr>
          <w:b/>
          <w:bCs/>
        </w:rPr>
      </w:pPr>
      <w:r w:rsidRPr="009F4524">
        <w:rPr>
          <w:b/>
        </w:rPr>
        <w:t xml:space="preserve">Table </w:t>
      </w:r>
      <w:r>
        <w:rPr>
          <w:b/>
        </w:rPr>
        <w:t>2</w:t>
      </w:r>
      <w:r w:rsidRPr="009F4524">
        <w:rPr>
          <w:b/>
        </w:rPr>
        <w:t>.</w:t>
      </w:r>
      <w:r w:rsidRPr="00FE324F">
        <w:rPr>
          <w:b/>
          <w:bCs/>
        </w:rPr>
        <w:t xml:space="preserve"> Annual and Cumulative GHG Emissions Reductions (MT CO</w:t>
      </w:r>
      <w:r w:rsidRPr="00FE324F">
        <w:rPr>
          <w:b/>
          <w:bCs/>
          <w:vertAlign w:val="subscript"/>
        </w:rPr>
        <w:t>2</w:t>
      </w:r>
      <w:r w:rsidRPr="00FE324F">
        <w:rPr>
          <w:b/>
          <w:bCs/>
        </w:rPr>
        <w:t>e)</w:t>
      </w:r>
    </w:p>
    <w:tbl>
      <w:tblPr>
        <w:tblStyle w:val="ERMTable1"/>
        <w:tblW w:w="0" w:type="auto"/>
        <w:jc w:val="center"/>
        <w:tblCellMar>
          <w:top w:w="29" w:type="dxa"/>
          <w:left w:w="72" w:type="dxa"/>
          <w:bottom w:w="29" w:type="dxa"/>
          <w:right w:w="72" w:type="dxa"/>
        </w:tblCellMar>
        <w:tblLook w:val="04A0" w:firstRow="1" w:lastRow="0" w:firstColumn="1" w:lastColumn="0" w:noHBand="0" w:noVBand="1"/>
      </w:tblPr>
      <w:tblGrid>
        <w:gridCol w:w="1308"/>
        <w:gridCol w:w="1436"/>
        <w:gridCol w:w="1436"/>
        <w:gridCol w:w="1437"/>
        <w:gridCol w:w="1436"/>
        <w:gridCol w:w="1437"/>
        <w:gridCol w:w="1482"/>
      </w:tblGrid>
      <w:tr w:rsidR="00FE324F" w14:paraId="4925D480" w14:textId="77777777" w:rsidTr="002526FC">
        <w:trPr>
          <w:cnfStyle w:val="100000000000" w:firstRow="1" w:lastRow="0" w:firstColumn="0" w:lastColumn="0" w:oddVBand="0" w:evenVBand="0" w:oddHBand="0" w:evenHBand="0" w:firstRowFirstColumn="0" w:firstRowLastColumn="0" w:lastRowFirstColumn="0" w:lastRowLastColumn="0"/>
          <w:trHeight w:val="37"/>
          <w:jc w:val="center"/>
        </w:trPr>
        <w:tc>
          <w:tcPr>
            <w:cnfStyle w:val="001000000000" w:firstRow="0" w:lastRow="0" w:firstColumn="1" w:lastColumn="0" w:oddVBand="0" w:evenVBand="0" w:oddHBand="0" w:evenHBand="0" w:firstRowFirstColumn="0" w:firstRowLastColumn="0" w:lastRowFirstColumn="0" w:lastRowLastColumn="0"/>
            <w:tcW w:w="1308" w:type="dxa"/>
            <w:vMerge w:val="restart"/>
            <w:vAlign w:val="center"/>
          </w:tcPr>
          <w:p w14:paraId="28FA093A" w14:textId="77777777" w:rsidR="00FE324F" w:rsidRDefault="00FE324F" w:rsidP="002526FC">
            <w:pPr>
              <w:pStyle w:val="BodyText"/>
              <w:spacing w:after="0" w:line="240" w:lineRule="auto"/>
              <w:jc w:val="center"/>
            </w:pPr>
            <w:r>
              <w:t>Year</w:t>
            </w:r>
          </w:p>
        </w:tc>
        <w:tc>
          <w:tcPr>
            <w:tcW w:w="7182" w:type="dxa"/>
            <w:gridSpan w:val="5"/>
            <w:vAlign w:val="center"/>
          </w:tcPr>
          <w:p w14:paraId="1B40C738" w14:textId="77777777" w:rsidR="00FE324F" w:rsidRDefault="00FE324F" w:rsidP="002526FC">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Pr>
                <w:bCs/>
              </w:rPr>
              <w:t>Annual by Measure</w:t>
            </w:r>
          </w:p>
        </w:tc>
        <w:tc>
          <w:tcPr>
            <w:tcW w:w="1482" w:type="dxa"/>
            <w:vMerge w:val="restart"/>
            <w:vAlign w:val="center"/>
          </w:tcPr>
          <w:p w14:paraId="1F277E52" w14:textId="77777777" w:rsidR="00FE324F" w:rsidRDefault="00FE324F" w:rsidP="002526FC">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Pr>
                <w:bCs/>
              </w:rPr>
              <w:t>Cumulative for Program</w:t>
            </w:r>
          </w:p>
        </w:tc>
      </w:tr>
      <w:tr w:rsidR="00FE324F" w14:paraId="3DD8D10B" w14:textId="77777777" w:rsidTr="002526FC">
        <w:trPr>
          <w:cnfStyle w:val="000000100000" w:firstRow="0" w:lastRow="0" w:firstColumn="0" w:lastColumn="0" w:oddVBand="0" w:evenVBand="0" w:oddHBand="1" w:evenHBand="0" w:firstRowFirstColumn="0" w:firstRowLastColumn="0" w:lastRowFirstColumn="0" w:lastRowLastColumn="0"/>
          <w:trHeight w:val="671"/>
          <w:jc w:val="center"/>
        </w:trPr>
        <w:tc>
          <w:tcPr>
            <w:cnfStyle w:val="001000000000" w:firstRow="0" w:lastRow="0" w:firstColumn="1" w:lastColumn="0" w:oddVBand="0" w:evenVBand="0" w:oddHBand="0" w:evenHBand="0" w:firstRowFirstColumn="0" w:firstRowLastColumn="0" w:lastRowFirstColumn="0" w:lastRowLastColumn="0"/>
            <w:tcW w:w="1308" w:type="dxa"/>
            <w:vMerge/>
            <w:vAlign w:val="center"/>
          </w:tcPr>
          <w:p w14:paraId="4B55FBA1" w14:textId="77777777" w:rsidR="00FE324F" w:rsidRDefault="00FE324F" w:rsidP="002526FC">
            <w:pPr>
              <w:pStyle w:val="BodyText"/>
              <w:spacing w:after="0" w:line="240" w:lineRule="auto"/>
              <w:jc w:val="center"/>
            </w:pPr>
          </w:p>
        </w:tc>
        <w:tc>
          <w:tcPr>
            <w:tcW w:w="1436" w:type="dxa"/>
            <w:shd w:val="clear" w:color="auto" w:fill="CCDBD1" w:themeFill="accent4" w:themeFillTint="66"/>
            <w:vAlign w:val="center"/>
          </w:tcPr>
          <w:p w14:paraId="3CA3341E" w14:textId="77777777" w:rsidR="00FE324F" w:rsidRPr="00C45804"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sidRPr="00C45804">
              <w:rPr>
                <w:bCs/>
              </w:rPr>
              <w:t>HVAC Upgrades</w:t>
            </w:r>
          </w:p>
        </w:tc>
        <w:tc>
          <w:tcPr>
            <w:tcW w:w="1436" w:type="dxa"/>
            <w:shd w:val="clear" w:color="auto" w:fill="CCDBD1" w:themeFill="accent4" w:themeFillTint="66"/>
            <w:vAlign w:val="center"/>
          </w:tcPr>
          <w:p w14:paraId="5C133A90" w14:textId="77777777" w:rsidR="00FE324F" w:rsidRPr="00C45804"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sidRPr="00C45804">
              <w:rPr>
                <w:bCs/>
              </w:rPr>
              <w:t>Boiler Upgrades</w:t>
            </w:r>
          </w:p>
        </w:tc>
        <w:tc>
          <w:tcPr>
            <w:tcW w:w="1437" w:type="dxa"/>
            <w:shd w:val="clear" w:color="auto" w:fill="CCDBD1" w:themeFill="accent4" w:themeFillTint="66"/>
            <w:vAlign w:val="center"/>
          </w:tcPr>
          <w:p w14:paraId="68BA9415"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sidRPr="00C45804">
              <w:rPr>
                <w:bCs/>
              </w:rPr>
              <w:t>LED</w:t>
            </w:r>
          </w:p>
          <w:p w14:paraId="58CFC770" w14:textId="77777777" w:rsidR="00FE324F" w:rsidRPr="00C45804"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sidRPr="00C45804">
              <w:rPr>
                <w:bCs/>
              </w:rPr>
              <w:t>Lighting</w:t>
            </w:r>
          </w:p>
        </w:tc>
        <w:tc>
          <w:tcPr>
            <w:tcW w:w="1436" w:type="dxa"/>
            <w:shd w:val="clear" w:color="auto" w:fill="CCDBD1" w:themeFill="accent4" w:themeFillTint="66"/>
            <w:vAlign w:val="center"/>
          </w:tcPr>
          <w:p w14:paraId="3622FD6A"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sidRPr="00C45804">
              <w:rPr>
                <w:bCs/>
              </w:rPr>
              <w:t>Insulation</w:t>
            </w:r>
          </w:p>
          <w:p w14:paraId="77608A4B" w14:textId="77777777" w:rsidR="00FE324F" w:rsidRPr="00C45804"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Pr>
                <w:bCs/>
              </w:rPr>
              <w:t>Installations</w:t>
            </w:r>
          </w:p>
        </w:tc>
        <w:tc>
          <w:tcPr>
            <w:tcW w:w="1437" w:type="dxa"/>
            <w:shd w:val="clear" w:color="auto" w:fill="CCDBD1" w:themeFill="accent4" w:themeFillTint="66"/>
            <w:vAlign w:val="center"/>
          </w:tcPr>
          <w:p w14:paraId="4DA667B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Pr>
                <w:bCs/>
              </w:rPr>
              <w:t>Windows</w:t>
            </w:r>
          </w:p>
          <w:p w14:paraId="03E4C24D"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Pr>
                <w:bCs/>
              </w:rPr>
              <w:t>Upgrades</w:t>
            </w:r>
          </w:p>
        </w:tc>
        <w:tc>
          <w:tcPr>
            <w:tcW w:w="1482" w:type="dxa"/>
            <w:vMerge/>
            <w:vAlign w:val="center"/>
          </w:tcPr>
          <w:p w14:paraId="79FEC502"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p>
        </w:tc>
      </w:tr>
      <w:tr w:rsidR="00FE324F" w14:paraId="2358D8D8"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41D85B74" w14:textId="77777777" w:rsidR="00FE324F" w:rsidRPr="00696893" w:rsidRDefault="00FE324F" w:rsidP="002526FC">
            <w:pPr>
              <w:pStyle w:val="BodyText"/>
              <w:spacing w:after="0" w:line="240" w:lineRule="auto"/>
              <w:jc w:val="center"/>
              <w:rPr>
                <w:b/>
              </w:rPr>
            </w:pPr>
            <w:r w:rsidRPr="00696893">
              <w:rPr>
                <w:b/>
              </w:rPr>
              <w:t>2025</w:t>
            </w:r>
          </w:p>
        </w:tc>
        <w:tc>
          <w:tcPr>
            <w:tcW w:w="1436" w:type="dxa"/>
            <w:vAlign w:val="center"/>
          </w:tcPr>
          <w:p w14:paraId="24393D6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8,048</w:t>
            </w:r>
          </w:p>
        </w:tc>
        <w:tc>
          <w:tcPr>
            <w:tcW w:w="1436" w:type="dxa"/>
            <w:vAlign w:val="center"/>
          </w:tcPr>
          <w:p w14:paraId="42F60843"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46</w:t>
            </w:r>
          </w:p>
        </w:tc>
        <w:tc>
          <w:tcPr>
            <w:tcW w:w="1437" w:type="dxa"/>
            <w:vAlign w:val="center"/>
          </w:tcPr>
          <w:p w14:paraId="73A7DCBC"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4,728</w:t>
            </w:r>
          </w:p>
        </w:tc>
        <w:tc>
          <w:tcPr>
            <w:tcW w:w="1436" w:type="dxa"/>
            <w:vAlign w:val="center"/>
          </w:tcPr>
          <w:p w14:paraId="09CC15CE"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125</w:t>
            </w:r>
          </w:p>
        </w:tc>
        <w:tc>
          <w:tcPr>
            <w:tcW w:w="1437" w:type="dxa"/>
            <w:vAlign w:val="center"/>
          </w:tcPr>
          <w:p w14:paraId="756D3CE6"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5</w:t>
            </w:r>
          </w:p>
        </w:tc>
        <w:tc>
          <w:tcPr>
            <w:tcW w:w="1482" w:type="dxa"/>
            <w:shd w:val="clear" w:color="auto" w:fill="E5EDE8" w:themeFill="accent4" w:themeFillTint="33"/>
          </w:tcPr>
          <w:p w14:paraId="7AC6452D"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12,951</w:t>
            </w:r>
          </w:p>
        </w:tc>
      </w:tr>
      <w:tr w:rsidR="00FE324F" w14:paraId="6B183FF4"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228395EF" w14:textId="77777777" w:rsidR="00FE324F" w:rsidRPr="00696893" w:rsidRDefault="00FE324F" w:rsidP="002526FC">
            <w:pPr>
              <w:pStyle w:val="BodyText"/>
              <w:spacing w:after="0" w:line="240" w:lineRule="auto"/>
              <w:jc w:val="center"/>
              <w:rPr>
                <w:b/>
              </w:rPr>
            </w:pPr>
            <w:r w:rsidRPr="00696893">
              <w:rPr>
                <w:b/>
              </w:rPr>
              <w:t>2026</w:t>
            </w:r>
          </w:p>
        </w:tc>
        <w:tc>
          <w:tcPr>
            <w:tcW w:w="1436" w:type="dxa"/>
            <w:vAlign w:val="center"/>
          </w:tcPr>
          <w:p w14:paraId="2D1BC5E5"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16,096</w:t>
            </w:r>
          </w:p>
        </w:tc>
        <w:tc>
          <w:tcPr>
            <w:tcW w:w="1436" w:type="dxa"/>
            <w:vAlign w:val="center"/>
          </w:tcPr>
          <w:p w14:paraId="1D83B464"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92</w:t>
            </w:r>
          </w:p>
        </w:tc>
        <w:tc>
          <w:tcPr>
            <w:tcW w:w="1437" w:type="dxa"/>
            <w:vAlign w:val="center"/>
          </w:tcPr>
          <w:p w14:paraId="60AC1DC5"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7,793</w:t>
            </w:r>
          </w:p>
        </w:tc>
        <w:tc>
          <w:tcPr>
            <w:tcW w:w="1436" w:type="dxa"/>
            <w:vAlign w:val="center"/>
          </w:tcPr>
          <w:p w14:paraId="45FEE64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249</w:t>
            </w:r>
          </w:p>
        </w:tc>
        <w:tc>
          <w:tcPr>
            <w:tcW w:w="1437" w:type="dxa"/>
            <w:vAlign w:val="center"/>
          </w:tcPr>
          <w:p w14:paraId="5ED63313"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9</w:t>
            </w:r>
          </w:p>
        </w:tc>
        <w:tc>
          <w:tcPr>
            <w:tcW w:w="1482" w:type="dxa"/>
            <w:shd w:val="clear" w:color="auto" w:fill="E5EDE8" w:themeFill="accent4" w:themeFillTint="33"/>
          </w:tcPr>
          <w:p w14:paraId="5A72399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37,190</w:t>
            </w:r>
          </w:p>
        </w:tc>
      </w:tr>
      <w:tr w:rsidR="00FE324F" w14:paraId="75347DA6"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1C5A5546" w14:textId="77777777" w:rsidR="00FE324F" w:rsidRPr="00696893" w:rsidRDefault="00FE324F" w:rsidP="002526FC">
            <w:pPr>
              <w:pStyle w:val="BodyText"/>
              <w:spacing w:after="0" w:line="240" w:lineRule="auto"/>
              <w:jc w:val="center"/>
              <w:rPr>
                <w:b/>
              </w:rPr>
            </w:pPr>
            <w:r w:rsidRPr="00696893">
              <w:rPr>
                <w:b/>
              </w:rPr>
              <w:t>2027</w:t>
            </w:r>
          </w:p>
        </w:tc>
        <w:tc>
          <w:tcPr>
            <w:tcW w:w="1436" w:type="dxa"/>
            <w:vAlign w:val="center"/>
          </w:tcPr>
          <w:p w14:paraId="50862BF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24,144</w:t>
            </w:r>
          </w:p>
        </w:tc>
        <w:tc>
          <w:tcPr>
            <w:tcW w:w="1436" w:type="dxa"/>
            <w:vAlign w:val="center"/>
          </w:tcPr>
          <w:p w14:paraId="465215F3"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139</w:t>
            </w:r>
          </w:p>
        </w:tc>
        <w:tc>
          <w:tcPr>
            <w:tcW w:w="1437" w:type="dxa"/>
            <w:vAlign w:val="center"/>
          </w:tcPr>
          <w:p w14:paraId="5620D5F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10,433</w:t>
            </w:r>
          </w:p>
        </w:tc>
        <w:tc>
          <w:tcPr>
            <w:tcW w:w="1436" w:type="dxa"/>
            <w:vAlign w:val="center"/>
          </w:tcPr>
          <w:p w14:paraId="44BDDBB2"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374</w:t>
            </w:r>
          </w:p>
        </w:tc>
        <w:tc>
          <w:tcPr>
            <w:tcW w:w="1437" w:type="dxa"/>
            <w:vAlign w:val="center"/>
          </w:tcPr>
          <w:p w14:paraId="42A20984"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14</w:t>
            </w:r>
          </w:p>
        </w:tc>
        <w:tc>
          <w:tcPr>
            <w:tcW w:w="1482" w:type="dxa"/>
            <w:shd w:val="clear" w:color="auto" w:fill="E5EDE8" w:themeFill="accent4" w:themeFillTint="33"/>
          </w:tcPr>
          <w:p w14:paraId="5D53DC3A"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72,292</w:t>
            </w:r>
          </w:p>
        </w:tc>
      </w:tr>
      <w:tr w:rsidR="00FE324F" w14:paraId="4F6E31BF"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79C54EAD" w14:textId="77777777" w:rsidR="00FE324F" w:rsidRPr="00696893" w:rsidRDefault="00FE324F" w:rsidP="002526FC">
            <w:pPr>
              <w:pStyle w:val="BodyText"/>
              <w:spacing w:after="0" w:line="240" w:lineRule="auto"/>
              <w:jc w:val="center"/>
              <w:rPr>
                <w:b/>
              </w:rPr>
            </w:pPr>
            <w:r w:rsidRPr="00696893">
              <w:rPr>
                <w:b/>
              </w:rPr>
              <w:t>2028</w:t>
            </w:r>
          </w:p>
        </w:tc>
        <w:tc>
          <w:tcPr>
            <w:tcW w:w="1436" w:type="dxa"/>
            <w:vAlign w:val="center"/>
          </w:tcPr>
          <w:p w14:paraId="216828FA"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32,192</w:t>
            </w:r>
          </w:p>
        </w:tc>
        <w:tc>
          <w:tcPr>
            <w:tcW w:w="1436" w:type="dxa"/>
            <w:vAlign w:val="center"/>
          </w:tcPr>
          <w:p w14:paraId="33F8C87A"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185</w:t>
            </w:r>
          </w:p>
        </w:tc>
        <w:tc>
          <w:tcPr>
            <w:tcW w:w="1437" w:type="dxa"/>
            <w:vAlign w:val="center"/>
          </w:tcPr>
          <w:p w14:paraId="6A2FB900"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11,444</w:t>
            </w:r>
          </w:p>
        </w:tc>
        <w:tc>
          <w:tcPr>
            <w:tcW w:w="1436" w:type="dxa"/>
            <w:vAlign w:val="center"/>
          </w:tcPr>
          <w:p w14:paraId="43D9162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498</w:t>
            </w:r>
          </w:p>
        </w:tc>
        <w:tc>
          <w:tcPr>
            <w:tcW w:w="1437" w:type="dxa"/>
            <w:vAlign w:val="center"/>
          </w:tcPr>
          <w:p w14:paraId="7A34D31A"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18</w:t>
            </w:r>
          </w:p>
        </w:tc>
        <w:tc>
          <w:tcPr>
            <w:tcW w:w="1482" w:type="dxa"/>
            <w:shd w:val="clear" w:color="auto" w:fill="E5EDE8" w:themeFill="accent4" w:themeFillTint="33"/>
          </w:tcPr>
          <w:p w14:paraId="579377F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116,629</w:t>
            </w:r>
          </w:p>
        </w:tc>
      </w:tr>
      <w:tr w:rsidR="00FE324F" w14:paraId="79B30450"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51773F42" w14:textId="77777777" w:rsidR="00FE324F" w:rsidRPr="00696893" w:rsidRDefault="00FE324F" w:rsidP="002526FC">
            <w:pPr>
              <w:pStyle w:val="BodyText"/>
              <w:spacing w:after="0" w:line="240" w:lineRule="auto"/>
              <w:jc w:val="center"/>
              <w:rPr>
                <w:b/>
              </w:rPr>
            </w:pPr>
            <w:r w:rsidRPr="00696893">
              <w:rPr>
                <w:b/>
              </w:rPr>
              <w:t>2029</w:t>
            </w:r>
          </w:p>
        </w:tc>
        <w:tc>
          <w:tcPr>
            <w:tcW w:w="1436" w:type="dxa"/>
            <w:vAlign w:val="center"/>
          </w:tcPr>
          <w:p w14:paraId="66C29CC4"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53050A95"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0373C7E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9,511</w:t>
            </w:r>
          </w:p>
        </w:tc>
        <w:tc>
          <w:tcPr>
            <w:tcW w:w="1436" w:type="dxa"/>
            <w:vAlign w:val="center"/>
          </w:tcPr>
          <w:p w14:paraId="0BC7BCBC"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08A04268"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0720358D"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167,256</w:t>
            </w:r>
          </w:p>
        </w:tc>
      </w:tr>
      <w:tr w:rsidR="00FE324F" w14:paraId="2C2EB15D"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63B963B3" w14:textId="77777777" w:rsidR="00FE324F" w:rsidRPr="00696893" w:rsidRDefault="00FE324F" w:rsidP="002526FC">
            <w:pPr>
              <w:pStyle w:val="BodyText"/>
              <w:spacing w:after="0" w:line="240" w:lineRule="auto"/>
              <w:jc w:val="center"/>
              <w:rPr>
                <w:b/>
              </w:rPr>
            </w:pPr>
            <w:r w:rsidRPr="00696893">
              <w:rPr>
                <w:b/>
              </w:rPr>
              <w:t>2030</w:t>
            </w:r>
          </w:p>
        </w:tc>
        <w:tc>
          <w:tcPr>
            <w:tcW w:w="1436" w:type="dxa"/>
            <w:vAlign w:val="center"/>
          </w:tcPr>
          <w:p w14:paraId="5A32C6EE"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40,239</w:t>
            </w:r>
          </w:p>
        </w:tc>
        <w:tc>
          <w:tcPr>
            <w:tcW w:w="1436" w:type="dxa"/>
            <w:vAlign w:val="center"/>
          </w:tcPr>
          <w:p w14:paraId="690690CB"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231</w:t>
            </w:r>
          </w:p>
        </w:tc>
        <w:tc>
          <w:tcPr>
            <w:tcW w:w="1437" w:type="dxa"/>
            <w:vAlign w:val="center"/>
          </w:tcPr>
          <w:p w14:paraId="3BEDB102"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9,365</w:t>
            </w:r>
          </w:p>
        </w:tc>
        <w:tc>
          <w:tcPr>
            <w:tcW w:w="1436" w:type="dxa"/>
            <w:vAlign w:val="center"/>
          </w:tcPr>
          <w:p w14:paraId="28AC7DD5"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623</w:t>
            </w:r>
          </w:p>
        </w:tc>
        <w:tc>
          <w:tcPr>
            <w:tcW w:w="1437" w:type="dxa"/>
            <w:vAlign w:val="center"/>
          </w:tcPr>
          <w:p w14:paraId="7C6421A0"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23</w:t>
            </w:r>
          </w:p>
        </w:tc>
        <w:tc>
          <w:tcPr>
            <w:tcW w:w="1482" w:type="dxa"/>
            <w:shd w:val="clear" w:color="auto" w:fill="E5EDE8" w:themeFill="accent4" w:themeFillTint="33"/>
          </w:tcPr>
          <w:p w14:paraId="286B01BE"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217,737</w:t>
            </w:r>
          </w:p>
        </w:tc>
      </w:tr>
      <w:tr w:rsidR="00FE324F" w14:paraId="69E0CA5F"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16570060" w14:textId="77777777" w:rsidR="00FE324F" w:rsidRPr="00696893" w:rsidRDefault="00FE324F" w:rsidP="002526FC">
            <w:pPr>
              <w:pStyle w:val="BodyText"/>
              <w:spacing w:after="0" w:line="240" w:lineRule="auto"/>
              <w:jc w:val="center"/>
              <w:rPr>
                <w:b/>
              </w:rPr>
            </w:pPr>
            <w:r w:rsidRPr="00696893">
              <w:rPr>
                <w:b/>
              </w:rPr>
              <w:t>2031</w:t>
            </w:r>
          </w:p>
        </w:tc>
        <w:tc>
          <w:tcPr>
            <w:tcW w:w="1436" w:type="dxa"/>
            <w:vAlign w:val="center"/>
          </w:tcPr>
          <w:p w14:paraId="22B61035"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3D9896F9"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21E4A08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9,005</w:t>
            </w:r>
          </w:p>
        </w:tc>
        <w:tc>
          <w:tcPr>
            <w:tcW w:w="1436" w:type="dxa"/>
            <w:vAlign w:val="center"/>
          </w:tcPr>
          <w:p w14:paraId="5AEE4AB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02B5C7EC"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12C3500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267,858</w:t>
            </w:r>
          </w:p>
        </w:tc>
      </w:tr>
      <w:tr w:rsidR="00FE324F" w14:paraId="183402D6"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6FC07C18" w14:textId="77777777" w:rsidR="00FE324F" w:rsidRPr="00696893" w:rsidRDefault="00FE324F" w:rsidP="002526FC">
            <w:pPr>
              <w:pStyle w:val="BodyText"/>
              <w:spacing w:after="0" w:line="240" w:lineRule="auto"/>
              <w:jc w:val="center"/>
              <w:rPr>
                <w:b/>
              </w:rPr>
            </w:pPr>
            <w:r w:rsidRPr="00696893">
              <w:rPr>
                <w:b/>
              </w:rPr>
              <w:t>2032</w:t>
            </w:r>
          </w:p>
        </w:tc>
        <w:tc>
          <w:tcPr>
            <w:tcW w:w="1436" w:type="dxa"/>
            <w:vAlign w:val="center"/>
          </w:tcPr>
          <w:p w14:paraId="46659FE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43B42C12"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720B8F7E"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9,230</w:t>
            </w:r>
          </w:p>
        </w:tc>
        <w:tc>
          <w:tcPr>
            <w:tcW w:w="1436" w:type="dxa"/>
            <w:vAlign w:val="center"/>
          </w:tcPr>
          <w:p w14:paraId="408CD6A0"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761289B8"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403A50A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318,204</w:t>
            </w:r>
          </w:p>
        </w:tc>
      </w:tr>
      <w:tr w:rsidR="00FE324F" w14:paraId="4E665F78"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1E5D971F" w14:textId="77777777" w:rsidR="00FE324F" w:rsidRPr="00696893" w:rsidRDefault="00FE324F" w:rsidP="002526FC">
            <w:pPr>
              <w:pStyle w:val="BodyText"/>
              <w:spacing w:after="0" w:line="240" w:lineRule="auto"/>
              <w:jc w:val="center"/>
              <w:rPr>
                <w:b/>
              </w:rPr>
            </w:pPr>
            <w:r w:rsidRPr="00696893">
              <w:rPr>
                <w:b/>
              </w:rPr>
              <w:t>2033</w:t>
            </w:r>
          </w:p>
        </w:tc>
        <w:tc>
          <w:tcPr>
            <w:tcW w:w="1436" w:type="dxa"/>
            <w:vAlign w:val="center"/>
          </w:tcPr>
          <w:p w14:paraId="077B4FC4"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20AFBAF7"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10A4686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9,951</w:t>
            </w:r>
          </w:p>
        </w:tc>
        <w:tc>
          <w:tcPr>
            <w:tcW w:w="1436" w:type="dxa"/>
            <w:vAlign w:val="center"/>
          </w:tcPr>
          <w:p w14:paraId="0E45122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0AD53B02"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314565FD"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369,271</w:t>
            </w:r>
          </w:p>
        </w:tc>
      </w:tr>
      <w:tr w:rsidR="00FE324F" w14:paraId="7042DC8D"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48696026" w14:textId="77777777" w:rsidR="00FE324F" w:rsidRPr="00696893" w:rsidRDefault="00FE324F" w:rsidP="002526FC">
            <w:pPr>
              <w:pStyle w:val="BodyText"/>
              <w:spacing w:after="0" w:line="240" w:lineRule="auto"/>
              <w:jc w:val="center"/>
              <w:rPr>
                <w:b/>
              </w:rPr>
            </w:pPr>
            <w:r w:rsidRPr="00696893">
              <w:rPr>
                <w:b/>
              </w:rPr>
              <w:t>2034</w:t>
            </w:r>
          </w:p>
        </w:tc>
        <w:tc>
          <w:tcPr>
            <w:tcW w:w="1436" w:type="dxa"/>
            <w:vAlign w:val="center"/>
          </w:tcPr>
          <w:p w14:paraId="0D9A7EAE"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7AFA89C3"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7883F2A6"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10,017</w:t>
            </w:r>
          </w:p>
        </w:tc>
        <w:tc>
          <w:tcPr>
            <w:tcW w:w="1436" w:type="dxa"/>
            <w:vAlign w:val="center"/>
          </w:tcPr>
          <w:p w14:paraId="7900D166"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2F6E2314"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2F4474D5"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420,404</w:t>
            </w:r>
          </w:p>
        </w:tc>
      </w:tr>
      <w:tr w:rsidR="00FE324F" w14:paraId="426C0D2B"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501410DF" w14:textId="77777777" w:rsidR="00FE324F" w:rsidRPr="00696893" w:rsidRDefault="00FE324F" w:rsidP="002526FC">
            <w:pPr>
              <w:pStyle w:val="BodyText"/>
              <w:spacing w:after="0" w:line="240" w:lineRule="auto"/>
              <w:jc w:val="center"/>
              <w:rPr>
                <w:b/>
              </w:rPr>
            </w:pPr>
            <w:r w:rsidRPr="00696893">
              <w:rPr>
                <w:b/>
              </w:rPr>
              <w:t>2035</w:t>
            </w:r>
          </w:p>
        </w:tc>
        <w:tc>
          <w:tcPr>
            <w:tcW w:w="1436" w:type="dxa"/>
            <w:vAlign w:val="center"/>
          </w:tcPr>
          <w:p w14:paraId="2CD81A66"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7979774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43E279F2"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11,109</w:t>
            </w:r>
          </w:p>
        </w:tc>
        <w:tc>
          <w:tcPr>
            <w:tcW w:w="1436" w:type="dxa"/>
            <w:vAlign w:val="center"/>
          </w:tcPr>
          <w:p w14:paraId="626D22F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0FE22BD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72B91BCA"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472,630</w:t>
            </w:r>
          </w:p>
        </w:tc>
      </w:tr>
      <w:tr w:rsidR="00FE324F" w14:paraId="523C4025"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4641FCF8" w14:textId="77777777" w:rsidR="00FE324F" w:rsidRPr="00696893" w:rsidRDefault="00FE324F" w:rsidP="002526FC">
            <w:pPr>
              <w:pStyle w:val="BodyText"/>
              <w:spacing w:after="0" w:line="240" w:lineRule="auto"/>
              <w:jc w:val="center"/>
              <w:rPr>
                <w:b/>
              </w:rPr>
            </w:pPr>
            <w:r w:rsidRPr="00696893">
              <w:rPr>
                <w:b/>
              </w:rPr>
              <w:t>2036</w:t>
            </w:r>
          </w:p>
        </w:tc>
        <w:tc>
          <w:tcPr>
            <w:tcW w:w="1436" w:type="dxa"/>
            <w:vAlign w:val="center"/>
          </w:tcPr>
          <w:p w14:paraId="6C928178"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4B7DCE75"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34662DB4"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11,177</w:t>
            </w:r>
          </w:p>
        </w:tc>
        <w:tc>
          <w:tcPr>
            <w:tcW w:w="1436" w:type="dxa"/>
            <w:vAlign w:val="center"/>
          </w:tcPr>
          <w:p w14:paraId="4EF42C0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0849057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74649886"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524,923</w:t>
            </w:r>
          </w:p>
        </w:tc>
      </w:tr>
      <w:tr w:rsidR="00FE324F" w14:paraId="4367B938"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6C75A1D5" w14:textId="77777777" w:rsidR="00FE324F" w:rsidRPr="00696893" w:rsidRDefault="00FE324F" w:rsidP="002526FC">
            <w:pPr>
              <w:pStyle w:val="BodyText"/>
              <w:spacing w:after="0" w:line="240" w:lineRule="auto"/>
              <w:jc w:val="center"/>
              <w:rPr>
                <w:b/>
              </w:rPr>
            </w:pPr>
            <w:r w:rsidRPr="00696893">
              <w:rPr>
                <w:b/>
              </w:rPr>
              <w:t>2037</w:t>
            </w:r>
          </w:p>
        </w:tc>
        <w:tc>
          <w:tcPr>
            <w:tcW w:w="1436" w:type="dxa"/>
            <w:vAlign w:val="center"/>
          </w:tcPr>
          <w:p w14:paraId="77CE52C6"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414A736F"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603B4CC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10,969</w:t>
            </w:r>
          </w:p>
        </w:tc>
        <w:tc>
          <w:tcPr>
            <w:tcW w:w="1436" w:type="dxa"/>
            <w:vAlign w:val="center"/>
          </w:tcPr>
          <w:p w14:paraId="5DFC636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367D3CD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7D94755F"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577,007</w:t>
            </w:r>
          </w:p>
        </w:tc>
      </w:tr>
      <w:tr w:rsidR="00FE324F" w14:paraId="1E10D362"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7D396EFC" w14:textId="77777777" w:rsidR="00FE324F" w:rsidRPr="00696893" w:rsidRDefault="00FE324F" w:rsidP="002526FC">
            <w:pPr>
              <w:pStyle w:val="BodyText"/>
              <w:spacing w:after="0" w:line="240" w:lineRule="auto"/>
              <w:jc w:val="center"/>
              <w:rPr>
                <w:b/>
              </w:rPr>
            </w:pPr>
            <w:r w:rsidRPr="00696893">
              <w:rPr>
                <w:b/>
              </w:rPr>
              <w:t>2038</w:t>
            </w:r>
          </w:p>
        </w:tc>
        <w:tc>
          <w:tcPr>
            <w:tcW w:w="1436" w:type="dxa"/>
            <w:vAlign w:val="center"/>
          </w:tcPr>
          <w:p w14:paraId="1F63AAFE"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4DA3860C"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155A67E8"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8,706</w:t>
            </w:r>
          </w:p>
        </w:tc>
        <w:tc>
          <w:tcPr>
            <w:tcW w:w="1436" w:type="dxa"/>
            <w:vAlign w:val="center"/>
          </w:tcPr>
          <w:p w14:paraId="4850F830"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654E1929"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00281DEE"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626,830</w:t>
            </w:r>
          </w:p>
        </w:tc>
      </w:tr>
      <w:tr w:rsidR="00FE324F" w14:paraId="72712D27"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068A189E" w14:textId="77777777" w:rsidR="00FE324F" w:rsidRPr="00696893" w:rsidRDefault="00FE324F" w:rsidP="002526FC">
            <w:pPr>
              <w:pStyle w:val="BodyText"/>
              <w:spacing w:after="0" w:line="240" w:lineRule="auto"/>
              <w:jc w:val="center"/>
              <w:rPr>
                <w:b/>
              </w:rPr>
            </w:pPr>
            <w:r w:rsidRPr="00696893">
              <w:rPr>
                <w:b/>
              </w:rPr>
              <w:t>2039</w:t>
            </w:r>
          </w:p>
        </w:tc>
        <w:tc>
          <w:tcPr>
            <w:tcW w:w="1436" w:type="dxa"/>
            <w:vAlign w:val="center"/>
          </w:tcPr>
          <w:p w14:paraId="7ADF283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5E176089"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41DF4069"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9,229</w:t>
            </w:r>
          </w:p>
        </w:tc>
        <w:tc>
          <w:tcPr>
            <w:tcW w:w="1436" w:type="dxa"/>
            <w:vAlign w:val="center"/>
          </w:tcPr>
          <w:p w14:paraId="2CB6D16A"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7C8C9E1B"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399A6067"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677,175</w:t>
            </w:r>
          </w:p>
        </w:tc>
      </w:tr>
      <w:tr w:rsidR="00FE324F" w14:paraId="6965D7A2"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7ADE13EC" w14:textId="77777777" w:rsidR="00FE324F" w:rsidRPr="00696893" w:rsidRDefault="00FE324F" w:rsidP="002526FC">
            <w:pPr>
              <w:pStyle w:val="BodyText"/>
              <w:spacing w:after="0" w:line="240" w:lineRule="auto"/>
              <w:jc w:val="center"/>
              <w:rPr>
                <w:b/>
              </w:rPr>
            </w:pPr>
            <w:r w:rsidRPr="00696893">
              <w:rPr>
                <w:b/>
              </w:rPr>
              <w:t>2040</w:t>
            </w:r>
          </w:p>
        </w:tc>
        <w:tc>
          <w:tcPr>
            <w:tcW w:w="1436" w:type="dxa"/>
            <w:vAlign w:val="center"/>
          </w:tcPr>
          <w:p w14:paraId="34AF2E29"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3F8AA440"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44CBFE6C"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8,625</w:t>
            </w:r>
          </w:p>
        </w:tc>
        <w:tc>
          <w:tcPr>
            <w:tcW w:w="1436" w:type="dxa"/>
            <w:vAlign w:val="center"/>
          </w:tcPr>
          <w:p w14:paraId="60EC4089"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6274B6A9"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32906B0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726,916</w:t>
            </w:r>
          </w:p>
        </w:tc>
      </w:tr>
      <w:tr w:rsidR="00FE324F" w14:paraId="66BFA0D4"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030E4CA1" w14:textId="77777777" w:rsidR="00FE324F" w:rsidRPr="00696893" w:rsidRDefault="00FE324F" w:rsidP="002526FC">
            <w:pPr>
              <w:pStyle w:val="BodyText"/>
              <w:spacing w:after="0" w:line="240" w:lineRule="auto"/>
              <w:jc w:val="center"/>
              <w:rPr>
                <w:b/>
              </w:rPr>
            </w:pPr>
            <w:r w:rsidRPr="00696893">
              <w:rPr>
                <w:b/>
              </w:rPr>
              <w:t>2041</w:t>
            </w:r>
          </w:p>
        </w:tc>
        <w:tc>
          <w:tcPr>
            <w:tcW w:w="1436" w:type="dxa"/>
            <w:vAlign w:val="center"/>
          </w:tcPr>
          <w:p w14:paraId="569E69BE"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164B9324"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6C5892E2"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8,589</w:t>
            </w:r>
          </w:p>
        </w:tc>
        <w:tc>
          <w:tcPr>
            <w:tcW w:w="1436" w:type="dxa"/>
            <w:vAlign w:val="center"/>
          </w:tcPr>
          <w:p w14:paraId="1D07DAE5"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51654128"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34817DB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776,621</w:t>
            </w:r>
          </w:p>
        </w:tc>
      </w:tr>
      <w:tr w:rsidR="00FE324F" w14:paraId="74A7B4D5"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6089C153" w14:textId="77777777" w:rsidR="00FE324F" w:rsidRPr="00696893" w:rsidRDefault="00FE324F" w:rsidP="002526FC">
            <w:pPr>
              <w:pStyle w:val="BodyText"/>
              <w:spacing w:after="0" w:line="240" w:lineRule="auto"/>
              <w:jc w:val="center"/>
              <w:rPr>
                <w:b/>
              </w:rPr>
            </w:pPr>
            <w:r w:rsidRPr="00696893">
              <w:rPr>
                <w:b/>
              </w:rPr>
              <w:t>2042</w:t>
            </w:r>
          </w:p>
        </w:tc>
        <w:tc>
          <w:tcPr>
            <w:tcW w:w="1436" w:type="dxa"/>
            <w:vAlign w:val="center"/>
          </w:tcPr>
          <w:p w14:paraId="1FCA84F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375BBC3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5550649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8,611</w:t>
            </w:r>
          </w:p>
        </w:tc>
        <w:tc>
          <w:tcPr>
            <w:tcW w:w="1436" w:type="dxa"/>
            <w:vAlign w:val="center"/>
          </w:tcPr>
          <w:p w14:paraId="082EFFAC"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0E1319AB"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0DCC60BC"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826,347</w:t>
            </w:r>
          </w:p>
        </w:tc>
      </w:tr>
      <w:tr w:rsidR="00FE324F" w14:paraId="16346178"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60D1337B" w14:textId="77777777" w:rsidR="00FE324F" w:rsidRPr="00696893" w:rsidRDefault="00FE324F" w:rsidP="002526FC">
            <w:pPr>
              <w:pStyle w:val="BodyText"/>
              <w:spacing w:after="0" w:line="240" w:lineRule="auto"/>
              <w:jc w:val="center"/>
              <w:rPr>
                <w:b/>
              </w:rPr>
            </w:pPr>
            <w:r w:rsidRPr="00696893">
              <w:rPr>
                <w:b/>
              </w:rPr>
              <w:t>2043</w:t>
            </w:r>
          </w:p>
        </w:tc>
        <w:tc>
          <w:tcPr>
            <w:tcW w:w="1436" w:type="dxa"/>
            <w:vAlign w:val="center"/>
          </w:tcPr>
          <w:p w14:paraId="54B0E94C"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21F2ECDE"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7F75B578"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8,377</w:t>
            </w:r>
          </w:p>
        </w:tc>
        <w:tc>
          <w:tcPr>
            <w:tcW w:w="1436" w:type="dxa"/>
            <w:vAlign w:val="center"/>
          </w:tcPr>
          <w:p w14:paraId="61BFBEF8"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140E0C09"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79F063DF"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875,841</w:t>
            </w:r>
          </w:p>
        </w:tc>
      </w:tr>
      <w:tr w:rsidR="00FE324F" w14:paraId="44097B54"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728BEB05" w14:textId="77777777" w:rsidR="00FE324F" w:rsidRPr="00696893" w:rsidRDefault="00FE324F" w:rsidP="002526FC">
            <w:pPr>
              <w:pStyle w:val="BodyText"/>
              <w:spacing w:after="0" w:line="240" w:lineRule="auto"/>
              <w:jc w:val="center"/>
              <w:rPr>
                <w:b/>
              </w:rPr>
            </w:pPr>
            <w:r w:rsidRPr="00696893">
              <w:rPr>
                <w:b/>
              </w:rPr>
              <w:t>2044</w:t>
            </w:r>
          </w:p>
        </w:tc>
        <w:tc>
          <w:tcPr>
            <w:tcW w:w="1436" w:type="dxa"/>
            <w:vAlign w:val="center"/>
          </w:tcPr>
          <w:p w14:paraId="7CC40205"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068E668B"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2000853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8,279</w:t>
            </w:r>
          </w:p>
        </w:tc>
        <w:tc>
          <w:tcPr>
            <w:tcW w:w="1436" w:type="dxa"/>
            <w:vAlign w:val="center"/>
          </w:tcPr>
          <w:p w14:paraId="4F026019"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292D7AD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50CF840B"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925,236</w:t>
            </w:r>
          </w:p>
        </w:tc>
      </w:tr>
      <w:tr w:rsidR="00FE324F" w14:paraId="6568F1CB"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3ACD1D7B" w14:textId="77777777" w:rsidR="00FE324F" w:rsidRPr="00696893" w:rsidRDefault="00FE324F" w:rsidP="002526FC">
            <w:pPr>
              <w:pStyle w:val="BodyText"/>
              <w:spacing w:after="0" w:line="240" w:lineRule="auto"/>
              <w:jc w:val="center"/>
              <w:rPr>
                <w:b/>
              </w:rPr>
            </w:pPr>
            <w:r w:rsidRPr="00696893">
              <w:rPr>
                <w:b/>
              </w:rPr>
              <w:t>2045</w:t>
            </w:r>
          </w:p>
        </w:tc>
        <w:tc>
          <w:tcPr>
            <w:tcW w:w="1436" w:type="dxa"/>
            <w:vAlign w:val="center"/>
          </w:tcPr>
          <w:p w14:paraId="69F0DAF6"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580D030E"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063B1B5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8,364</w:t>
            </w:r>
          </w:p>
        </w:tc>
        <w:tc>
          <w:tcPr>
            <w:tcW w:w="1436" w:type="dxa"/>
            <w:vAlign w:val="center"/>
          </w:tcPr>
          <w:p w14:paraId="24937CC5"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49264797"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5C954445"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974,716</w:t>
            </w:r>
          </w:p>
        </w:tc>
      </w:tr>
      <w:tr w:rsidR="00FE324F" w14:paraId="4138DF8F"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0610D3B7" w14:textId="77777777" w:rsidR="00FE324F" w:rsidRPr="00696893" w:rsidRDefault="00FE324F" w:rsidP="002526FC">
            <w:pPr>
              <w:pStyle w:val="BodyText"/>
              <w:spacing w:after="0" w:line="240" w:lineRule="auto"/>
              <w:jc w:val="center"/>
              <w:rPr>
                <w:b/>
              </w:rPr>
            </w:pPr>
            <w:r w:rsidRPr="00696893">
              <w:rPr>
                <w:b/>
              </w:rPr>
              <w:t>2046</w:t>
            </w:r>
          </w:p>
        </w:tc>
        <w:tc>
          <w:tcPr>
            <w:tcW w:w="1436" w:type="dxa"/>
            <w:vAlign w:val="center"/>
          </w:tcPr>
          <w:p w14:paraId="4E96B439"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068CD703"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64213B92"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8,267</w:t>
            </w:r>
          </w:p>
        </w:tc>
        <w:tc>
          <w:tcPr>
            <w:tcW w:w="1436" w:type="dxa"/>
            <w:vAlign w:val="center"/>
          </w:tcPr>
          <w:p w14:paraId="69F733B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4B86FD78"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14B6BB3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1,024,099</w:t>
            </w:r>
          </w:p>
        </w:tc>
      </w:tr>
      <w:tr w:rsidR="00FE324F" w14:paraId="7F84E06E"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3DE53BBA" w14:textId="77777777" w:rsidR="00FE324F" w:rsidRPr="00696893" w:rsidRDefault="00FE324F" w:rsidP="002526FC">
            <w:pPr>
              <w:pStyle w:val="BodyText"/>
              <w:spacing w:after="0" w:line="240" w:lineRule="auto"/>
              <w:jc w:val="center"/>
              <w:rPr>
                <w:b/>
              </w:rPr>
            </w:pPr>
            <w:r w:rsidRPr="00696893">
              <w:rPr>
                <w:b/>
              </w:rPr>
              <w:t>2047</w:t>
            </w:r>
          </w:p>
        </w:tc>
        <w:tc>
          <w:tcPr>
            <w:tcW w:w="1436" w:type="dxa"/>
            <w:vAlign w:val="center"/>
          </w:tcPr>
          <w:p w14:paraId="1E31330D"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60804373"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33A888CA"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8,271</w:t>
            </w:r>
          </w:p>
        </w:tc>
        <w:tc>
          <w:tcPr>
            <w:tcW w:w="1436" w:type="dxa"/>
            <w:vAlign w:val="center"/>
          </w:tcPr>
          <w:p w14:paraId="63948A7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549001D1"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33A296ED"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1,073,486</w:t>
            </w:r>
          </w:p>
        </w:tc>
      </w:tr>
      <w:tr w:rsidR="00FE324F" w14:paraId="6FD742D1"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27A2D01A" w14:textId="77777777" w:rsidR="00FE324F" w:rsidRPr="00696893" w:rsidRDefault="00FE324F" w:rsidP="002526FC">
            <w:pPr>
              <w:pStyle w:val="BodyText"/>
              <w:spacing w:after="0" w:line="240" w:lineRule="auto"/>
              <w:jc w:val="center"/>
              <w:rPr>
                <w:b/>
              </w:rPr>
            </w:pPr>
            <w:r w:rsidRPr="00696893">
              <w:rPr>
                <w:b/>
              </w:rPr>
              <w:t>2048</w:t>
            </w:r>
          </w:p>
        </w:tc>
        <w:tc>
          <w:tcPr>
            <w:tcW w:w="1436" w:type="dxa"/>
            <w:vAlign w:val="center"/>
          </w:tcPr>
          <w:p w14:paraId="2C163DE7"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40,239</w:t>
            </w:r>
          </w:p>
        </w:tc>
        <w:tc>
          <w:tcPr>
            <w:tcW w:w="1436" w:type="dxa"/>
            <w:vAlign w:val="center"/>
          </w:tcPr>
          <w:p w14:paraId="6C519331"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w:t>
            </w:r>
          </w:p>
        </w:tc>
        <w:tc>
          <w:tcPr>
            <w:tcW w:w="1437" w:type="dxa"/>
            <w:vAlign w:val="center"/>
          </w:tcPr>
          <w:p w14:paraId="1088BB8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8,257</w:t>
            </w:r>
          </w:p>
        </w:tc>
        <w:tc>
          <w:tcPr>
            <w:tcW w:w="1436" w:type="dxa"/>
            <w:vAlign w:val="center"/>
          </w:tcPr>
          <w:p w14:paraId="6890210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623</w:t>
            </w:r>
          </w:p>
        </w:tc>
        <w:tc>
          <w:tcPr>
            <w:tcW w:w="1437" w:type="dxa"/>
            <w:vAlign w:val="center"/>
          </w:tcPr>
          <w:p w14:paraId="7C511A8E"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w:t>
            </w:r>
          </w:p>
        </w:tc>
        <w:tc>
          <w:tcPr>
            <w:tcW w:w="1482" w:type="dxa"/>
            <w:shd w:val="clear" w:color="auto" w:fill="E5EDE8" w:themeFill="accent4" w:themeFillTint="33"/>
          </w:tcPr>
          <w:p w14:paraId="4E74BF2F" w14:textId="77777777" w:rsidR="00FE324F"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1,122,860</w:t>
            </w:r>
          </w:p>
        </w:tc>
      </w:tr>
      <w:tr w:rsidR="00FE324F" w14:paraId="3CF2E4A5" w14:textId="77777777" w:rsidTr="002526FC">
        <w:trPr>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302B367A" w14:textId="77777777" w:rsidR="00FE324F" w:rsidRPr="00696893" w:rsidRDefault="00FE324F" w:rsidP="002526FC">
            <w:pPr>
              <w:pStyle w:val="BodyText"/>
              <w:spacing w:after="0" w:line="240" w:lineRule="auto"/>
              <w:jc w:val="center"/>
              <w:rPr>
                <w:b/>
              </w:rPr>
            </w:pPr>
            <w:r w:rsidRPr="00696893">
              <w:rPr>
                <w:b/>
              </w:rPr>
              <w:t>2049</w:t>
            </w:r>
          </w:p>
        </w:tc>
        <w:tc>
          <w:tcPr>
            <w:tcW w:w="1436" w:type="dxa"/>
            <w:vAlign w:val="center"/>
          </w:tcPr>
          <w:p w14:paraId="04D5A53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40,239</w:t>
            </w:r>
          </w:p>
        </w:tc>
        <w:tc>
          <w:tcPr>
            <w:tcW w:w="1436" w:type="dxa"/>
            <w:vAlign w:val="center"/>
          </w:tcPr>
          <w:p w14:paraId="132EE520"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231</w:t>
            </w:r>
          </w:p>
        </w:tc>
        <w:tc>
          <w:tcPr>
            <w:tcW w:w="1437" w:type="dxa"/>
            <w:vAlign w:val="center"/>
          </w:tcPr>
          <w:p w14:paraId="0918C96E"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8,313</w:t>
            </w:r>
          </w:p>
        </w:tc>
        <w:tc>
          <w:tcPr>
            <w:tcW w:w="1436" w:type="dxa"/>
            <w:vAlign w:val="center"/>
          </w:tcPr>
          <w:p w14:paraId="16F43B68"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623</w:t>
            </w:r>
          </w:p>
        </w:tc>
        <w:tc>
          <w:tcPr>
            <w:tcW w:w="1437" w:type="dxa"/>
            <w:vAlign w:val="center"/>
          </w:tcPr>
          <w:p w14:paraId="3297D255"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23</w:t>
            </w:r>
          </w:p>
        </w:tc>
        <w:tc>
          <w:tcPr>
            <w:tcW w:w="1482" w:type="dxa"/>
            <w:shd w:val="clear" w:color="auto" w:fill="E5EDE8" w:themeFill="accent4" w:themeFillTint="33"/>
          </w:tcPr>
          <w:p w14:paraId="056CE0A6" w14:textId="77777777" w:rsidR="00FE324F" w:rsidRDefault="00FE324F" w:rsidP="002526FC">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1,172,289</w:t>
            </w:r>
          </w:p>
        </w:tc>
      </w:tr>
      <w:tr w:rsidR="00FE324F" w14:paraId="7FC18231" w14:textId="77777777" w:rsidTr="002526F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08" w:type="dxa"/>
            <w:shd w:val="clear" w:color="auto" w:fill="CCDBD1" w:themeFill="accent4" w:themeFillTint="66"/>
            <w:vAlign w:val="center"/>
          </w:tcPr>
          <w:p w14:paraId="4D3A6B74" w14:textId="77777777" w:rsidR="00FE324F" w:rsidRPr="00696893" w:rsidRDefault="00FE324F" w:rsidP="002526FC">
            <w:pPr>
              <w:pStyle w:val="BodyText"/>
              <w:spacing w:after="0" w:line="240" w:lineRule="auto"/>
              <w:jc w:val="center"/>
              <w:rPr>
                <w:b/>
              </w:rPr>
            </w:pPr>
            <w:r w:rsidRPr="00696893">
              <w:rPr>
                <w:b/>
              </w:rPr>
              <w:t>2050</w:t>
            </w:r>
          </w:p>
        </w:tc>
        <w:tc>
          <w:tcPr>
            <w:tcW w:w="1436" w:type="dxa"/>
            <w:vAlign w:val="center"/>
          </w:tcPr>
          <w:p w14:paraId="55390EFD"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40,239</w:t>
            </w:r>
          </w:p>
        </w:tc>
        <w:tc>
          <w:tcPr>
            <w:tcW w:w="1436" w:type="dxa"/>
            <w:vAlign w:val="center"/>
          </w:tcPr>
          <w:p w14:paraId="0900F58D"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231</w:t>
            </w:r>
          </w:p>
        </w:tc>
        <w:tc>
          <w:tcPr>
            <w:tcW w:w="1437" w:type="dxa"/>
            <w:vAlign w:val="center"/>
          </w:tcPr>
          <w:p w14:paraId="04D8DC72"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8,217</w:t>
            </w:r>
          </w:p>
        </w:tc>
        <w:tc>
          <w:tcPr>
            <w:tcW w:w="1436" w:type="dxa"/>
            <w:vAlign w:val="center"/>
          </w:tcPr>
          <w:p w14:paraId="0E8DBA10"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623</w:t>
            </w:r>
          </w:p>
        </w:tc>
        <w:tc>
          <w:tcPr>
            <w:tcW w:w="1437" w:type="dxa"/>
            <w:vAlign w:val="center"/>
          </w:tcPr>
          <w:p w14:paraId="6E27B793"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23</w:t>
            </w:r>
          </w:p>
        </w:tc>
        <w:tc>
          <w:tcPr>
            <w:tcW w:w="1482" w:type="dxa"/>
            <w:shd w:val="clear" w:color="auto" w:fill="E5EDE8" w:themeFill="accent4" w:themeFillTint="33"/>
          </w:tcPr>
          <w:p w14:paraId="04BA7259" w14:textId="77777777" w:rsidR="00FE324F" w:rsidRPr="003B0159" w:rsidRDefault="00FE324F" w:rsidP="002526FC">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rPr>
            </w:pPr>
            <w:r w:rsidRPr="003B0159">
              <w:rPr>
                <w:b/>
              </w:rPr>
              <w:t>1,221,621</w:t>
            </w:r>
          </w:p>
        </w:tc>
      </w:tr>
    </w:tbl>
    <w:p w14:paraId="769765B5" w14:textId="77777777" w:rsidR="00FE324F" w:rsidRPr="004963E3" w:rsidRDefault="00FE324F" w:rsidP="004963E3">
      <w:pPr>
        <w:pStyle w:val="BodyText"/>
      </w:pPr>
    </w:p>
    <w:p w14:paraId="6AC527C7" w14:textId="5AAEFB21" w:rsidR="00B30DFE" w:rsidRPr="00B30DFE" w:rsidRDefault="00416DEC" w:rsidP="00416DEC">
      <w:pPr>
        <w:pStyle w:val="Heading1"/>
        <w:numPr>
          <w:ilvl w:val="0"/>
          <w:numId w:val="0"/>
        </w:numPr>
        <w:ind w:left="794" w:hanging="794"/>
      </w:pPr>
      <w:r>
        <w:t>Analysis Methodology</w:t>
      </w:r>
    </w:p>
    <w:p w14:paraId="2C19C27C" w14:textId="0CE98B0B" w:rsidR="00913F64" w:rsidRDefault="00B81B82" w:rsidP="003F5443">
      <w:pPr>
        <w:pStyle w:val="BodyText"/>
      </w:pPr>
      <w:r>
        <w:t xml:space="preserve">GHG </w:t>
      </w:r>
      <w:r w:rsidR="0013188A">
        <w:t xml:space="preserve">emissions </w:t>
      </w:r>
      <w:r>
        <w:t xml:space="preserve">reductions for the </w:t>
      </w:r>
      <w:r w:rsidR="000A3038">
        <w:t>program expansion</w:t>
      </w:r>
      <w:r w:rsidR="0013188A">
        <w:t xml:space="preserve"> </w:t>
      </w:r>
      <w:r w:rsidR="00AB6728">
        <w:t xml:space="preserve">were </w:t>
      </w:r>
      <w:r w:rsidR="0013188A">
        <w:t>estimated</w:t>
      </w:r>
      <w:r w:rsidR="00AB6728">
        <w:t xml:space="preserve"> </w:t>
      </w:r>
      <w:r w:rsidR="004477D1">
        <w:t>based on</w:t>
      </w:r>
      <w:r w:rsidR="00AB6728">
        <w:t xml:space="preserve"> </w:t>
      </w:r>
      <w:r w:rsidR="00E00AE8">
        <w:t>representative data from actual</w:t>
      </w:r>
      <w:r w:rsidR="00AB6728">
        <w:t xml:space="preserve"> </w:t>
      </w:r>
      <w:r w:rsidR="00E31EDE">
        <w:t xml:space="preserve">energy </w:t>
      </w:r>
      <w:r w:rsidR="00C90166">
        <w:t xml:space="preserve">efficiency projects that </w:t>
      </w:r>
      <w:r w:rsidR="0013188A">
        <w:t>were implemented</w:t>
      </w:r>
      <w:r w:rsidR="00C90166">
        <w:t xml:space="preserve"> in </w:t>
      </w:r>
      <w:r w:rsidR="00E00AE8">
        <w:t xml:space="preserve">recent </w:t>
      </w:r>
      <w:r w:rsidR="00C90166">
        <w:t>years</w:t>
      </w:r>
      <w:r w:rsidR="00E00AE8">
        <w:t xml:space="preserve"> </w:t>
      </w:r>
      <w:r w:rsidR="009F738B">
        <w:t>due to</w:t>
      </w:r>
      <w:r w:rsidR="00E00AE8">
        <w:t xml:space="preserve"> the</w:t>
      </w:r>
      <w:r w:rsidR="006F585A">
        <w:t xml:space="preserve"> </w:t>
      </w:r>
      <w:r w:rsidR="009F738B">
        <w:t>p</w:t>
      </w:r>
      <w:r w:rsidR="00E00AE8">
        <w:t xml:space="preserve">rogram’s </w:t>
      </w:r>
      <w:r w:rsidR="009F738B">
        <w:t>existing</w:t>
      </w:r>
      <w:r w:rsidR="00E00AE8">
        <w:t xml:space="preserve"> funding</w:t>
      </w:r>
      <w:r w:rsidR="00C90166">
        <w:t xml:space="preserve">. </w:t>
      </w:r>
      <w:r w:rsidR="001F093C">
        <w:t xml:space="preserve">GHG emissions reductions were </w:t>
      </w:r>
      <w:r w:rsidR="00297D35">
        <w:t>estimated</w:t>
      </w:r>
      <w:r w:rsidR="00D23B0F">
        <w:t xml:space="preserve"> separately</w:t>
      </w:r>
      <w:r w:rsidR="001F093C">
        <w:t xml:space="preserve"> for each </w:t>
      </w:r>
      <w:r w:rsidR="00297D35">
        <w:t xml:space="preserve">type of </w:t>
      </w:r>
      <w:r w:rsidR="00ED6AD3">
        <w:t>energy efficiency measure</w:t>
      </w:r>
      <w:r w:rsidR="00297D35">
        <w:t xml:space="preserve"> that may be funded by the </w:t>
      </w:r>
      <w:r w:rsidR="009F738B">
        <w:t xml:space="preserve">expanded </w:t>
      </w:r>
      <w:r w:rsidR="00297D35">
        <w:t>program</w:t>
      </w:r>
      <w:r w:rsidR="009F738B">
        <w:t>,</w:t>
      </w:r>
      <w:r w:rsidR="00297D35">
        <w:t xml:space="preserve"> </w:t>
      </w:r>
      <w:r w:rsidR="0033603E">
        <w:t xml:space="preserve">as </w:t>
      </w:r>
      <w:r w:rsidR="00297D35">
        <w:t xml:space="preserve">listed in Table </w:t>
      </w:r>
      <w:r w:rsidR="003D28B6">
        <w:t>3</w:t>
      </w:r>
      <w:r w:rsidR="00ED6AD3">
        <w:t>.</w:t>
      </w:r>
      <w:r w:rsidR="00C3167F">
        <w:t xml:space="preserve"> </w:t>
      </w:r>
      <w:r w:rsidR="00297D35">
        <w:t xml:space="preserve">Data </w:t>
      </w:r>
      <w:r w:rsidR="00866877">
        <w:t xml:space="preserve">used to inform the analysis </w:t>
      </w:r>
      <w:r w:rsidR="00297D35">
        <w:t>f</w:t>
      </w:r>
      <w:r w:rsidR="00866877">
        <w:t>rom</w:t>
      </w:r>
      <w:r w:rsidR="00297D35">
        <w:t xml:space="preserve"> each</w:t>
      </w:r>
      <w:r w:rsidR="00C759E3">
        <w:t xml:space="preserve"> previous project</w:t>
      </w:r>
      <w:r w:rsidR="00866877">
        <w:t xml:space="preserve"> included grant funds received and estimated annual energy savings. </w:t>
      </w:r>
      <w:r w:rsidR="0086266D">
        <w:t>P</w:t>
      </w:r>
      <w:r w:rsidR="00C759E3">
        <w:t xml:space="preserve">ast project costs were converted to 2023 dollars using the </w:t>
      </w:r>
      <w:r w:rsidR="00C759E3">
        <w:lastRenderedPageBreak/>
        <w:t>Customer Price Index (CPI)</w:t>
      </w:r>
      <w:r w:rsidR="0086266D">
        <w:t xml:space="preserve"> based on the year the project was implemented</w:t>
      </w:r>
      <w:r w:rsidR="00C759E3">
        <w:t>.</w:t>
      </w:r>
      <w:r w:rsidR="00C759E3">
        <w:rPr>
          <w:rStyle w:val="FootnoteReference"/>
        </w:rPr>
        <w:footnoteReference w:id="3"/>
      </w:r>
      <w:r w:rsidR="00C759E3">
        <w:t xml:space="preserve"> </w:t>
      </w:r>
      <w:r w:rsidR="007754FC">
        <w:t>See the</w:t>
      </w:r>
      <w:r w:rsidR="00CE49CC">
        <w:t xml:space="preserve"> following subsections </w:t>
      </w:r>
      <w:r w:rsidR="007754FC">
        <w:t xml:space="preserve">for </w:t>
      </w:r>
      <w:r w:rsidR="00CE49CC">
        <w:t>detail</w:t>
      </w:r>
      <w:r w:rsidR="007754FC">
        <w:t>s on</w:t>
      </w:r>
      <w:r w:rsidR="00023EB7">
        <w:t xml:space="preserve"> the assumptions and approach used to estimate GHG emissions reductions for each representative project </w:t>
      </w:r>
      <w:r w:rsidR="00E24520">
        <w:t xml:space="preserve">implemented </w:t>
      </w:r>
      <w:r w:rsidR="00023EB7">
        <w:t>by measure.</w:t>
      </w:r>
    </w:p>
    <w:p w14:paraId="01EE2350" w14:textId="702929E8" w:rsidR="00913F64" w:rsidRDefault="007624EB" w:rsidP="003F5443">
      <w:pPr>
        <w:pStyle w:val="BodyText"/>
      </w:pPr>
      <w:r>
        <w:t>Total GHG emissions</w:t>
      </w:r>
      <w:r w:rsidR="00574BC9">
        <w:t xml:space="preserve"> reductions for the </w:t>
      </w:r>
      <w:r w:rsidR="00C134DA">
        <w:t>p</w:t>
      </w:r>
      <w:r w:rsidR="00574BC9">
        <w:t xml:space="preserve">rogram </w:t>
      </w:r>
      <w:r w:rsidR="00C134DA">
        <w:t>expansion</w:t>
      </w:r>
      <w:r w:rsidR="00574BC9">
        <w:t xml:space="preserve"> </w:t>
      </w:r>
      <w:proofErr w:type="gramStart"/>
      <w:r w:rsidR="00574BC9">
        <w:t>as a whole</w:t>
      </w:r>
      <w:r w:rsidR="00B3115C">
        <w:t xml:space="preserve"> </w:t>
      </w:r>
      <w:r w:rsidR="00C507FD">
        <w:t>were</w:t>
      </w:r>
      <w:proofErr w:type="gramEnd"/>
      <w:r w:rsidR="00E73F60">
        <w:t xml:space="preserve"> estimated based on </w:t>
      </w:r>
      <w:r w:rsidR="000B3435">
        <w:t>summing the GHG emissions reductions</w:t>
      </w:r>
      <w:r w:rsidR="00610CE1">
        <w:t xml:space="preserve"> </w:t>
      </w:r>
      <w:r>
        <w:t>by</w:t>
      </w:r>
      <w:r w:rsidR="00B3115C">
        <w:t xml:space="preserve"> each</w:t>
      </w:r>
      <w:r>
        <w:t xml:space="preserve"> </w:t>
      </w:r>
      <w:r w:rsidR="00F61E6F">
        <w:t>measure</w:t>
      </w:r>
      <w:r w:rsidR="00B9316E">
        <w:t xml:space="preserve"> </w:t>
      </w:r>
      <w:r w:rsidR="00610CE1">
        <w:t>for all projects</w:t>
      </w:r>
      <w:r w:rsidR="0072325F">
        <w:t xml:space="preserve"> implemented over time, with savings accumulating over time. </w:t>
      </w:r>
      <w:r w:rsidR="007570DC">
        <w:t xml:space="preserve">There are uncertainties around the types of measures that will </w:t>
      </w:r>
      <w:proofErr w:type="gramStart"/>
      <w:r w:rsidR="007570DC">
        <w:t>actually get</w:t>
      </w:r>
      <w:proofErr w:type="gramEnd"/>
      <w:r w:rsidR="007570DC">
        <w:t xml:space="preserve"> implemented in the future, therefore p</w:t>
      </w:r>
      <w:r w:rsidR="009B0FCF">
        <w:t xml:space="preserve">ast </w:t>
      </w:r>
      <w:r w:rsidR="0021271E">
        <w:t>p</w:t>
      </w:r>
      <w:r w:rsidR="009B0FCF">
        <w:t>rogram data</w:t>
      </w:r>
      <w:r w:rsidR="00F50D65">
        <w:t xml:space="preserve"> w</w:t>
      </w:r>
      <w:r w:rsidR="0021271E">
        <w:t>ere</w:t>
      </w:r>
      <w:r w:rsidR="00F50D65">
        <w:t xml:space="preserve"> used to </w:t>
      </w:r>
      <w:r w:rsidR="00E924D0">
        <w:t xml:space="preserve">inform the types of measures that </w:t>
      </w:r>
      <w:r w:rsidR="007570DC">
        <w:t xml:space="preserve">may be implemented </w:t>
      </w:r>
      <w:r w:rsidR="00BF50A4">
        <w:t xml:space="preserve">most </w:t>
      </w:r>
      <w:r w:rsidR="0021271E">
        <w:t xml:space="preserve">with the program expansion, </w:t>
      </w:r>
      <w:r w:rsidR="007570DC">
        <w:t xml:space="preserve">based on where funding has previously been dispensed. </w:t>
      </w:r>
      <w:r w:rsidR="00BF50A4">
        <w:t>Th</w:t>
      </w:r>
      <w:r w:rsidR="0021271E">
        <w:t>ese</w:t>
      </w:r>
      <w:r w:rsidR="00BD04EB">
        <w:t xml:space="preserve"> data indicated that </w:t>
      </w:r>
      <w:proofErr w:type="gramStart"/>
      <w:r w:rsidR="00BD04EB">
        <w:t>the</w:t>
      </w:r>
      <w:r w:rsidR="00195D71">
        <w:t xml:space="preserve"> majority of</w:t>
      </w:r>
      <w:proofErr w:type="gramEnd"/>
      <w:r w:rsidR="00195D71">
        <w:t xml:space="preserve"> funding ha</w:t>
      </w:r>
      <w:r w:rsidR="00E924D0">
        <w:t>s</w:t>
      </w:r>
      <w:r w:rsidR="00195D71">
        <w:t xml:space="preserve"> been used for </w:t>
      </w:r>
      <w:r w:rsidR="00BD04EB">
        <w:t xml:space="preserve">projects that result in meaningful GHG emissions reductions, </w:t>
      </w:r>
      <w:r w:rsidR="0021271E">
        <w:t xml:space="preserve">particularly </w:t>
      </w:r>
      <w:r w:rsidR="00195D71">
        <w:t xml:space="preserve">LED lighting </w:t>
      </w:r>
      <w:r w:rsidR="00BD04EB">
        <w:t>installations</w:t>
      </w:r>
      <w:r w:rsidR="00A20090">
        <w:t xml:space="preserve"> and HVAC upgrades. </w:t>
      </w:r>
      <w:r w:rsidR="002C593A">
        <w:t>Th</w:t>
      </w:r>
      <w:r w:rsidR="00734D97">
        <w:t xml:space="preserve">is information was used to estimate the available </w:t>
      </w:r>
      <w:r w:rsidR="00BF50A4">
        <w:t xml:space="preserve">total </w:t>
      </w:r>
      <w:r w:rsidR="00734D97">
        <w:t xml:space="preserve">share of </w:t>
      </w:r>
      <w:r w:rsidR="0021271E">
        <w:t>additional</w:t>
      </w:r>
      <w:r w:rsidR="00734D97">
        <w:t xml:space="preserve"> funding </w:t>
      </w:r>
      <w:r w:rsidR="00C17F0A">
        <w:t xml:space="preserve">that </w:t>
      </w:r>
      <w:r w:rsidR="00734D97">
        <w:t xml:space="preserve">each measure may </w:t>
      </w:r>
      <w:r w:rsidR="00874E51">
        <w:t>have access to</w:t>
      </w:r>
      <w:r w:rsidR="00C17F0A">
        <w:t xml:space="preserve"> in the future</w:t>
      </w:r>
      <w:r w:rsidR="00874E51">
        <w:t xml:space="preserve">, as detailed in Table </w:t>
      </w:r>
      <w:r w:rsidR="000E37D6">
        <w:t>3</w:t>
      </w:r>
      <w:r w:rsidR="00E16041">
        <w:t>. Total funding</w:t>
      </w:r>
      <w:r w:rsidR="00210165">
        <w:t xml:space="preserve"> requested</w:t>
      </w:r>
      <w:r w:rsidR="00E16041">
        <w:t xml:space="preserve"> for th</w:t>
      </w:r>
      <w:r w:rsidR="0021271E">
        <w:t>e</w:t>
      </w:r>
      <w:r w:rsidR="00E16041">
        <w:t xml:space="preserve"> </w:t>
      </w:r>
      <w:r w:rsidR="0021271E">
        <w:t>p</w:t>
      </w:r>
      <w:r w:rsidR="00E16041">
        <w:t xml:space="preserve">rogram </w:t>
      </w:r>
      <w:r w:rsidR="0021271E">
        <w:t>expansion</w:t>
      </w:r>
      <w:r w:rsidR="00E16041">
        <w:t xml:space="preserve"> </w:t>
      </w:r>
      <w:r w:rsidR="00210165">
        <w:t>is</w:t>
      </w:r>
      <w:r w:rsidR="00E16041">
        <w:t xml:space="preserve"> $20</w:t>
      </w:r>
      <w:r w:rsidR="00C17F0A">
        <w:t xml:space="preserve"> million</w:t>
      </w:r>
      <w:r w:rsidR="0021271E">
        <w:t>,</w:t>
      </w:r>
      <w:r w:rsidR="00DC5851">
        <w:t xml:space="preserve"> which includes $1</w:t>
      </w:r>
      <w:r w:rsidR="00C17F0A">
        <w:t xml:space="preserve"> million</w:t>
      </w:r>
      <w:r w:rsidR="00DC5851">
        <w:t xml:space="preserve"> </w:t>
      </w:r>
      <w:r w:rsidR="00210165">
        <w:t>estimated</w:t>
      </w:r>
      <w:r w:rsidR="00DC5851">
        <w:t xml:space="preserve"> for </w:t>
      </w:r>
      <w:r w:rsidR="0021271E">
        <w:t>p</w:t>
      </w:r>
      <w:r w:rsidR="00DC5851">
        <w:t>rogram administration. Th</w:t>
      </w:r>
      <w:r w:rsidR="00DA75CF">
        <w:t>e remaining</w:t>
      </w:r>
      <w:r w:rsidR="00DC5851">
        <w:t xml:space="preserve"> $</w:t>
      </w:r>
      <w:r w:rsidR="00572DFA">
        <w:t>19</w:t>
      </w:r>
      <w:r w:rsidR="00C17F0A">
        <w:t xml:space="preserve"> million </w:t>
      </w:r>
      <w:r w:rsidR="00FA731E">
        <w:t>is assumed to be available for implementation-ready projects that would contribute to GHG emissions reductions</w:t>
      </w:r>
      <w:r w:rsidR="00572DFA">
        <w:t>.</w:t>
      </w:r>
      <w:r w:rsidR="003D6487">
        <w:t xml:space="preserve"> </w:t>
      </w:r>
    </w:p>
    <w:p w14:paraId="2D6E2E0E" w14:textId="76399985" w:rsidR="00CD167E" w:rsidRPr="009F4524" w:rsidRDefault="00CD167E" w:rsidP="009F4524">
      <w:pPr>
        <w:pStyle w:val="BodyText"/>
        <w:spacing w:before="80" w:after="40" w:line="240" w:lineRule="auto"/>
        <w:rPr>
          <w:b/>
        </w:rPr>
      </w:pPr>
      <w:r w:rsidRPr="009F4524">
        <w:rPr>
          <w:b/>
        </w:rPr>
        <w:t xml:space="preserve">Table </w:t>
      </w:r>
      <w:r w:rsidR="000E37D6">
        <w:rPr>
          <w:b/>
        </w:rPr>
        <w:t>3</w:t>
      </w:r>
      <w:r w:rsidRPr="009F4524">
        <w:rPr>
          <w:b/>
        </w:rPr>
        <w:t>. Assumed Total Funds Available</w:t>
      </w:r>
      <w:r w:rsidR="001B386C" w:rsidRPr="009F4524">
        <w:rPr>
          <w:b/>
        </w:rPr>
        <w:t xml:space="preserve"> by </w:t>
      </w:r>
      <w:r w:rsidR="00D70430" w:rsidRPr="009F4524">
        <w:rPr>
          <w:b/>
        </w:rPr>
        <w:t xml:space="preserve">Implementation-Ready </w:t>
      </w:r>
      <w:r w:rsidR="001B386C" w:rsidRPr="009F4524">
        <w:rPr>
          <w:b/>
        </w:rPr>
        <w:t>Measure</w:t>
      </w:r>
    </w:p>
    <w:tbl>
      <w:tblPr>
        <w:tblStyle w:val="ERMTable1"/>
        <w:tblW w:w="0" w:type="auto"/>
        <w:jc w:val="center"/>
        <w:tblCellMar>
          <w:top w:w="43" w:type="dxa"/>
          <w:bottom w:w="43" w:type="dxa"/>
        </w:tblCellMar>
        <w:tblLook w:val="04A0" w:firstRow="1" w:lastRow="0" w:firstColumn="1" w:lastColumn="0" w:noHBand="0" w:noVBand="1"/>
      </w:tblPr>
      <w:tblGrid>
        <w:gridCol w:w="3212"/>
        <w:gridCol w:w="2592"/>
        <w:gridCol w:w="2592"/>
      </w:tblGrid>
      <w:tr w:rsidR="00CD167E" w14:paraId="326E56F5" w14:textId="77777777" w:rsidTr="00FF70B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76E987BB" w14:textId="382E51AD" w:rsidR="00CD167E" w:rsidRDefault="00CD167E" w:rsidP="00C4704F">
            <w:pPr>
              <w:pStyle w:val="BodyText"/>
              <w:spacing w:after="0" w:line="240" w:lineRule="auto"/>
              <w:jc w:val="center"/>
            </w:pPr>
          </w:p>
        </w:tc>
        <w:tc>
          <w:tcPr>
            <w:tcW w:w="2592" w:type="dxa"/>
            <w:vAlign w:val="center"/>
          </w:tcPr>
          <w:p w14:paraId="24F5FAAB" w14:textId="0CC15E37" w:rsidR="00CD167E" w:rsidRDefault="001B386C" w:rsidP="00C4704F">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Share of Funding for Projects</w:t>
            </w:r>
          </w:p>
          <w:p w14:paraId="0AFAEA78" w14:textId="619B8368" w:rsidR="001B386C" w:rsidRPr="001B386C" w:rsidRDefault="001B386C" w:rsidP="00C4704F">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p>
        </w:tc>
        <w:tc>
          <w:tcPr>
            <w:tcW w:w="2592" w:type="dxa"/>
            <w:vAlign w:val="center"/>
          </w:tcPr>
          <w:p w14:paraId="1837B03E" w14:textId="77777777" w:rsidR="00CD167E" w:rsidRDefault="001B386C" w:rsidP="00C4704F">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Funds for Projects</w:t>
            </w:r>
          </w:p>
          <w:p w14:paraId="7A232C7B" w14:textId="5DE3249C" w:rsidR="001B386C" w:rsidRPr="001B386C" w:rsidRDefault="001B386C" w:rsidP="00C4704F">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p>
        </w:tc>
      </w:tr>
      <w:tr w:rsidR="00CD167E" w14:paraId="6F876F12" w14:textId="77777777" w:rsidTr="00FF70B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4E0ABA9D" w14:textId="4B32289D" w:rsidR="00CD167E" w:rsidRDefault="00C14841" w:rsidP="00C4704F">
            <w:pPr>
              <w:pStyle w:val="BodyText"/>
              <w:spacing w:after="0" w:line="240" w:lineRule="auto"/>
            </w:pPr>
            <w:r>
              <w:t xml:space="preserve">1. </w:t>
            </w:r>
            <w:r w:rsidR="00CD167E">
              <w:t>HVAC Upgrades</w:t>
            </w:r>
          </w:p>
        </w:tc>
        <w:tc>
          <w:tcPr>
            <w:tcW w:w="2592" w:type="dxa"/>
            <w:vAlign w:val="center"/>
          </w:tcPr>
          <w:p w14:paraId="0CA5E910" w14:textId="34CC0C18" w:rsidR="00CD167E" w:rsidRDefault="00362DFF" w:rsidP="00C4704F">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35</w:t>
            </w:r>
            <w:r w:rsidR="00FA5B3A">
              <w:t>%</w:t>
            </w:r>
          </w:p>
        </w:tc>
        <w:tc>
          <w:tcPr>
            <w:tcW w:w="2592" w:type="dxa"/>
            <w:vAlign w:val="center"/>
          </w:tcPr>
          <w:p w14:paraId="53EABDFD" w14:textId="62580C78" w:rsidR="00CD167E" w:rsidRDefault="00FA5B3A" w:rsidP="00C4704F">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$6,650,000</w:t>
            </w:r>
          </w:p>
        </w:tc>
      </w:tr>
      <w:tr w:rsidR="00CD167E" w14:paraId="5E65D5C7" w14:textId="77777777" w:rsidTr="00FF70BA">
        <w:trPr>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9BCEF6A" w14:textId="0FFDD302" w:rsidR="00CD167E" w:rsidRDefault="00C14841" w:rsidP="00C4704F">
            <w:pPr>
              <w:pStyle w:val="BodyText"/>
              <w:spacing w:after="0" w:line="240" w:lineRule="auto"/>
            </w:pPr>
            <w:r>
              <w:t xml:space="preserve">2. </w:t>
            </w:r>
            <w:r w:rsidR="00CD167E">
              <w:t>Boiler Upgrades</w:t>
            </w:r>
          </w:p>
        </w:tc>
        <w:tc>
          <w:tcPr>
            <w:tcW w:w="2592" w:type="dxa"/>
            <w:vAlign w:val="center"/>
          </w:tcPr>
          <w:p w14:paraId="20398250" w14:textId="35771777" w:rsidR="00CD167E" w:rsidRDefault="00362DFF" w:rsidP="00C4704F">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w:t>
            </w:r>
            <w:r w:rsidR="00FA5B3A">
              <w:t>%</w:t>
            </w:r>
          </w:p>
        </w:tc>
        <w:tc>
          <w:tcPr>
            <w:tcW w:w="2592" w:type="dxa"/>
            <w:vAlign w:val="center"/>
          </w:tcPr>
          <w:p w14:paraId="5948F181" w14:textId="09939523" w:rsidR="00CD167E" w:rsidRDefault="00FA5B3A" w:rsidP="00C4704F">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$380,000</w:t>
            </w:r>
          </w:p>
        </w:tc>
      </w:tr>
      <w:tr w:rsidR="00CD167E" w14:paraId="530CBD10" w14:textId="77777777" w:rsidTr="00FF70B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03C70D10" w14:textId="34CD95B7" w:rsidR="00CD167E" w:rsidRDefault="00C14841" w:rsidP="00C4704F">
            <w:pPr>
              <w:pStyle w:val="BodyText"/>
              <w:spacing w:after="0" w:line="240" w:lineRule="auto"/>
            </w:pPr>
            <w:r>
              <w:t xml:space="preserve">3. </w:t>
            </w:r>
            <w:r w:rsidR="00CD167E">
              <w:t>LED Lighting Installations</w:t>
            </w:r>
          </w:p>
        </w:tc>
        <w:tc>
          <w:tcPr>
            <w:tcW w:w="2592" w:type="dxa"/>
            <w:vAlign w:val="center"/>
          </w:tcPr>
          <w:p w14:paraId="064CC328" w14:textId="36C81915" w:rsidR="00CD167E" w:rsidRDefault="00362DFF" w:rsidP="00C4704F">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60</w:t>
            </w:r>
            <w:r w:rsidR="00FA5B3A">
              <w:t>%</w:t>
            </w:r>
          </w:p>
        </w:tc>
        <w:tc>
          <w:tcPr>
            <w:tcW w:w="2592" w:type="dxa"/>
            <w:vAlign w:val="center"/>
          </w:tcPr>
          <w:p w14:paraId="49E78CAE" w14:textId="155287D8" w:rsidR="00CD167E" w:rsidRDefault="00FA5B3A" w:rsidP="00C4704F">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$11,400,000</w:t>
            </w:r>
          </w:p>
        </w:tc>
      </w:tr>
      <w:tr w:rsidR="00CD167E" w14:paraId="4E421245" w14:textId="77777777" w:rsidTr="00FF70BA">
        <w:trPr>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2ABDDE17" w14:textId="35F09235" w:rsidR="00CD167E" w:rsidRDefault="00C14841" w:rsidP="00C4704F">
            <w:pPr>
              <w:pStyle w:val="BodyText"/>
              <w:spacing w:after="0" w:line="240" w:lineRule="auto"/>
            </w:pPr>
            <w:r>
              <w:t xml:space="preserve">4. </w:t>
            </w:r>
            <w:r w:rsidR="00CD167E">
              <w:t>Insulation Installations</w:t>
            </w:r>
          </w:p>
        </w:tc>
        <w:tc>
          <w:tcPr>
            <w:tcW w:w="2592" w:type="dxa"/>
            <w:vAlign w:val="center"/>
          </w:tcPr>
          <w:p w14:paraId="50FDD293" w14:textId="56B3476E" w:rsidR="00CD167E" w:rsidRDefault="00FA5B3A" w:rsidP="00C4704F">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2%</w:t>
            </w:r>
          </w:p>
        </w:tc>
        <w:tc>
          <w:tcPr>
            <w:tcW w:w="2592" w:type="dxa"/>
            <w:vAlign w:val="center"/>
          </w:tcPr>
          <w:p w14:paraId="3484306A" w14:textId="23CAA258" w:rsidR="00CD167E" w:rsidRDefault="002B295E" w:rsidP="00C4704F">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$380,000</w:t>
            </w:r>
          </w:p>
        </w:tc>
      </w:tr>
      <w:tr w:rsidR="00CD167E" w14:paraId="312D8DF3" w14:textId="77777777" w:rsidTr="00FF70B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57C3D102" w14:textId="10CF0B70" w:rsidR="00CD167E" w:rsidRDefault="00C14841" w:rsidP="00C4704F">
            <w:pPr>
              <w:pStyle w:val="BodyText"/>
              <w:spacing w:after="0" w:line="240" w:lineRule="auto"/>
            </w:pPr>
            <w:r>
              <w:t xml:space="preserve">5. </w:t>
            </w:r>
            <w:r w:rsidR="00CD167E">
              <w:t>Window Upgrades</w:t>
            </w:r>
          </w:p>
        </w:tc>
        <w:tc>
          <w:tcPr>
            <w:tcW w:w="2592" w:type="dxa"/>
            <w:vAlign w:val="center"/>
          </w:tcPr>
          <w:p w14:paraId="0E3621CE" w14:textId="5C94E21D" w:rsidR="00CD167E" w:rsidRDefault="00FA5B3A" w:rsidP="00C4704F">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w:t>
            </w:r>
          </w:p>
        </w:tc>
        <w:tc>
          <w:tcPr>
            <w:tcW w:w="2592" w:type="dxa"/>
            <w:vAlign w:val="center"/>
          </w:tcPr>
          <w:p w14:paraId="4DBB9AC6" w14:textId="64F276FD" w:rsidR="00CD167E" w:rsidRDefault="002B295E" w:rsidP="00C4704F">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$190,000</w:t>
            </w:r>
          </w:p>
        </w:tc>
      </w:tr>
      <w:tr w:rsidR="00CD167E" w14:paraId="0EBC5EC2" w14:textId="77777777" w:rsidTr="00FF70BA">
        <w:trPr>
          <w:jc w:val="center"/>
        </w:trPr>
        <w:tc>
          <w:tcPr>
            <w:cnfStyle w:val="001000000000" w:firstRow="0" w:lastRow="0" w:firstColumn="1" w:lastColumn="0" w:oddVBand="0" w:evenVBand="0" w:oddHBand="0" w:evenHBand="0" w:firstRowFirstColumn="0" w:firstRowLastColumn="0" w:lastRowFirstColumn="0" w:lastRowLastColumn="0"/>
            <w:tcW w:w="3212" w:type="dxa"/>
            <w:vAlign w:val="center"/>
          </w:tcPr>
          <w:p w14:paraId="3BAB6BF5" w14:textId="77777777" w:rsidR="00CD167E" w:rsidRPr="005563E7" w:rsidRDefault="00CD167E" w:rsidP="00C4704F">
            <w:pPr>
              <w:pStyle w:val="BodyText"/>
              <w:spacing w:after="0" w:line="240" w:lineRule="auto"/>
              <w:rPr>
                <w:b/>
                <w:bCs/>
              </w:rPr>
            </w:pPr>
            <w:r>
              <w:rPr>
                <w:b/>
                <w:bCs/>
              </w:rPr>
              <w:t>Program Total</w:t>
            </w:r>
          </w:p>
        </w:tc>
        <w:tc>
          <w:tcPr>
            <w:tcW w:w="2592" w:type="dxa"/>
            <w:vAlign w:val="center"/>
          </w:tcPr>
          <w:p w14:paraId="3A597730" w14:textId="086D22F7" w:rsidR="00CD167E" w:rsidRPr="00AF0993" w:rsidRDefault="00AF0993" w:rsidP="00C4704F">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b/>
                <w:bCs/>
              </w:rPr>
            </w:pPr>
            <w:r w:rsidRPr="00AF0993">
              <w:rPr>
                <w:b/>
                <w:bCs/>
              </w:rPr>
              <w:t>100%</w:t>
            </w:r>
          </w:p>
        </w:tc>
        <w:tc>
          <w:tcPr>
            <w:tcW w:w="2592" w:type="dxa"/>
            <w:vAlign w:val="center"/>
          </w:tcPr>
          <w:p w14:paraId="153E3678" w14:textId="1CC6CC65" w:rsidR="00CD167E" w:rsidRPr="00AF0993" w:rsidRDefault="00AF0993" w:rsidP="00C4704F">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rPr>
                <w:b/>
                <w:bCs/>
              </w:rPr>
            </w:pPr>
            <w:r w:rsidRPr="00AF0993">
              <w:rPr>
                <w:b/>
                <w:bCs/>
              </w:rPr>
              <w:t>$19</w:t>
            </w:r>
            <w:r>
              <w:rPr>
                <w:b/>
                <w:bCs/>
              </w:rPr>
              <w:t>,000,000</w:t>
            </w:r>
          </w:p>
        </w:tc>
      </w:tr>
    </w:tbl>
    <w:p w14:paraId="1577BBD9" w14:textId="77777777" w:rsidR="00CD167E" w:rsidRDefault="00CD167E" w:rsidP="003F5443">
      <w:pPr>
        <w:pStyle w:val="BodyText"/>
      </w:pPr>
    </w:p>
    <w:p w14:paraId="01A856B0" w14:textId="2AF540AC" w:rsidR="00172F62" w:rsidRDefault="000A6CC6" w:rsidP="00913F64">
      <w:pPr>
        <w:pStyle w:val="BodyText"/>
      </w:pPr>
      <w:r>
        <w:t xml:space="preserve">Each type of </w:t>
      </w:r>
      <w:r w:rsidR="00A00F0E">
        <w:t>energy efficiency measure</w:t>
      </w:r>
      <w:r>
        <w:t xml:space="preserve"> is implementation-ready and has been supported by the program in the past. The </w:t>
      </w:r>
      <w:r w:rsidR="0021271E">
        <w:t>p</w:t>
      </w:r>
      <w:r>
        <w:t xml:space="preserve">rogram is ready to dispense more funds to these kinds of projects beginning in 2025. </w:t>
      </w:r>
      <w:r w:rsidR="00AF6E5C">
        <w:t>The analys</w:t>
      </w:r>
      <w:r w:rsidR="004F5522">
        <w:t>i</w:t>
      </w:r>
      <w:r w:rsidR="00AF6E5C">
        <w:t xml:space="preserve">s assumes all funding would be dispensed </w:t>
      </w:r>
      <w:r w:rsidR="00B001AE">
        <w:t>before 2030, with 20%</w:t>
      </w:r>
      <w:r w:rsidR="005C54A3">
        <w:t xml:space="preserve"> (i.e.</w:t>
      </w:r>
      <w:r w:rsidR="0021271E">
        <w:t>,</w:t>
      </w:r>
      <w:r w:rsidR="005C54A3">
        <w:t xml:space="preserve"> $3.8 million)</w:t>
      </w:r>
      <w:r w:rsidR="00B001AE">
        <w:t xml:space="preserve"> of available funds spent </w:t>
      </w:r>
      <w:r w:rsidR="00776030">
        <w:t>based on the split by measure</w:t>
      </w:r>
      <w:r w:rsidR="0021271E">
        <w:t xml:space="preserve"> as noted in Table </w:t>
      </w:r>
      <w:r w:rsidR="00764A17">
        <w:t>3</w:t>
      </w:r>
      <w:r w:rsidR="00776030">
        <w:t xml:space="preserve">, </w:t>
      </w:r>
      <w:r w:rsidR="00B001AE">
        <w:t>in each year</w:t>
      </w:r>
      <w:r w:rsidR="00986C24">
        <w:t xml:space="preserve"> </w:t>
      </w:r>
      <w:r w:rsidR="0021271E">
        <w:t xml:space="preserve">from </w:t>
      </w:r>
      <w:r w:rsidR="00986C24">
        <w:t>2025</w:t>
      </w:r>
      <w:r w:rsidR="0021271E">
        <w:t>-</w:t>
      </w:r>
      <w:r w:rsidR="00986C24">
        <w:t>2029</w:t>
      </w:r>
      <w:r w:rsidR="00B001AE">
        <w:t>.</w:t>
      </w:r>
      <w:r w:rsidR="00F8313F">
        <w:t xml:space="preserve"> </w:t>
      </w:r>
      <w:r w:rsidR="005801CD">
        <w:t>T</w:t>
      </w:r>
      <w:r w:rsidR="00CA272A">
        <w:t xml:space="preserve">he total number of projects </w:t>
      </w:r>
      <w:r w:rsidR="0011220A">
        <w:t xml:space="preserve">by measure </w:t>
      </w:r>
      <w:r w:rsidR="00B001AE">
        <w:t>implemented in each</w:t>
      </w:r>
      <w:r w:rsidR="00F8313F">
        <w:t xml:space="preserve"> year of this 5-year period </w:t>
      </w:r>
      <w:r w:rsidR="00205CA4">
        <w:t>wa</w:t>
      </w:r>
      <w:r w:rsidR="00F8313F">
        <w:t>s based on the average cost assumed</w:t>
      </w:r>
      <w:r w:rsidR="00986C24">
        <w:t xml:space="preserve"> per</w:t>
      </w:r>
      <w:r w:rsidR="00473DB3">
        <w:t xml:space="preserve"> representative</w:t>
      </w:r>
      <w:r w:rsidR="00986C24">
        <w:t xml:space="preserve"> project</w:t>
      </w:r>
      <w:r w:rsidR="00F8313F">
        <w:t xml:space="preserve"> </w:t>
      </w:r>
      <w:r w:rsidR="0011220A">
        <w:t xml:space="preserve">and </w:t>
      </w:r>
      <w:r w:rsidR="00986C24">
        <w:t xml:space="preserve">up to the </w:t>
      </w:r>
      <w:r w:rsidR="00F8313F">
        <w:t>20%</w:t>
      </w:r>
      <w:r w:rsidR="004468B6">
        <w:t xml:space="preserve"> </w:t>
      </w:r>
      <w:r w:rsidR="0011220A">
        <w:t xml:space="preserve">share </w:t>
      </w:r>
      <w:r w:rsidR="004468B6">
        <w:t xml:space="preserve">of funding </w:t>
      </w:r>
      <w:r w:rsidR="00986C24">
        <w:t xml:space="preserve">assumed to be </w:t>
      </w:r>
      <w:r w:rsidR="004468B6">
        <w:t xml:space="preserve">spent in that year. </w:t>
      </w:r>
    </w:p>
    <w:p w14:paraId="62D7107C" w14:textId="037D86C8" w:rsidR="006B79DA" w:rsidRDefault="006B79DA" w:rsidP="00913F64">
      <w:pPr>
        <w:pStyle w:val="BodyText"/>
      </w:pPr>
      <w:r>
        <w:t xml:space="preserve">All projects </w:t>
      </w:r>
      <w:r w:rsidR="00B660BA">
        <w:t>were</w:t>
      </w:r>
      <w:r>
        <w:t xml:space="preserve"> assumed to have at least a 25-year lifespan, thus projects implemented in 2025 </w:t>
      </w:r>
      <w:r w:rsidR="00B660BA">
        <w:t>were</w:t>
      </w:r>
      <w:r>
        <w:t xml:space="preserve"> assumed</w:t>
      </w:r>
      <w:r w:rsidR="001F420C">
        <w:t xml:space="preserve"> to maintain GHG emissions reductions compared to baseline throughout the time horizon of the analysis. </w:t>
      </w:r>
      <w:proofErr w:type="gramStart"/>
      <w:r w:rsidR="001F420C">
        <w:t>In reality, the</w:t>
      </w:r>
      <w:proofErr w:type="gramEnd"/>
      <w:r w:rsidR="001F420C">
        <w:t xml:space="preserve"> lifespan of a measure is uncertain and </w:t>
      </w:r>
      <w:r w:rsidR="007731BA">
        <w:t>could</w:t>
      </w:r>
      <w:r w:rsidR="001F420C">
        <w:t xml:space="preserve"> vary by location, use, technology, and other factors.</w:t>
      </w:r>
    </w:p>
    <w:p w14:paraId="45A56EDF" w14:textId="2B53E279" w:rsidR="00B93425" w:rsidRDefault="00172F62" w:rsidP="00913F64">
      <w:pPr>
        <w:pStyle w:val="BodyText"/>
      </w:pPr>
      <w:r>
        <w:t>G</w:t>
      </w:r>
      <w:r w:rsidR="00B93425" w:rsidRPr="00B93425">
        <w:t xml:space="preserve">HG emissions reductions </w:t>
      </w:r>
      <w:r>
        <w:t xml:space="preserve">estimated </w:t>
      </w:r>
      <w:r w:rsidR="00B93425" w:rsidRPr="00B93425">
        <w:t>from avoided fuel use</w:t>
      </w:r>
      <w:r>
        <w:t xml:space="preserve"> only account for</w:t>
      </w:r>
      <w:r w:rsidR="00F41DD7">
        <w:rPr>
          <w:rFonts w:ascii="Verdana" w:hAnsi="Verdana" w:cs="Segoe UI"/>
          <w:szCs w:val="20"/>
        </w:rPr>
        <w:t xml:space="preserve"> emissions from avoided fuel combustion. There would </w:t>
      </w:r>
      <w:r w:rsidR="00552EF2">
        <w:rPr>
          <w:rFonts w:ascii="Verdana" w:hAnsi="Verdana" w:cs="Segoe UI"/>
          <w:szCs w:val="20"/>
        </w:rPr>
        <w:t xml:space="preserve">also </w:t>
      </w:r>
      <w:r w:rsidR="00F41DD7">
        <w:rPr>
          <w:rFonts w:ascii="Verdana" w:hAnsi="Verdana" w:cs="Segoe UI"/>
          <w:szCs w:val="20"/>
        </w:rPr>
        <w:t>be additional avoided emissions upstream of this fuel use d</w:t>
      </w:r>
      <w:r w:rsidR="009D1D19">
        <w:rPr>
          <w:rFonts w:ascii="Verdana" w:hAnsi="Verdana" w:cs="Segoe UI"/>
          <w:szCs w:val="20"/>
        </w:rPr>
        <w:t>ue to</w:t>
      </w:r>
      <w:r w:rsidR="00F41DD7">
        <w:rPr>
          <w:rFonts w:ascii="Verdana" w:hAnsi="Verdana" w:cs="Segoe UI"/>
          <w:szCs w:val="20"/>
        </w:rPr>
        <w:t xml:space="preserve"> avoided well to pump activities</w:t>
      </w:r>
      <w:r w:rsidR="00552EF2">
        <w:rPr>
          <w:rFonts w:ascii="Verdana" w:hAnsi="Verdana" w:cs="Segoe UI"/>
          <w:szCs w:val="20"/>
        </w:rPr>
        <w:t>,</w:t>
      </w:r>
      <w:r w:rsidR="00F41DD7">
        <w:rPr>
          <w:rFonts w:ascii="Verdana" w:hAnsi="Verdana" w:cs="Segoe UI"/>
          <w:szCs w:val="20"/>
        </w:rPr>
        <w:t xml:space="preserve"> such as production and transport of the fuel. These are </w:t>
      </w:r>
      <w:r w:rsidR="00F41DD7">
        <w:rPr>
          <w:rFonts w:ascii="Verdana" w:hAnsi="Verdana" w:cs="Segoe UI"/>
          <w:szCs w:val="20"/>
        </w:rPr>
        <w:lastRenderedPageBreak/>
        <w:t xml:space="preserve">assumed to be insignificant emissions and de minimis to this analysis as combustion accounts for </w:t>
      </w:r>
      <w:proofErr w:type="gramStart"/>
      <w:r w:rsidR="00F41DD7">
        <w:rPr>
          <w:rFonts w:ascii="Verdana" w:hAnsi="Verdana" w:cs="Segoe UI"/>
          <w:szCs w:val="20"/>
        </w:rPr>
        <w:t>the vast majority of</w:t>
      </w:r>
      <w:proofErr w:type="gramEnd"/>
      <w:r w:rsidR="00F41DD7">
        <w:rPr>
          <w:rFonts w:ascii="Verdana" w:hAnsi="Verdana" w:cs="Segoe UI"/>
          <w:szCs w:val="20"/>
        </w:rPr>
        <w:t xml:space="preserve"> emissions from fuel.</w:t>
      </w:r>
      <w:r w:rsidR="00F41DD7">
        <w:rPr>
          <w:rStyle w:val="FootnoteReference"/>
          <w:rFonts w:ascii="Verdana" w:hAnsi="Verdana" w:cs="Segoe UI"/>
          <w:szCs w:val="20"/>
        </w:rPr>
        <w:footnoteReference w:id="4"/>
      </w:r>
    </w:p>
    <w:p w14:paraId="1A68B99B" w14:textId="4C240D7B" w:rsidR="00634D8F" w:rsidRDefault="00634D8F" w:rsidP="00913F64">
      <w:pPr>
        <w:pStyle w:val="BodyText"/>
      </w:pPr>
      <w:r>
        <w:t xml:space="preserve">The following </w:t>
      </w:r>
      <w:r w:rsidR="007731BA">
        <w:t>sub</w:t>
      </w:r>
      <w:r>
        <w:t xml:space="preserve">sections describe how GHG emissions reductions were </w:t>
      </w:r>
      <w:r w:rsidR="004F5522">
        <w:t>estimated</w:t>
      </w:r>
      <w:r>
        <w:t xml:space="preserve"> for each energy efficiency measure</w:t>
      </w:r>
      <w:r w:rsidR="00844E2D">
        <w:t xml:space="preserve"> to estimate GHG emission reductions for the program expansion.</w:t>
      </w:r>
    </w:p>
    <w:p w14:paraId="541BB5B2" w14:textId="1E1EBA2C" w:rsidR="00F231F6" w:rsidRDefault="00716C66" w:rsidP="00A03D36">
      <w:pPr>
        <w:pStyle w:val="Heading2"/>
        <w:numPr>
          <w:ilvl w:val="0"/>
          <w:numId w:val="0"/>
        </w:numPr>
        <w:ind w:left="794" w:hanging="794"/>
      </w:pPr>
      <w:r>
        <w:t xml:space="preserve">Measure 1: </w:t>
      </w:r>
      <w:r w:rsidR="00A03D36">
        <w:t>HVAC Upgrade</w:t>
      </w:r>
      <w:r w:rsidR="00E12770">
        <w:t>s</w:t>
      </w:r>
    </w:p>
    <w:p w14:paraId="02AFBBD3" w14:textId="2E51CC4A" w:rsidR="00B4532B" w:rsidRDefault="00814D0C" w:rsidP="00CC2A59">
      <w:pPr>
        <w:pStyle w:val="BodyText"/>
      </w:pPr>
      <w:r>
        <w:t xml:space="preserve">Upgrades and replacements of HVAC systems </w:t>
      </w:r>
      <w:r w:rsidR="00716C66">
        <w:t xml:space="preserve">to newer models </w:t>
      </w:r>
      <w:r>
        <w:t>can improve efficiency</w:t>
      </w:r>
      <w:r w:rsidR="007D3002">
        <w:t xml:space="preserve">, </w:t>
      </w:r>
      <w:r w:rsidR="00716C66">
        <w:t>reduce</w:t>
      </w:r>
      <w:r w:rsidR="007D3002">
        <w:t xml:space="preserve"> fuel usage, </w:t>
      </w:r>
      <w:r w:rsidR="00716C66">
        <w:t xml:space="preserve">and result in </w:t>
      </w:r>
      <w:r w:rsidR="007D3002">
        <w:t xml:space="preserve">lower </w:t>
      </w:r>
      <w:r w:rsidR="00716C66">
        <w:t>operational</w:t>
      </w:r>
      <w:r w:rsidR="007D3002">
        <w:t xml:space="preserve"> costs </w:t>
      </w:r>
      <w:r w:rsidR="00716C66">
        <w:t>as well as reduced</w:t>
      </w:r>
      <w:r w:rsidR="007D3002">
        <w:t xml:space="preserve"> GHG emissions. </w:t>
      </w:r>
      <w:r w:rsidR="006144A1">
        <w:t xml:space="preserve">For the HVAC upgrades, </w:t>
      </w:r>
      <w:r w:rsidR="00B76461">
        <w:t xml:space="preserve">representative project </w:t>
      </w:r>
      <w:r w:rsidR="006B5604">
        <w:t xml:space="preserve">data was </w:t>
      </w:r>
      <w:r w:rsidR="00B76461">
        <w:t>used for</w:t>
      </w:r>
      <w:r w:rsidR="006B5604">
        <w:t xml:space="preserve"> a</w:t>
      </w:r>
      <w:r w:rsidR="00D747DB">
        <w:t xml:space="preserve"> natural gas</w:t>
      </w:r>
      <w:r w:rsidR="006B5604">
        <w:t xml:space="preserve"> HVAC replacement </w:t>
      </w:r>
      <w:r w:rsidR="000C4C63">
        <w:t>based on the past</w:t>
      </w:r>
      <w:r w:rsidR="000A0132">
        <w:t xml:space="preserve"> Cooperstown </w:t>
      </w:r>
      <w:r w:rsidR="000A462E">
        <w:t>C</w:t>
      </w:r>
      <w:r w:rsidR="000A0132">
        <w:t xml:space="preserve">ity </w:t>
      </w:r>
      <w:r w:rsidR="000A462E">
        <w:t>H</w:t>
      </w:r>
      <w:r w:rsidR="000A0132">
        <w:t xml:space="preserve">all </w:t>
      </w:r>
      <w:r w:rsidR="000A462E">
        <w:t>F</w:t>
      </w:r>
      <w:r w:rsidR="000A0132">
        <w:t xml:space="preserve">ire and </w:t>
      </w:r>
      <w:r w:rsidR="000A462E">
        <w:t>A</w:t>
      </w:r>
      <w:r w:rsidR="000A0132">
        <w:t xml:space="preserve">mbulance </w:t>
      </w:r>
      <w:r w:rsidR="000A462E">
        <w:t>D</w:t>
      </w:r>
      <w:r w:rsidR="000A0132">
        <w:t>epartments</w:t>
      </w:r>
      <w:r w:rsidR="00D747DB">
        <w:t xml:space="preserve"> </w:t>
      </w:r>
      <w:r w:rsidR="000C4C63">
        <w:t xml:space="preserve">project implemented </w:t>
      </w:r>
      <w:r w:rsidR="002F386C">
        <w:t xml:space="preserve">using the Energy Conservation Grant program funds </w:t>
      </w:r>
      <w:r w:rsidR="00D747DB">
        <w:t>in 202</w:t>
      </w:r>
      <w:r w:rsidR="007956CE">
        <w:t>0</w:t>
      </w:r>
      <w:r w:rsidR="000A0132">
        <w:t>.</w:t>
      </w:r>
      <w:r w:rsidR="006002AA">
        <w:t xml:space="preserve"> </w:t>
      </w:r>
      <w:r w:rsidR="00CC2A59">
        <w:t>Annual fuel savings for the upgrade w</w:t>
      </w:r>
      <w:r w:rsidR="00092354">
        <w:t>as</w:t>
      </w:r>
      <w:r w:rsidR="00CC2A59">
        <w:t xml:space="preserve"> calculated based on comparing the </w:t>
      </w:r>
      <w:r w:rsidR="007B19EE">
        <w:t>old</w:t>
      </w:r>
      <w:r w:rsidR="00CC2A59">
        <w:t xml:space="preserve"> </w:t>
      </w:r>
      <w:r w:rsidR="00092354">
        <w:t xml:space="preserve">system’s </w:t>
      </w:r>
      <w:r w:rsidR="00CC2A59">
        <w:t xml:space="preserve">fuel usage to the </w:t>
      </w:r>
      <w:r w:rsidR="007B19EE">
        <w:t xml:space="preserve">improved </w:t>
      </w:r>
      <w:r w:rsidR="00CC2A59">
        <w:t>projected fuel usage after the project was completed. T</w:t>
      </w:r>
      <w:r w:rsidR="002F386C">
        <w:t>hese</w:t>
      </w:r>
      <w:r w:rsidR="00420071">
        <w:t xml:space="preserve"> data and</w:t>
      </w:r>
      <w:r w:rsidR="00611252">
        <w:t xml:space="preserve"> project cost </w:t>
      </w:r>
      <w:r w:rsidR="00CC2A59">
        <w:t>w</w:t>
      </w:r>
      <w:r w:rsidR="00611252">
        <w:t xml:space="preserve">ere </w:t>
      </w:r>
      <w:r w:rsidR="00CC2A59">
        <w:t xml:space="preserve">provided by the grant recipient based on engineering estimates for the upgraded </w:t>
      </w:r>
      <w:r w:rsidR="00A3396A">
        <w:t>HVAC unit</w:t>
      </w:r>
      <w:r w:rsidR="0092623C">
        <w:t xml:space="preserve"> and are included in Table </w:t>
      </w:r>
      <w:r w:rsidR="000E37D6">
        <w:t>4</w:t>
      </w:r>
      <w:r w:rsidR="00CC2A59">
        <w:t>.</w:t>
      </w:r>
      <w:r w:rsidR="001A5718">
        <w:t xml:space="preserve"> </w:t>
      </w:r>
      <w:proofErr w:type="gramStart"/>
      <w:r w:rsidR="001A5718">
        <w:t>In reality, HVAC</w:t>
      </w:r>
      <w:proofErr w:type="gramEnd"/>
      <w:r w:rsidR="001A5718">
        <w:t xml:space="preserve"> system </w:t>
      </w:r>
      <w:r w:rsidR="00AC6FD5">
        <w:t xml:space="preserve">cost, </w:t>
      </w:r>
      <w:r w:rsidR="001A5718">
        <w:t>size, efficiency, and fuel savings compared to old</w:t>
      </w:r>
      <w:r w:rsidR="00783F9C">
        <w:t>er models will all vary by project</w:t>
      </w:r>
      <w:r w:rsidR="00AC6FD5">
        <w:t xml:space="preserve">, though </w:t>
      </w:r>
      <w:r w:rsidR="00783F9C">
        <w:t>this example was used as a representative average for the analysis.</w:t>
      </w:r>
      <w:r w:rsidR="00EE0463">
        <w:t xml:space="preserve"> </w:t>
      </w:r>
    </w:p>
    <w:p w14:paraId="423E1656" w14:textId="1316F041" w:rsidR="009C032E" w:rsidRDefault="00875498" w:rsidP="009C032E">
      <w:pPr>
        <w:pStyle w:val="BodyText"/>
      </w:pPr>
      <w:r>
        <w:t>To estimate</w:t>
      </w:r>
      <w:r w:rsidR="009C032E">
        <w:t xml:space="preserve"> annual </w:t>
      </w:r>
      <w:r>
        <w:t>GHG emissions reductions, t</w:t>
      </w:r>
      <w:r w:rsidR="0050359F">
        <w:t>h</w:t>
      </w:r>
      <w:r w:rsidR="00FA0A06">
        <w:t>is</w:t>
      </w:r>
      <w:r w:rsidR="0050359F">
        <w:t xml:space="preserve"> representative project’s estimated</w:t>
      </w:r>
      <w:r w:rsidR="00C25FC4">
        <w:t xml:space="preserve"> </w:t>
      </w:r>
      <w:r w:rsidR="009C032E">
        <w:t xml:space="preserve">fuel savings was multiplied by </w:t>
      </w:r>
      <w:r w:rsidR="003A3FFA">
        <w:t>the</w:t>
      </w:r>
      <w:r w:rsidR="009C032E">
        <w:t xml:space="preserve"> emission factor of CO</w:t>
      </w:r>
      <w:r w:rsidR="009C032E" w:rsidRPr="000013A1">
        <w:rPr>
          <w:vertAlign w:val="subscript"/>
        </w:rPr>
        <w:t>2</w:t>
      </w:r>
      <w:r w:rsidR="009C032E">
        <w:t xml:space="preserve">e per MMBtu </w:t>
      </w:r>
      <w:r w:rsidR="00CB0674">
        <w:t>for natural gas</w:t>
      </w:r>
      <w:r w:rsidR="009C032E">
        <w:t xml:space="preserve"> from the EPA’s Center for Corporate Climate Leadership</w:t>
      </w:r>
      <w:r w:rsidR="00475366">
        <w:t>, also shown in</w:t>
      </w:r>
      <w:r w:rsidR="009C032E">
        <w:t xml:space="preserve"> Table </w:t>
      </w:r>
      <w:r w:rsidR="000E37D6">
        <w:t>4</w:t>
      </w:r>
      <w:r w:rsidR="009C032E">
        <w:t>.</w:t>
      </w:r>
      <w:r w:rsidR="009C032E">
        <w:rPr>
          <w:rStyle w:val="FootnoteReference"/>
        </w:rPr>
        <w:footnoteReference w:id="5"/>
      </w:r>
    </w:p>
    <w:p w14:paraId="6EF582EA" w14:textId="720B9805" w:rsidR="00B4532B" w:rsidRPr="009F4524" w:rsidRDefault="008B0355" w:rsidP="009F4524">
      <w:pPr>
        <w:pStyle w:val="BodyText"/>
        <w:spacing w:before="80" w:after="40" w:line="240" w:lineRule="auto"/>
        <w:rPr>
          <w:b/>
        </w:rPr>
      </w:pPr>
      <w:r w:rsidRPr="009F4524">
        <w:rPr>
          <w:b/>
        </w:rPr>
        <w:t xml:space="preserve">Table </w:t>
      </w:r>
      <w:r w:rsidR="000E37D6">
        <w:rPr>
          <w:b/>
        </w:rPr>
        <w:t>4</w:t>
      </w:r>
      <w:r w:rsidRPr="009F4524">
        <w:rPr>
          <w:b/>
        </w:rPr>
        <w:t>. HVAC Upgrade</w:t>
      </w:r>
      <w:r w:rsidR="00E0755F" w:rsidRPr="009F4524">
        <w:rPr>
          <w:b/>
        </w:rPr>
        <w:t>s</w:t>
      </w:r>
      <w:r w:rsidRPr="009F4524">
        <w:rPr>
          <w:b/>
        </w:rPr>
        <w:t xml:space="preserve"> – </w:t>
      </w:r>
      <w:r w:rsidR="00E0755F" w:rsidRPr="009F4524">
        <w:rPr>
          <w:b/>
        </w:rPr>
        <w:t>Representative</w:t>
      </w:r>
      <w:r w:rsidR="00F90770" w:rsidRPr="009F4524">
        <w:rPr>
          <w:b/>
        </w:rPr>
        <w:t xml:space="preserve"> Project Information </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1728"/>
        <w:gridCol w:w="1872"/>
        <w:gridCol w:w="1584"/>
        <w:gridCol w:w="2016"/>
        <w:gridCol w:w="1728"/>
      </w:tblGrid>
      <w:tr w:rsidR="00A45044" w14:paraId="30C36B73" w14:textId="28ED887A" w:rsidTr="00DD3A8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tcPr>
          <w:p w14:paraId="24CAC68E" w14:textId="77777777" w:rsidR="00A45044" w:rsidRDefault="00A45044" w:rsidP="004901EA">
            <w:pPr>
              <w:pStyle w:val="BodyText"/>
              <w:spacing w:after="0" w:line="240" w:lineRule="auto"/>
              <w:jc w:val="center"/>
            </w:pPr>
          </w:p>
        </w:tc>
        <w:tc>
          <w:tcPr>
            <w:tcW w:w="1872" w:type="dxa"/>
          </w:tcPr>
          <w:p w14:paraId="0749C2A5" w14:textId="6CF5D507" w:rsidR="00A45044" w:rsidRDefault="0091373A"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Grant Funding</w:t>
            </w:r>
            <w:r w:rsidR="0012469F">
              <w:rPr>
                <w:bCs/>
              </w:rPr>
              <w:t xml:space="preserve"> Received</w:t>
            </w:r>
          </w:p>
          <w:p w14:paraId="14444755" w14:textId="02DC1224" w:rsidR="00A45044" w:rsidRPr="00A45044" w:rsidRDefault="00A45044"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A45044">
              <w:rPr>
                <w:b w:val="0"/>
              </w:rPr>
              <w:t>($)</w:t>
            </w:r>
          </w:p>
        </w:tc>
        <w:tc>
          <w:tcPr>
            <w:tcW w:w="1584" w:type="dxa"/>
          </w:tcPr>
          <w:p w14:paraId="75739368" w14:textId="63D8F303" w:rsidR="00A45044" w:rsidRDefault="0012469F"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Annual </w:t>
            </w:r>
            <w:r w:rsidR="00A45044">
              <w:rPr>
                <w:bCs/>
              </w:rPr>
              <w:t>Fuel Savings</w:t>
            </w:r>
          </w:p>
          <w:p w14:paraId="56349825" w14:textId="4F7573DB" w:rsidR="00A45044" w:rsidRPr="00C24104" w:rsidRDefault="00A45044"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C24104">
              <w:rPr>
                <w:b w:val="0"/>
              </w:rPr>
              <w:t>(MMBtu)</w:t>
            </w:r>
          </w:p>
        </w:tc>
        <w:tc>
          <w:tcPr>
            <w:tcW w:w="2016" w:type="dxa"/>
          </w:tcPr>
          <w:p w14:paraId="162FF92D" w14:textId="77777777" w:rsidR="00E0755F" w:rsidRDefault="00A45044" w:rsidP="00E0755F">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Emission </w:t>
            </w:r>
          </w:p>
          <w:p w14:paraId="522B88FB" w14:textId="13A403BC" w:rsidR="00A45044" w:rsidRDefault="00A45044"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Factor</w:t>
            </w:r>
          </w:p>
          <w:p w14:paraId="162551E5" w14:textId="1E11BF15" w:rsidR="00A45044" w:rsidRPr="001B386C" w:rsidRDefault="00A45044"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r>
              <w:rPr>
                <w:b w:val="0"/>
                <w:bCs/>
              </w:rPr>
              <w:t>MT CO</w:t>
            </w:r>
            <w:r w:rsidRPr="00D36BD0">
              <w:rPr>
                <w:b w:val="0"/>
                <w:bCs/>
                <w:vertAlign w:val="subscript"/>
              </w:rPr>
              <w:t>2</w:t>
            </w:r>
            <w:r w:rsidRPr="00D36BD0">
              <w:rPr>
                <w:b w:val="0"/>
                <w:bCs/>
              </w:rPr>
              <w:t>e</w:t>
            </w:r>
            <w:r>
              <w:rPr>
                <w:b w:val="0"/>
                <w:bCs/>
              </w:rPr>
              <w:t>/MMBtu</w:t>
            </w:r>
            <w:r w:rsidRPr="001B386C">
              <w:rPr>
                <w:b w:val="0"/>
                <w:bCs/>
              </w:rPr>
              <w:t>)</w:t>
            </w:r>
          </w:p>
        </w:tc>
        <w:tc>
          <w:tcPr>
            <w:tcW w:w="1728" w:type="dxa"/>
          </w:tcPr>
          <w:p w14:paraId="5841BF90" w14:textId="14EFAD42" w:rsidR="00A45044" w:rsidRDefault="00081468"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w:t>
            </w:r>
            <w:r w:rsidR="009C06D0">
              <w:rPr>
                <w:bCs/>
              </w:rPr>
              <w:t xml:space="preserve"> </w:t>
            </w:r>
            <w:r w:rsidR="00A45044">
              <w:rPr>
                <w:bCs/>
              </w:rPr>
              <w:t>GHG Savings</w:t>
            </w:r>
          </w:p>
          <w:p w14:paraId="3B99715C" w14:textId="75BA1489" w:rsidR="00A45044" w:rsidRPr="00D44221" w:rsidRDefault="00A45044"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D44221">
              <w:rPr>
                <w:b w:val="0"/>
              </w:rPr>
              <w:t>(MT CO</w:t>
            </w:r>
            <w:r w:rsidRPr="00D44221">
              <w:rPr>
                <w:b w:val="0"/>
                <w:vertAlign w:val="subscript"/>
              </w:rPr>
              <w:t>2</w:t>
            </w:r>
            <w:r w:rsidRPr="00D44221">
              <w:rPr>
                <w:b w:val="0"/>
              </w:rPr>
              <w:t>e)</w:t>
            </w:r>
          </w:p>
        </w:tc>
      </w:tr>
      <w:tr w:rsidR="00A45044" w14:paraId="7F5A14AC" w14:textId="7C3C4348" w:rsidTr="00DD3A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53FDE987" w14:textId="55CF5DE9" w:rsidR="00A45044" w:rsidRDefault="001436B8" w:rsidP="004901EA">
            <w:pPr>
              <w:pStyle w:val="BodyText"/>
              <w:spacing w:after="0" w:line="240" w:lineRule="auto"/>
            </w:pPr>
            <w:r>
              <w:t>Project</w:t>
            </w:r>
          </w:p>
        </w:tc>
        <w:tc>
          <w:tcPr>
            <w:tcW w:w="1872" w:type="dxa"/>
          </w:tcPr>
          <w:p w14:paraId="6CF99B29" w14:textId="186D46CC" w:rsidR="00A45044" w:rsidRDefault="00DF0D99"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$34,194</w:t>
            </w:r>
          </w:p>
        </w:tc>
        <w:tc>
          <w:tcPr>
            <w:tcW w:w="1584" w:type="dxa"/>
            <w:vAlign w:val="center"/>
          </w:tcPr>
          <w:p w14:paraId="4EF4B636" w14:textId="2BCCDAFB" w:rsidR="00A45044" w:rsidRDefault="00A45044"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3,896</w:t>
            </w:r>
          </w:p>
        </w:tc>
        <w:tc>
          <w:tcPr>
            <w:tcW w:w="2016" w:type="dxa"/>
            <w:vAlign w:val="center"/>
          </w:tcPr>
          <w:p w14:paraId="1CFF0B1D" w14:textId="6B8C02EE" w:rsidR="00A45044" w:rsidRDefault="00A45044"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0.05311</w:t>
            </w:r>
          </w:p>
        </w:tc>
        <w:tc>
          <w:tcPr>
            <w:tcW w:w="1728" w:type="dxa"/>
          </w:tcPr>
          <w:p w14:paraId="2EEE2209" w14:textId="5EE5960B" w:rsidR="00A45044" w:rsidRDefault="00081468"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206.9</w:t>
            </w:r>
          </w:p>
        </w:tc>
      </w:tr>
    </w:tbl>
    <w:p w14:paraId="1CE82172" w14:textId="77777777" w:rsidR="00F90770" w:rsidRDefault="00F90770" w:rsidP="00CC2A59">
      <w:pPr>
        <w:pStyle w:val="BodyText"/>
      </w:pPr>
    </w:p>
    <w:p w14:paraId="174D61D2" w14:textId="0C43B1B9" w:rsidR="00560E9C" w:rsidRDefault="007E6CD8" w:rsidP="00CC2A59">
      <w:pPr>
        <w:pStyle w:val="BodyText"/>
      </w:pPr>
      <w:r>
        <w:t>Based on</w:t>
      </w:r>
      <w:r w:rsidR="00167C6A">
        <w:t xml:space="preserve"> the</w:t>
      </w:r>
      <w:r w:rsidR="00BB584E">
        <w:t xml:space="preserve"> </w:t>
      </w:r>
      <w:r w:rsidR="00554CBB">
        <w:t xml:space="preserve">representative </w:t>
      </w:r>
      <w:r w:rsidR="00BB584E">
        <w:t>project</w:t>
      </w:r>
      <w:r w:rsidR="006E39F3">
        <w:t>’s</w:t>
      </w:r>
      <w:r w:rsidR="00BB584E">
        <w:t xml:space="preserve"> </w:t>
      </w:r>
      <w:r w:rsidR="00554CBB">
        <w:t>grant funding received</w:t>
      </w:r>
      <w:r w:rsidR="001D2A11">
        <w:t xml:space="preserve"> and </w:t>
      </w:r>
      <w:r w:rsidR="00544CD4">
        <w:t>the</w:t>
      </w:r>
      <w:r w:rsidR="002D34F9">
        <w:t xml:space="preserve"> </w:t>
      </w:r>
      <w:r w:rsidR="001D2A11">
        <w:t>$6,6</w:t>
      </w:r>
      <w:r w:rsidR="00B6711C">
        <w:t xml:space="preserve">50,000 </w:t>
      </w:r>
      <w:r w:rsidR="00544CD4">
        <w:t xml:space="preserve">share of total </w:t>
      </w:r>
      <w:r w:rsidR="00174594">
        <w:t>p</w:t>
      </w:r>
      <w:r w:rsidR="00544CD4">
        <w:t xml:space="preserve">rogram </w:t>
      </w:r>
      <w:r w:rsidR="00174594">
        <w:t>expansion</w:t>
      </w:r>
      <w:r w:rsidR="00544CD4">
        <w:t xml:space="preserve"> funds assumed to be </w:t>
      </w:r>
      <w:r w:rsidR="00B6711C">
        <w:t>allocated for</w:t>
      </w:r>
      <w:r w:rsidR="00475366">
        <w:t xml:space="preserve"> HVAC upgrades</w:t>
      </w:r>
      <w:r w:rsidR="00554CBB">
        <w:t>,</w:t>
      </w:r>
      <w:r w:rsidR="00BB584E">
        <w:t xml:space="preserve"> </w:t>
      </w:r>
      <w:r w:rsidR="00025FFB">
        <w:t>up to</w:t>
      </w:r>
      <w:r w:rsidR="006114D7">
        <w:t xml:space="preserve"> 195 similar projects </w:t>
      </w:r>
      <w:r w:rsidR="00B275EF">
        <w:t xml:space="preserve">were assumed to be implemented, with </w:t>
      </w:r>
      <w:r w:rsidR="00643463">
        <w:t xml:space="preserve">20% </w:t>
      </w:r>
      <w:r w:rsidR="00B275EF">
        <w:t xml:space="preserve">added in each year </w:t>
      </w:r>
      <w:r w:rsidR="00174594">
        <w:t>from</w:t>
      </w:r>
      <w:r w:rsidR="00B275EF">
        <w:t xml:space="preserve"> 2025</w:t>
      </w:r>
      <w:r w:rsidR="00174594">
        <w:t>-</w:t>
      </w:r>
      <w:r w:rsidR="00B275EF">
        <w:t>2029</w:t>
      </w:r>
      <w:r w:rsidR="008403E2">
        <w:t xml:space="preserve">. </w:t>
      </w:r>
      <w:r w:rsidR="00640BC7">
        <w:t>The roughly 39 projects added in</w:t>
      </w:r>
      <w:r w:rsidR="00887E25">
        <w:t xml:space="preserve"> each year save over 8,000 MT CO</w:t>
      </w:r>
      <w:r w:rsidR="00887E25" w:rsidRPr="00887E25">
        <w:rPr>
          <w:vertAlign w:val="subscript"/>
        </w:rPr>
        <w:t>2</w:t>
      </w:r>
      <w:r w:rsidR="00887E25">
        <w:t>e</w:t>
      </w:r>
      <w:r w:rsidR="00193FDA">
        <w:t xml:space="preserve"> in the year implemented and each year thereafter</w:t>
      </w:r>
      <w:r w:rsidR="00887E25">
        <w:t xml:space="preserve">. </w:t>
      </w:r>
      <w:r w:rsidR="008403E2">
        <w:t xml:space="preserve">Total </w:t>
      </w:r>
      <w:r w:rsidR="00820B46">
        <w:t xml:space="preserve">cumulative </w:t>
      </w:r>
      <w:r w:rsidR="008403E2">
        <w:t xml:space="preserve">GHG emissions reductions </w:t>
      </w:r>
      <w:r w:rsidR="00170F26">
        <w:t xml:space="preserve">for this measure contributing to the </w:t>
      </w:r>
      <w:r w:rsidR="00174594">
        <w:t>expanded p</w:t>
      </w:r>
      <w:r w:rsidR="00170F26">
        <w:t>rogram’s total impact</w:t>
      </w:r>
      <w:r w:rsidR="001871C7">
        <w:t xml:space="preserve"> </w:t>
      </w:r>
      <w:r w:rsidR="009C4F44">
        <w:t>are shown in Table 1, with annual reductions</w:t>
      </w:r>
      <w:r w:rsidR="00170F26">
        <w:t xml:space="preserve"> detailed in </w:t>
      </w:r>
      <w:r w:rsidR="000E37D6">
        <w:t>Table 2</w:t>
      </w:r>
      <w:r w:rsidR="00A713D9">
        <w:t>.</w:t>
      </w:r>
    </w:p>
    <w:p w14:paraId="7819DA6B" w14:textId="41BD7529" w:rsidR="00E12770" w:rsidRDefault="00716C66" w:rsidP="00A03D36">
      <w:pPr>
        <w:pStyle w:val="Heading2"/>
        <w:numPr>
          <w:ilvl w:val="0"/>
          <w:numId w:val="0"/>
        </w:numPr>
        <w:ind w:left="794" w:hanging="794"/>
      </w:pPr>
      <w:r>
        <w:t xml:space="preserve">Measure 2: </w:t>
      </w:r>
      <w:r w:rsidR="00F231F6">
        <w:t xml:space="preserve">Boiler </w:t>
      </w:r>
      <w:r w:rsidR="008456F7">
        <w:t>Upgrades</w:t>
      </w:r>
    </w:p>
    <w:p w14:paraId="017AF3DF" w14:textId="1C05ABE6" w:rsidR="00384524" w:rsidRDefault="00472120" w:rsidP="008048C4">
      <w:pPr>
        <w:pStyle w:val="BodyText"/>
      </w:pPr>
      <w:proofErr w:type="gramStart"/>
      <w:r>
        <w:t>Similar to</w:t>
      </w:r>
      <w:proofErr w:type="gramEnd"/>
      <w:r w:rsidR="002E7A89">
        <w:t xml:space="preserve"> HVAC upgrades,</w:t>
      </w:r>
      <w:r w:rsidR="00D91F7C">
        <w:t xml:space="preserve"> upgrades and replacements of boiler systems </w:t>
      </w:r>
      <w:r w:rsidR="00384524">
        <w:t>to newer models can improve efficiency, reduce fuel usage, and result in lower operation costs as well as reduced GHG emissions</w:t>
      </w:r>
      <w:r w:rsidR="00875A97">
        <w:t xml:space="preserve">. </w:t>
      </w:r>
      <w:r w:rsidR="00DC09C0">
        <w:t xml:space="preserve">For the boiler upgrades, representative project data was used for a </w:t>
      </w:r>
      <w:r w:rsidR="0040029E">
        <w:t>fuel oil boiler</w:t>
      </w:r>
      <w:r w:rsidR="00DC09C0">
        <w:t xml:space="preserve"> replacement based on the past </w:t>
      </w:r>
      <w:proofErr w:type="spellStart"/>
      <w:r w:rsidR="0040029E">
        <w:t>Midkota</w:t>
      </w:r>
      <w:proofErr w:type="spellEnd"/>
      <w:r w:rsidR="0040029E">
        <w:t xml:space="preserve"> School District </w:t>
      </w:r>
      <w:r w:rsidR="00DC09C0">
        <w:t xml:space="preserve">project implemented </w:t>
      </w:r>
      <w:r w:rsidR="002F55E6">
        <w:t xml:space="preserve">using program funds </w:t>
      </w:r>
      <w:r w:rsidR="00DC09C0">
        <w:t>in 202</w:t>
      </w:r>
      <w:r w:rsidR="0040029E">
        <w:t>3</w:t>
      </w:r>
      <w:r w:rsidR="00DC09C0">
        <w:t xml:space="preserve">. </w:t>
      </w:r>
      <w:r w:rsidR="00BA35CF">
        <w:t xml:space="preserve">Based on information provided by this grant recipient, the new boiler would be 33% more </w:t>
      </w:r>
      <w:r w:rsidR="00BA35CF">
        <w:lastRenderedPageBreak/>
        <w:t>fuel efficient than the existing 62-year-old boiler. Fuel consumption for the existing boiler was estimated by the school district at 1,000 MMBtu/</w:t>
      </w:r>
      <w:proofErr w:type="spellStart"/>
      <w:r w:rsidR="00BA35CF">
        <w:t>yr</w:t>
      </w:r>
      <w:proofErr w:type="spellEnd"/>
      <w:r w:rsidR="00BA35CF">
        <w:t xml:space="preserve">, while the new boiler </w:t>
      </w:r>
      <w:r w:rsidR="00FF70BA">
        <w:t>would</w:t>
      </w:r>
      <w:r w:rsidR="00BA35CF">
        <w:t xml:space="preserve"> use 611 MMBtu/</w:t>
      </w:r>
      <w:proofErr w:type="spellStart"/>
      <w:r w:rsidR="00BA35CF">
        <w:t>yr</w:t>
      </w:r>
      <w:proofErr w:type="spellEnd"/>
      <w:r w:rsidR="00BA35CF">
        <w:t>, resulting in a reduction of 389 MMBtu/</w:t>
      </w:r>
      <w:proofErr w:type="spellStart"/>
      <w:r w:rsidR="00BA35CF">
        <w:t>yr</w:t>
      </w:r>
      <w:proofErr w:type="spellEnd"/>
      <w:r w:rsidR="00BA35CF">
        <w:t xml:space="preserve"> of fuel oil combustion</w:t>
      </w:r>
      <w:r w:rsidR="0070311E">
        <w:t xml:space="preserve">, shown in Table </w:t>
      </w:r>
      <w:r w:rsidR="000E37D6">
        <w:t>5</w:t>
      </w:r>
      <w:r w:rsidR="0070311E">
        <w:t>, along with the funding received by this representative project</w:t>
      </w:r>
      <w:r w:rsidR="008048C4">
        <w:t>.</w:t>
      </w:r>
      <w:r w:rsidR="00DC09C0">
        <w:t xml:space="preserve"> </w:t>
      </w:r>
      <w:proofErr w:type="gramStart"/>
      <w:r w:rsidR="00DC09C0">
        <w:t xml:space="preserve">In reality, </w:t>
      </w:r>
      <w:r w:rsidR="008048C4">
        <w:t>boiler</w:t>
      </w:r>
      <w:proofErr w:type="gramEnd"/>
      <w:r w:rsidR="00DC09C0">
        <w:t xml:space="preserve"> cost</w:t>
      </w:r>
      <w:r w:rsidR="008048C4">
        <w:t>s</w:t>
      </w:r>
      <w:r w:rsidR="00DC09C0">
        <w:t>, size, efficiency, and fuel savings compared to older models will all vary by project, though this example was used as a representative average for the analysis.</w:t>
      </w:r>
    </w:p>
    <w:p w14:paraId="1C6702E6" w14:textId="20A0580B" w:rsidR="00DF2B1D" w:rsidRDefault="00736638" w:rsidP="0073214C">
      <w:pPr>
        <w:pStyle w:val="BodyText"/>
      </w:pPr>
      <w:r>
        <w:t>To estimate annual GHG emissions reductions, this representative project’s estimated</w:t>
      </w:r>
      <w:r w:rsidR="002D7954">
        <w:t xml:space="preserve"> fuel savings was multiplied by the emission factor </w:t>
      </w:r>
      <w:r w:rsidR="00FD6A5A">
        <w:t>of CO</w:t>
      </w:r>
      <w:r w:rsidR="00FD6A5A" w:rsidRPr="000013A1">
        <w:rPr>
          <w:vertAlign w:val="subscript"/>
        </w:rPr>
        <w:t>2</w:t>
      </w:r>
      <w:r w:rsidR="00FD6A5A">
        <w:t>e per MMBtu for</w:t>
      </w:r>
      <w:r w:rsidR="002D7954">
        <w:t xml:space="preserve"> fuel oil </w:t>
      </w:r>
      <w:r w:rsidR="00FD6A5A">
        <w:t>from the EPA’s Center for Corporate Climate Leadership</w:t>
      </w:r>
      <w:r w:rsidR="003413D3">
        <w:t>, also show</w:t>
      </w:r>
      <w:r w:rsidR="007630E0">
        <w:t>n</w:t>
      </w:r>
      <w:r w:rsidR="003413D3">
        <w:t xml:space="preserve"> in Table </w:t>
      </w:r>
      <w:r w:rsidR="000E37D6">
        <w:t>5</w:t>
      </w:r>
      <w:r w:rsidR="00FD6A5A">
        <w:t>.</w:t>
      </w:r>
      <w:r w:rsidR="00FD6A5A">
        <w:rPr>
          <w:rStyle w:val="FootnoteReference"/>
        </w:rPr>
        <w:footnoteReference w:id="6"/>
      </w:r>
    </w:p>
    <w:p w14:paraId="1E59AA29" w14:textId="425E6E65" w:rsidR="00D66CA8" w:rsidRPr="009F4524" w:rsidRDefault="00F65E54" w:rsidP="009F4524">
      <w:pPr>
        <w:pStyle w:val="BodyText"/>
        <w:spacing w:before="80" w:after="40" w:line="240" w:lineRule="auto"/>
        <w:rPr>
          <w:b/>
        </w:rPr>
      </w:pPr>
      <w:r w:rsidRPr="009F4524">
        <w:rPr>
          <w:b/>
        </w:rPr>
        <w:t xml:space="preserve">Table </w:t>
      </w:r>
      <w:r w:rsidR="000E37D6">
        <w:rPr>
          <w:b/>
        </w:rPr>
        <w:t>5</w:t>
      </w:r>
      <w:r w:rsidRPr="009F4524">
        <w:rPr>
          <w:b/>
        </w:rPr>
        <w:t xml:space="preserve">. Boiler Replacement – </w:t>
      </w:r>
      <w:r w:rsidR="00F10CD0" w:rsidRPr="009F4524">
        <w:rPr>
          <w:b/>
        </w:rPr>
        <w:t>Representative Project Information</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1728"/>
        <w:gridCol w:w="1872"/>
        <w:gridCol w:w="1584"/>
        <w:gridCol w:w="2016"/>
        <w:gridCol w:w="1728"/>
      </w:tblGrid>
      <w:tr w:rsidR="00D66CA8" w14:paraId="769ED0E1" w14:textId="77777777" w:rsidTr="00EF066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tcPr>
          <w:p w14:paraId="3B3E8255" w14:textId="77777777" w:rsidR="00D66CA8" w:rsidRDefault="00D66CA8" w:rsidP="00EF0663">
            <w:pPr>
              <w:pStyle w:val="BodyText"/>
              <w:spacing w:after="0" w:line="240" w:lineRule="auto"/>
              <w:jc w:val="center"/>
            </w:pPr>
          </w:p>
        </w:tc>
        <w:tc>
          <w:tcPr>
            <w:tcW w:w="1872" w:type="dxa"/>
          </w:tcPr>
          <w:p w14:paraId="681AC986" w14:textId="77777777" w:rsidR="00D66CA8"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Grant Funding Received</w:t>
            </w:r>
          </w:p>
          <w:p w14:paraId="66B200EE" w14:textId="77777777" w:rsidR="00D66CA8" w:rsidRPr="00A45044"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A45044">
              <w:rPr>
                <w:b w:val="0"/>
              </w:rPr>
              <w:t>($)</w:t>
            </w:r>
          </w:p>
        </w:tc>
        <w:tc>
          <w:tcPr>
            <w:tcW w:w="1584" w:type="dxa"/>
          </w:tcPr>
          <w:p w14:paraId="55DA8FD7" w14:textId="77777777" w:rsidR="00D66CA8"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Fuel Savings</w:t>
            </w:r>
          </w:p>
          <w:p w14:paraId="3CCCFBBB" w14:textId="77777777" w:rsidR="00D66CA8" w:rsidRPr="00C24104"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C24104">
              <w:rPr>
                <w:b w:val="0"/>
              </w:rPr>
              <w:t>(MMBtu)</w:t>
            </w:r>
          </w:p>
        </w:tc>
        <w:tc>
          <w:tcPr>
            <w:tcW w:w="2016" w:type="dxa"/>
          </w:tcPr>
          <w:p w14:paraId="1EE1F97F" w14:textId="77777777" w:rsidR="00D66CA8"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Emission </w:t>
            </w:r>
          </w:p>
          <w:p w14:paraId="5E2D3854" w14:textId="77777777" w:rsidR="00D66CA8"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Factor</w:t>
            </w:r>
          </w:p>
          <w:p w14:paraId="07D6DB64" w14:textId="77777777" w:rsidR="00D66CA8" w:rsidRPr="001B386C"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r>
              <w:rPr>
                <w:b w:val="0"/>
                <w:bCs/>
              </w:rPr>
              <w:t>MT CO</w:t>
            </w:r>
            <w:r w:rsidRPr="00D36BD0">
              <w:rPr>
                <w:b w:val="0"/>
                <w:bCs/>
                <w:vertAlign w:val="subscript"/>
              </w:rPr>
              <w:t>2</w:t>
            </w:r>
            <w:r w:rsidRPr="00D36BD0">
              <w:rPr>
                <w:b w:val="0"/>
                <w:bCs/>
              </w:rPr>
              <w:t>e</w:t>
            </w:r>
            <w:r>
              <w:rPr>
                <w:b w:val="0"/>
                <w:bCs/>
              </w:rPr>
              <w:t>/MMBtu</w:t>
            </w:r>
            <w:r w:rsidRPr="001B386C">
              <w:rPr>
                <w:b w:val="0"/>
                <w:bCs/>
              </w:rPr>
              <w:t>)</w:t>
            </w:r>
          </w:p>
        </w:tc>
        <w:tc>
          <w:tcPr>
            <w:tcW w:w="1728" w:type="dxa"/>
          </w:tcPr>
          <w:p w14:paraId="58AB3BE1" w14:textId="77777777" w:rsidR="00D66CA8"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GHG Savings</w:t>
            </w:r>
          </w:p>
          <w:p w14:paraId="3C251B8D" w14:textId="77777777" w:rsidR="00D66CA8" w:rsidRPr="00D44221" w:rsidRDefault="00D66CA8"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D44221">
              <w:rPr>
                <w:b w:val="0"/>
              </w:rPr>
              <w:t>(MT CO</w:t>
            </w:r>
            <w:r w:rsidRPr="00D44221">
              <w:rPr>
                <w:b w:val="0"/>
                <w:vertAlign w:val="subscript"/>
              </w:rPr>
              <w:t>2</w:t>
            </w:r>
            <w:r w:rsidRPr="00D44221">
              <w:rPr>
                <w:b w:val="0"/>
              </w:rPr>
              <w:t>e)</w:t>
            </w:r>
          </w:p>
        </w:tc>
      </w:tr>
      <w:tr w:rsidR="00D66CA8" w14:paraId="46D2E962" w14:textId="77777777" w:rsidTr="00EF066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45C02DB7" w14:textId="77777777" w:rsidR="00D66CA8" w:rsidRDefault="00D66CA8" w:rsidP="00EF0663">
            <w:pPr>
              <w:pStyle w:val="BodyText"/>
              <w:spacing w:after="0" w:line="240" w:lineRule="auto"/>
            </w:pPr>
            <w:r>
              <w:t>Project</w:t>
            </w:r>
          </w:p>
        </w:tc>
        <w:tc>
          <w:tcPr>
            <w:tcW w:w="1872" w:type="dxa"/>
          </w:tcPr>
          <w:p w14:paraId="78A6A78F" w14:textId="71AC6DAC" w:rsidR="00D66CA8" w:rsidRDefault="00D66CA8"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$47,448</w:t>
            </w:r>
          </w:p>
        </w:tc>
        <w:tc>
          <w:tcPr>
            <w:tcW w:w="1584" w:type="dxa"/>
            <w:vAlign w:val="center"/>
          </w:tcPr>
          <w:p w14:paraId="2C77103D" w14:textId="0FF7F0C7" w:rsidR="00D66CA8" w:rsidRDefault="00D66CA8"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389</w:t>
            </w:r>
          </w:p>
        </w:tc>
        <w:tc>
          <w:tcPr>
            <w:tcW w:w="2016" w:type="dxa"/>
            <w:vAlign w:val="center"/>
          </w:tcPr>
          <w:p w14:paraId="6EB6AE3A" w14:textId="19501E0B" w:rsidR="00D66CA8" w:rsidRDefault="00D66CA8"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rsidRPr="00D66CA8">
              <w:t>0.07420</w:t>
            </w:r>
          </w:p>
        </w:tc>
        <w:tc>
          <w:tcPr>
            <w:tcW w:w="1728" w:type="dxa"/>
          </w:tcPr>
          <w:p w14:paraId="7146DE81" w14:textId="22288E7A" w:rsidR="00D66CA8" w:rsidRDefault="00BF3A7C"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28.8</w:t>
            </w:r>
          </w:p>
        </w:tc>
      </w:tr>
    </w:tbl>
    <w:p w14:paraId="67DA42B8" w14:textId="77777777" w:rsidR="00D66CA8" w:rsidRDefault="00D66CA8" w:rsidP="00F65E54">
      <w:pPr>
        <w:pStyle w:val="BodyText"/>
      </w:pPr>
    </w:p>
    <w:p w14:paraId="4B340267" w14:textId="201B44D5" w:rsidR="00617CBE" w:rsidRDefault="00ED1783" w:rsidP="009F4524">
      <w:pPr>
        <w:pStyle w:val="BodyText"/>
        <w:spacing w:after="0"/>
      </w:pPr>
      <w:r>
        <w:t xml:space="preserve">Based on the representative project’s grant funding received and the $380,000 share of </w:t>
      </w:r>
      <w:r w:rsidR="00EC21B2">
        <w:t>total program</w:t>
      </w:r>
      <w:r>
        <w:t xml:space="preserve"> </w:t>
      </w:r>
      <w:r w:rsidR="00EC21B2">
        <w:t>expansion</w:t>
      </w:r>
      <w:r>
        <w:t xml:space="preserve"> funds assumed to be allocated for </w:t>
      </w:r>
      <w:r w:rsidR="00C42BEA">
        <w:t>boiler</w:t>
      </w:r>
      <w:r>
        <w:t xml:space="preserve"> upgrades, up to </w:t>
      </w:r>
      <w:r w:rsidR="00C42BEA">
        <w:t>8</w:t>
      </w:r>
      <w:r>
        <w:t xml:space="preserve"> similar projects were assumed to be implemented, with 20% added in each year 2025 through 2029. The roughly </w:t>
      </w:r>
      <w:r w:rsidR="00EC21B2">
        <w:t>two</w:t>
      </w:r>
      <w:r>
        <w:t xml:space="preserve"> projects added in each year save over </w:t>
      </w:r>
      <w:r w:rsidR="009822F4">
        <w:t>46</w:t>
      </w:r>
      <w:r>
        <w:t xml:space="preserve"> MT CO</w:t>
      </w:r>
      <w:r w:rsidRPr="00887E25">
        <w:rPr>
          <w:vertAlign w:val="subscript"/>
        </w:rPr>
        <w:t>2</w:t>
      </w:r>
      <w:r>
        <w:t xml:space="preserve">e in the year implemented and each year thereafter. Total cumulative GHG emissions reductions for this measure contributing to the Program’s total impact are shown in Table 1, with annual reductions detailed in </w:t>
      </w:r>
      <w:r w:rsidR="002030E1">
        <w:t>Table</w:t>
      </w:r>
      <w:r>
        <w:t xml:space="preserve"> </w:t>
      </w:r>
      <w:r w:rsidR="002030E1">
        <w:t>2</w:t>
      </w:r>
      <w:r w:rsidR="00617CBE">
        <w:t>.</w:t>
      </w:r>
    </w:p>
    <w:p w14:paraId="62852FED" w14:textId="4145BA91" w:rsidR="00E12770" w:rsidRDefault="00716C66" w:rsidP="00A03D36">
      <w:pPr>
        <w:pStyle w:val="Heading2"/>
        <w:numPr>
          <w:ilvl w:val="0"/>
          <w:numId w:val="0"/>
        </w:numPr>
        <w:ind w:left="794" w:hanging="794"/>
      </w:pPr>
      <w:r>
        <w:t xml:space="preserve">Measure 3: </w:t>
      </w:r>
      <w:r w:rsidR="00E12770">
        <w:t>LED Lighting Installations</w:t>
      </w:r>
    </w:p>
    <w:p w14:paraId="19D3F4E9" w14:textId="512C6DE7" w:rsidR="00A970D0" w:rsidRDefault="005B563F" w:rsidP="00A970D0">
      <w:pPr>
        <w:pStyle w:val="BodyText"/>
      </w:pPr>
      <w:r>
        <w:t xml:space="preserve">LED lightbulbs use less electricity </w:t>
      </w:r>
      <w:r w:rsidR="00FD48DF">
        <w:t xml:space="preserve">and are longer lasting </w:t>
      </w:r>
      <w:r>
        <w:t xml:space="preserve">than </w:t>
      </w:r>
      <w:r w:rsidR="00C25D51">
        <w:t>incandescent or fluorescent lightbulbs</w:t>
      </w:r>
      <w:r w:rsidR="000533A1">
        <w:t>,</w:t>
      </w:r>
      <w:r w:rsidR="00C25D51">
        <w:t xml:space="preserve"> </w:t>
      </w:r>
      <w:r w:rsidR="00FD48DF">
        <w:t xml:space="preserve">while maintaining the same brightness. </w:t>
      </w:r>
      <w:r w:rsidR="00A970D0">
        <w:t xml:space="preserve">For the LED lighting upgrades, GHG emissions reductions </w:t>
      </w:r>
      <w:r w:rsidR="000533A1">
        <w:t>were estimated</w:t>
      </w:r>
      <w:r w:rsidR="00A970D0">
        <w:t xml:space="preserve"> based on the amount of electricity </w:t>
      </w:r>
      <w:r w:rsidR="000533A1">
        <w:t xml:space="preserve">consumption </w:t>
      </w:r>
      <w:r w:rsidR="00A970D0">
        <w:t xml:space="preserve">saved by </w:t>
      </w:r>
      <w:r w:rsidR="003D4AF4">
        <w:t>installing</w:t>
      </w:r>
      <w:r w:rsidR="00A970D0">
        <w:t xml:space="preserve"> </w:t>
      </w:r>
      <w:r w:rsidR="00577925">
        <w:t>more efficient</w:t>
      </w:r>
      <w:r w:rsidR="00A970D0">
        <w:t xml:space="preserve"> LED lights in place of existing </w:t>
      </w:r>
      <w:r w:rsidR="002C64CE">
        <w:t xml:space="preserve">incandescent and </w:t>
      </w:r>
      <w:r w:rsidR="00A970D0">
        <w:t>fluorescent</w:t>
      </w:r>
      <w:r w:rsidR="002C64CE">
        <w:t xml:space="preserve"> </w:t>
      </w:r>
      <w:r w:rsidR="00A970D0">
        <w:t xml:space="preserve">lights. </w:t>
      </w:r>
      <w:r w:rsidR="00EC63BC">
        <w:t xml:space="preserve">Cooperstown City Hall completed </w:t>
      </w:r>
      <w:r w:rsidR="00E275DE">
        <w:t xml:space="preserve">the replacement of </w:t>
      </w:r>
      <w:r w:rsidR="00781432">
        <w:t xml:space="preserve">81 </w:t>
      </w:r>
      <w:r w:rsidR="00E275DE">
        <w:t>existing incandescent and fluorescent</w:t>
      </w:r>
      <w:r w:rsidR="00781432">
        <w:t xml:space="preserve"> with LED lighting </w:t>
      </w:r>
      <w:r w:rsidR="002C64CE">
        <w:t xml:space="preserve">throughout the building </w:t>
      </w:r>
      <w:r w:rsidR="00781432">
        <w:t xml:space="preserve">in 2020. </w:t>
      </w:r>
      <w:r w:rsidR="00A970D0">
        <w:t xml:space="preserve">The grant recipient indicated that the </w:t>
      </w:r>
      <w:r w:rsidR="00CB1440">
        <w:t>old</w:t>
      </w:r>
      <w:r w:rsidR="00A970D0">
        <w:t xml:space="preserve"> </w:t>
      </w:r>
      <w:r w:rsidR="00D12065">
        <w:t xml:space="preserve">incandescent and </w:t>
      </w:r>
      <w:r w:rsidR="00A970D0">
        <w:t>fluorescent lights used 8,536 watts</w:t>
      </w:r>
      <w:r w:rsidR="00CB1440">
        <w:t xml:space="preserve"> while new LEDs</w:t>
      </w:r>
      <w:r w:rsidR="00A970D0">
        <w:t xml:space="preserve"> after the project</w:t>
      </w:r>
      <w:r w:rsidR="00CB1440">
        <w:t xml:space="preserve"> implementation</w:t>
      </w:r>
      <w:r w:rsidR="00A970D0">
        <w:t xml:space="preserve"> would use 3,991 watts. </w:t>
      </w:r>
      <w:r w:rsidR="00F5764E">
        <w:t>Assuming</w:t>
      </w:r>
      <w:r w:rsidR="00A970D0">
        <w:t xml:space="preserve"> 3,000 hours of </w:t>
      </w:r>
      <w:r w:rsidR="00F5764E">
        <w:t>lighting</w:t>
      </w:r>
      <w:r w:rsidR="00A970D0">
        <w:t xml:space="preserve"> operation per year,</w:t>
      </w:r>
      <w:r w:rsidR="006614F2">
        <w:t xml:space="preserve"> as estimated by the </w:t>
      </w:r>
      <w:r w:rsidR="00030CB2">
        <w:t>C</w:t>
      </w:r>
      <w:r w:rsidR="006614F2">
        <w:t>ity of Cooperstown,</w:t>
      </w:r>
      <w:r w:rsidR="00A970D0">
        <w:t xml:space="preserve"> this</w:t>
      </w:r>
      <w:r w:rsidR="006614F2">
        <w:t xml:space="preserve"> reduction in wattage</w:t>
      </w:r>
      <w:r w:rsidR="00A970D0">
        <w:t xml:space="preserve"> amounts to a savings of 13,635 kilowatt-hours (kWh) per year of electricity.</w:t>
      </w:r>
      <w:r w:rsidR="004A52B1">
        <w:t xml:space="preserve"> </w:t>
      </w:r>
      <w:proofErr w:type="gramStart"/>
      <w:r w:rsidR="004A52B1">
        <w:t>In reality, lighting</w:t>
      </w:r>
      <w:proofErr w:type="gramEnd"/>
      <w:r w:rsidR="004A52B1">
        <w:t xml:space="preserve"> changes, costs, and electricity savings will all vary by project, though this example was used as a representative average for the analysis.</w:t>
      </w:r>
    </w:p>
    <w:p w14:paraId="5E7E5F66" w14:textId="254EF94E" w:rsidR="000420F8" w:rsidRPr="000420F8" w:rsidRDefault="000420F8" w:rsidP="000420F8">
      <w:pPr>
        <w:pStyle w:val="BodyText"/>
        <w:rPr>
          <w:rStyle w:val="normaltextrun"/>
          <w:rFonts w:ascii="Verdana" w:hAnsi="Verdana"/>
          <w:color w:val="000000"/>
          <w:szCs w:val="20"/>
          <w:shd w:val="clear" w:color="auto" w:fill="FFFFFF"/>
        </w:rPr>
      </w:pPr>
      <w:r w:rsidRPr="000420F8">
        <w:rPr>
          <w:rStyle w:val="normaltextrun"/>
          <w:rFonts w:ascii="Verdana" w:hAnsi="Verdana"/>
          <w:color w:val="000000"/>
          <w:szCs w:val="20"/>
          <w:shd w:val="clear" w:color="auto" w:fill="FFFFFF"/>
        </w:rPr>
        <w:t xml:space="preserve">To determine annual GHG reductions from the annual electricity savings, first change over time of the GHG emissions rate for associated electricity generation was estimated. </w:t>
      </w:r>
      <w:r w:rsidR="008A32CA">
        <w:rPr>
          <w:rStyle w:val="normaltextrun"/>
          <w:rFonts w:ascii="Verdana" w:hAnsi="Verdana"/>
          <w:color w:val="000000"/>
          <w:szCs w:val="20"/>
          <w:shd w:val="clear" w:color="auto" w:fill="FFFFFF"/>
        </w:rPr>
        <w:t xml:space="preserve">The Energy Conservation Grant </w:t>
      </w:r>
      <w:r w:rsidR="00AC3562">
        <w:rPr>
          <w:rStyle w:val="normaltextrun"/>
          <w:rFonts w:ascii="Verdana" w:hAnsi="Verdana"/>
          <w:color w:val="000000"/>
          <w:szCs w:val="20"/>
          <w:shd w:val="clear" w:color="auto" w:fill="FFFFFF"/>
        </w:rPr>
        <w:t xml:space="preserve">program expansion </w:t>
      </w:r>
      <w:r w:rsidR="008A32CA">
        <w:rPr>
          <w:rStyle w:val="normaltextrun"/>
          <w:rFonts w:ascii="Verdana" w:hAnsi="Verdana"/>
          <w:color w:val="000000"/>
          <w:szCs w:val="20"/>
          <w:shd w:val="clear" w:color="auto" w:fill="FFFFFF"/>
        </w:rPr>
        <w:t>funding can support</w:t>
      </w:r>
      <w:r>
        <w:rPr>
          <w:rStyle w:val="normaltextrun"/>
          <w:rFonts w:ascii="Verdana" w:hAnsi="Verdana"/>
          <w:color w:val="000000"/>
          <w:szCs w:val="20"/>
          <w:shd w:val="clear" w:color="auto" w:fill="FFFFFF"/>
        </w:rPr>
        <w:t xml:space="preserve"> projects anywhere throughout the state of North Dakota</w:t>
      </w:r>
      <w:r w:rsidR="00E9666E">
        <w:rPr>
          <w:rStyle w:val="normaltextrun"/>
          <w:rFonts w:ascii="Verdana" w:hAnsi="Verdana"/>
          <w:color w:val="000000"/>
          <w:szCs w:val="20"/>
          <w:shd w:val="clear" w:color="auto" w:fill="FFFFFF"/>
        </w:rPr>
        <w:t>. Without knowing where future projects may be implemented</w:t>
      </w:r>
      <w:r w:rsidRPr="000420F8">
        <w:rPr>
          <w:rStyle w:val="normaltextrun"/>
          <w:rFonts w:ascii="Verdana" w:hAnsi="Verdana"/>
          <w:color w:val="000000"/>
          <w:szCs w:val="20"/>
          <w:shd w:val="clear" w:color="auto" w:fill="FFFFFF"/>
        </w:rPr>
        <w:t xml:space="preserve">, projections of North Dakota’s state-wide average electricity grid mix were estimated and then used to inform an </w:t>
      </w:r>
      <w:r w:rsidRPr="000420F8">
        <w:rPr>
          <w:rStyle w:val="normaltextrun"/>
          <w:rFonts w:ascii="Verdana" w:hAnsi="Verdana"/>
          <w:color w:val="000000"/>
          <w:szCs w:val="20"/>
          <w:shd w:val="clear" w:color="auto" w:fill="FFFFFF"/>
        </w:rPr>
        <w:lastRenderedPageBreak/>
        <w:t xml:space="preserve">average grid GHG emission rate applied to the electricity savings from lighting replacement over time. </w:t>
      </w:r>
    </w:p>
    <w:p w14:paraId="7B50F629" w14:textId="4F9F71DF" w:rsidR="007972A8" w:rsidRDefault="000420F8" w:rsidP="000420F8">
      <w:pPr>
        <w:pStyle w:val="BodyText"/>
        <w:rPr>
          <w:rStyle w:val="normaltextrun"/>
          <w:rFonts w:ascii="Verdana" w:hAnsi="Verdana"/>
          <w:color w:val="000000"/>
          <w:szCs w:val="20"/>
          <w:shd w:val="clear" w:color="auto" w:fill="FFFFFF"/>
        </w:rPr>
      </w:pPr>
      <w:r w:rsidRPr="000420F8">
        <w:rPr>
          <w:rStyle w:val="normaltextrun"/>
          <w:rFonts w:ascii="Verdana" w:hAnsi="Verdana"/>
          <w:color w:val="000000"/>
          <w:szCs w:val="20"/>
          <w:shd w:val="clear" w:color="auto" w:fill="FFFFFF"/>
        </w:rPr>
        <w:t>EIA’s Annual Energy Outlook (AEO) 2023 Reference Case was used to inform the projected stat</w:t>
      </w:r>
      <w:r w:rsidRPr="005B5A00">
        <w:rPr>
          <w:rStyle w:val="normaltextrun"/>
          <w:rFonts w:ascii="Verdana" w:hAnsi="Verdana"/>
          <w:color w:val="000000"/>
          <w:szCs w:val="20"/>
          <w:shd w:val="clear" w:color="auto" w:fill="FFFFFF"/>
        </w:rPr>
        <w:t>e grid mix.</w:t>
      </w:r>
      <w:r w:rsidR="004C7A45" w:rsidRPr="005B5A00">
        <w:rPr>
          <w:rStyle w:val="FootnoteReference"/>
          <w:rFonts w:ascii="Verdana" w:hAnsi="Verdana"/>
          <w:color w:val="000000"/>
          <w:szCs w:val="20"/>
          <w:shd w:val="clear" w:color="auto" w:fill="FFFFFF"/>
        </w:rPr>
        <w:footnoteReference w:id="7"/>
      </w:r>
      <w:r w:rsidRPr="005B5A00">
        <w:rPr>
          <w:rStyle w:val="normaltextrun"/>
          <w:rFonts w:ascii="Verdana" w:hAnsi="Verdana"/>
          <w:color w:val="000000"/>
          <w:szCs w:val="20"/>
          <w:shd w:val="clear" w:color="auto" w:fill="FFFFFF"/>
        </w:rPr>
        <w:t xml:space="preserve"> EIA provides electric power projections by Electricity Market Module Regions in Tables 54.01 to 54.25. These regions broadly do not align with state boundaries.</w:t>
      </w:r>
      <w:r w:rsidR="0005495B" w:rsidRPr="005B5A00">
        <w:rPr>
          <w:rStyle w:val="FootnoteReference"/>
          <w:rFonts w:ascii="Verdana" w:hAnsi="Verdana"/>
          <w:color w:val="000000"/>
          <w:szCs w:val="20"/>
          <w:shd w:val="clear" w:color="auto" w:fill="FFFFFF"/>
        </w:rPr>
        <w:footnoteReference w:id="8"/>
      </w:r>
      <w:r w:rsidRPr="005B5A00">
        <w:rPr>
          <w:rStyle w:val="normaltextrun"/>
          <w:rFonts w:ascii="Verdana" w:hAnsi="Verdana"/>
          <w:color w:val="000000"/>
          <w:szCs w:val="20"/>
          <w:shd w:val="clear" w:color="auto" w:fill="FFFFFF"/>
        </w:rPr>
        <w:t xml:space="preserve"> The electricity generation by resource type projections for the regions in which North Dako</w:t>
      </w:r>
      <w:r w:rsidRPr="000420F8">
        <w:rPr>
          <w:rStyle w:val="normaltextrun"/>
          <w:rFonts w:ascii="Verdana" w:hAnsi="Verdana"/>
          <w:color w:val="000000"/>
          <w:szCs w:val="20"/>
          <w:shd w:val="clear" w:color="auto" w:fill="FFFFFF"/>
        </w:rPr>
        <w:t xml:space="preserve">ta is located were used to inform an estimate of the state’s projected grid mix. A weighting of 95% was given to the projected grid mix of the Southwest Power Pool/North (SPPN) Region as this covers </w:t>
      </w:r>
      <w:proofErr w:type="gramStart"/>
      <w:r w:rsidRPr="000420F8">
        <w:rPr>
          <w:rStyle w:val="normaltextrun"/>
          <w:rFonts w:ascii="Verdana" w:hAnsi="Verdana"/>
          <w:color w:val="000000"/>
          <w:szCs w:val="20"/>
          <w:shd w:val="clear" w:color="auto" w:fill="FFFFFF"/>
        </w:rPr>
        <w:t>the vast majority of</w:t>
      </w:r>
      <w:proofErr w:type="gramEnd"/>
      <w:r w:rsidRPr="000420F8">
        <w:rPr>
          <w:rStyle w:val="normaltextrun"/>
          <w:rFonts w:ascii="Verdana" w:hAnsi="Verdana"/>
          <w:color w:val="000000"/>
          <w:szCs w:val="20"/>
          <w:shd w:val="clear" w:color="auto" w:fill="FFFFFF"/>
        </w:rPr>
        <w:t xml:space="preserve"> the state. The remainder weights the projected grid mix of the Midcontinent ISO/West (MISW). The resulting estimated grid mix for the state of North Dakota informed by EIA AEO2023 is shown below</w:t>
      </w:r>
      <w:r w:rsidR="00125A4B">
        <w:rPr>
          <w:rStyle w:val="normaltextrun"/>
          <w:rFonts w:ascii="Verdana" w:hAnsi="Verdana"/>
          <w:color w:val="000000"/>
          <w:szCs w:val="20"/>
          <w:shd w:val="clear" w:color="auto" w:fill="FFFFFF"/>
        </w:rPr>
        <w:t xml:space="preserve"> in Figure 1</w:t>
      </w:r>
      <w:r w:rsidRPr="000420F8">
        <w:rPr>
          <w:rStyle w:val="normaltextrun"/>
          <w:rFonts w:ascii="Verdana" w:hAnsi="Verdana"/>
          <w:color w:val="000000"/>
          <w:szCs w:val="20"/>
          <w:shd w:val="clear" w:color="auto" w:fill="FFFFFF"/>
        </w:rPr>
        <w:t>, depicting a significant increase in zero-emitting resources over the next decade with a decline in fossil fuel-fired generation. This is in-line with broad findings from EIA, driven by increasing clean energy investments due to incentives from the Inflation Reduction Act of 2022 as well as accounting for planned changes, such as Xcel Energy’s commitment to coal retirements and wind expansion across the central U.S.</w:t>
      </w:r>
    </w:p>
    <w:p w14:paraId="59D9ECC4" w14:textId="329658A0" w:rsidR="007A61F2" w:rsidRPr="009F4524" w:rsidRDefault="007A61F2" w:rsidP="007A61F2">
      <w:pPr>
        <w:pStyle w:val="BodyText"/>
        <w:spacing w:before="80" w:after="40" w:line="240" w:lineRule="auto"/>
        <w:rPr>
          <w:b/>
        </w:rPr>
      </w:pPr>
      <w:r>
        <w:rPr>
          <w:b/>
        </w:rPr>
        <w:t>Figure 1</w:t>
      </w:r>
      <w:r w:rsidRPr="009F4524">
        <w:rPr>
          <w:b/>
        </w:rPr>
        <w:t xml:space="preserve">. </w:t>
      </w:r>
      <w:r>
        <w:rPr>
          <w:b/>
        </w:rPr>
        <w:t xml:space="preserve">North Dakota </w:t>
      </w:r>
      <w:r w:rsidR="00DD0425">
        <w:rPr>
          <w:b/>
        </w:rPr>
        <w:t>Estimated</w:t>
      </w:r>
      <w:r w:rsidR="00C86CD6">
        <w:rPr>
          <w:b/>
        </w:rPr>
        <w:t xml:space="preserve"> Electricity Grid Mix</w:t>
      </w:r>
    </w:p>
    <w:p w14:paraId="69171A3F" w14:textId="7BDBD5D6" w:rsidR="007972A8" w:rsidRDefault="000E7295" w:rsidP="000E7295">
      <w:pPr>
        <w:pStyle w:val="BodyText"/>
        <w:jc w:val="center"/>
        <w:rPr>
          <w:rStyle w:val="normaltextrun"/>
          <w:rFonts w:ascii="Verdana" w:hAnsi="Verdana"/>
          <w:color w:val="000000"/>
          <w:szCs w:val="20"/>
          <w:shd w:val="clear" w:color="auto" w:fill="FFFFFF"/>
        </w:rPr>
      </w:pPr>
      <w:r>
        <w:rPr>
          <w:noProof/>
        </w:rPr>
        <w:drawing>
          <wp:inline distT="0" distB="0" distL="0" distR="0" wp14:anchorId="712D8D83" wp14:editId="525538F9">
            <wp:extent cx="4572000" cy="1838325"/>
            <wp:effectExtent l="0" t="0" r="0" b="9525"/>
            <wp:docPr id="419673383" name="Picture 1" descr="A graph showing the amount of electricity per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673383" name="Picture 1" descr="A graph showing the amount of electricity per grid&#10;&#10;Description automatically generated"/>
                    <pic:cNvPicPr>
                      <a:picLocks noChangeAspect="1" noChangeArrowheads="1"/>
                    </pic:cNvPicPr>
                  </pic:nvPicPr>
                  <pic:blipFill rotWithShape="1">
                    <a:blip r:embed="rId13">
                      <a:extLst>
                        <a:ext uri="{28A0092B-C50C-407E-A947-70E740481C1C}">
                          <a14:useLocalDpi xmlns:a14="http://schemas.microsoft.com/office/drawing/2010/main" val="0"/>
                        </a:ext>
                      </a:extLst>
                    </a:blip>
                    <a:srcRect t="8962"/>
                    <a:stretch/>
                  </pic:blipFill>
                  <pic:spPr bwMode="auto">
                    <a:xfrm>
                      <a:off x="0" y="0"/>
                      <a:ext cx="4572000" cy="1838325"/>
                    </a:xfrm>
                    <a:prstGeom prst="rect">
                      <a:avLst/>
                    </a:prstGeom>
                    <a:noFill/>
                    <a:ln>
                      <a:noFill/>
                    </a:ln>
                    <a:extLst>
                      <a:ext uri="{53640926-AAD7-44D8-BBD7-CCE9431645EC}">
                        <a14:shadowObscured xmlns:a14="http://schemas.microsoft.com/office/drawing/2010/main"/>
                      </a:ext>
                    </a:extLst>
                  </pic:spPr>
                </pic:pic>
              </a:graphicData>
            </a:graphic>
          </wp:inline>
        </w:drawing>
      </w:r>
    </w:p>
    <w:p w14:paraId="325F6FFF" w14:textId="4BD53477" w:rsidR="00D44449" w:rsidRDefault="009E6DE7" w:rsidP="00A970D0">
      <w:pPr>
        <w:pStyle w:val="BodyText"/>
        <w:rPr>
          <w:rStyle w:val="normaltextrun"/>
          <w:rFonts w:ascii="Verdana" w:hAnsi="Verdana"/>
          <w:color w:val="000000"/>
          <w:szCs w:val="20"/>
          <w:shd w:val="clear" w:color="auto" w:fill="FFFFFF"/>
        </w:rPr>
      </w:pPr>
      <w:r>
        <w:rPr>
          <w:rStyle w:val="normaltextrun"/>
          <w:rFonts w:ascii="Verdana" w:hAnsi="Verdana"/>
          <w:color w:val="000000"/>
          <w:szCs w:val="20"/>
          <w:shd w:val="clear" w:color="auto" w:fill="FFFFFF"/>
        </w:rPr>
        <w:t xml:space="preserve">An average electricity grid emission rate was calculated for each year based on the above electricity generation mix and average emission factors for end use of natural gas, coal, and zero-emitting electricity. </w:t>
      </w:r>
      <w:r w:rsidR="00A970D0">
        <w:rPr>
          <w:rStyle w:val="normaltextrun"/>
          <w:rFonts w:ascii="Verdana" w:hAnsi="Verdana"/>
          <w:color w:val="000000"/>
          <w:szCs w:val="20"/>
          <w:shd w:val="clear" w:color="auto" w:fill="FFFFFF"/>
        </w:rPr>
        <w:t xml:space="preserve">Zero emitting electricity generation sources do not have any GHG emissions associated with them. </w:t>
      </w:r>
      <w:r>
        <w:rPr>
          <w:rStyle w:val="normaltextrun"/>
          <w:rFonts w:ascii="Verdana" w:hAnsi="Verdana"/>
          <w:color w:val="000000"/>
          <w:szCs w:val="20"/>
          <w:shd w:val="clear" w:color="auto" w:fill="FFFFFF"/>
        </w:rPr>
        <w:t>Average U.S. n</w:t>
      </w:r>
      <w:r w:rsidR="00A970D0">
        <w:rPr>
          <w:rStyle w:val="normaltextrun"/>
          <w:rFonts w:ascii="Verdana" w:hAnsi="Verdana"/>
          <w:color w:val="000000"/>
          <w:szCs w:val="20"/>
          <w:shd w:val="clear" w:color="auto" w:fill="FFFFFF"/>
        </w:rPr>
        <w:t xml:space="preserve">atural gas </w:t>
      </w:r>
      <w:r>
        <w:rPr>
          <w:rStyle w:val="normaltextrun"/>
          <w:rFonts w:ascii="Verdana" w:hAnsi="Verdana"/>
          <w:color w:val="000000"/>
          <w:szCs w:val="20"/>
          <w:shd w:val="clear" w:color="auto" w:fill="FFFFFF"/>
        </w:rPr>
        <w:t xml:space="preserve">combined cycle facility </w:t>
      </w:r>
      <w:r w:rsidR="00A970D0">
        <w:rPr>
          <w:rStyle w:val="normaltextrun"/>
          <w:rFonts w:ascii="Verdana" w:hAnsi="Verdana"/>
          <w:color w:val="000000"/>
          <w:szCs w:val="20"/>
          <w:shd w:val="clear" w:color="auto" w:fill="FFFFFF"/>
        </w:rPr>
        <w:t>and coal</w:t>
      </w:r>
      <w:r>
        <w:rPr>
          <w:rStyle w:val="normaltextrun"/>
          <w:rFonts w:ascii="Verdana" w:hAnsi="Verdana"/>
          <w:color w:val="000000"/>
          <w:szCs w:val="20"/>
          <w:shd w:val="clear" w:color="auto" w:fill="FFFFFF"/>
        </w:rPr>
        <w:t>-fired electricity generation</w:t>
      </w:r>
      <w:r w:rsidR="00A970D0">
        <w:rPr>
          <w:rStyle w:val="normaltextrun"/>
          <w:rFonts w:ascii="Verdana" w:hAnsi="Verdana"/>
          <w:color w:val="000000"/>
          <w:szCs w:val="20"/>
          <w:shd w:val="clear" w:color="auto" w:fill="FFFFFF"/>
        </w:rPr>
        <w:t xml:space="preserve"> emission factors of </w:t>
      </w:r>
      <w:r w:rsidR="002F76DB">
        <w:rPr>
          <w:rStyle w:val="normaltextrun"/>
          <w:rFonts w:ascii="Verdana" w:hAnsi="Verdana"/>
          <w:color w:val="000000"/>
          <w:szCs w:val="20"/>
          <w:shd w:val="clear" w:color="auto" w:fill="FFFFFF"/>
        </w:rPr>
        <w:t>carbon dioxide(</w:t>
      </w:r>
      <w:r w:rsidR="00A970D0">
        <w:rPr>
          <w:rStyle w:val="normaltextrun"/>
          <w:rFonts w:ascii="Verdana" w:hAnsi="Verdana"/>
          <w:color w:val="000000"/>
          <w:szCs w:val="20"/>
          <w:shd w:val="clear" w:color="auto" w:fill="FFFFFF"/>
        </w:rPr>
        <w:t>CO</w:t>
      </w:r>
      <w:r w:rsidR="00A970D0" w:rsidRPr="009E6DE7">
        <w:rPr>
          <w:rStyle w:val="normaltextrun"/>
          <w:rFonts w:ascii="Verdana" w:hAnsi="Verdana"/>
          <w:color w:val="000000"/>
          <w:szCs w:val="20"/>
          <w:shd w:val="clear" w:color="auto" w:fill="FFFFFF"/>
          <w:vertAlign w:val="subscript"/>
        </w:rPr>
        <w:t>2</w:t>
      </w:r>
      <w:r w:rsidR="002F76DB">
        <w:rPr>
          <w:rStyle w:val="normaltextrun"/>
          <w:rFonts w:ascii="Verdana" w:hAnsi="Verdana"/>
          <w:color w:val="000000"/>
          <w:szCs w:val="20"/>
          <w:shd w:val="clear" w:color="auto" w:fill="FFFFFF"/>
        </w:rPr>
        <w:t>), methane</w:t>
      </w:r>
      <w:r w:rsidR="00A970D0">
        <w:rPr>
          <w:rStyle w:val="normaltextrun"/>
          <w:rFonts w:ascii="Verdana" w:hAnsi="Verdana"/>
          <w:color w:val="000000"/>
          <w:szCs w:val="20"/>
          <w:shd w:val="clear" w:color="auto" w:fill="FFFFFF"/>
        </w:rPr>
        <w:t xml:space="preserve"> </w:t>
      </w:r>
      <w:r w:rsidR="002F76DB">
        <w:rPr>
          <w:rStyle w:val="normaltextrun"/>
          <w:rFonts w:ascii="Verdana" w:hAnsi="Verdana"/>
          <w:color w:val="000000"/>
          <w:szCs w:val="20"/>
          <w:shd w:val="clear" w:color="auto" w:fill="FFFFFF"/>
        </w:rPr>
        <w:t>(</w:t>
      </w:r>
      <w:r w:rsidR="00A970D0">
        <w:rPr>
          <w:rStyle w:val="normaltextrun"/>
          <w:rFonts w:ascii="Verdana" w:hAnsi="Verdana"/>
          <w:color w:val="000000"/>
          <w:szCs w:val="20"/>
          <w:shd w:val="clear" w:color="auto" w:fill="FFFFFF"/>
        </w:rPr>
        <w:t>CH</w:t>
      </w:r>
      <w:r w:rsidR="00A970D0" w:rsidRPr="009E6DE7">
        <w:rPr>
          <w:rStyle w:val="normaltextrun"/>
          <w:rFonts w:ascii="Verdana" w:hAnsi="Verdana"/>
          <w:color w:val="000000"/>
          <w:szCs w:val="20"/>
          <w:shd w:val="clear" w:color="auto" w:fill="FFFFFF"/>
          <w:vertAlign w:val="subscript"/>
        </w:rPr>
        <w:t>4</w:t>
      </w:r>
      <w:r w:rsidR="002F76DB">
        <w:rPr>
          <w:rStyle w:val="normaltextrun"/>
          <w:rFonts w:ascii="Verdana" w:hAnsi="Verdana"/>
          <w:color w:val="000000"/>
          <w:szCs w:val="20"/>
          <w:shd w:val="clear" w:color="auto" w:fill="FFFFFF"/>
        </w:rPr>
        <w:t>),</w:t>
      </w:r>
      <w:r w:rsidR="00A970D0">
        <w:rPr>
          <w:rStyle w:val="normaltextrun"/>
          <w:rFonts w:ascii="Verdana" w:hAnsi="Verdana"/>
          <w:color w:val="000000"/>
          <w:szCs w:val="20"/>
          <w:shd w:val="clear" w:color="auto" w:fill="FFFFFF"/>
        </w:rPr>
        <w:t xml:space="preserve"> and</w:t>
      </w:r>
      <w:r w:rsidR="002F76DB">
        <w:rPr>
          <w:rStyle w:val="normaltextrun"/>
          <w:rFonts w:ascii="Verdana" w:hAnsi="Verdana"/>
          <w:color w:val="000000"/>
          <w:szCs w:val="20"/>
          <w:shd w:val="clear" w:color="auto" w:fill="FFFFFF"/>
        </w:rPr>
        <w:t xml:space="preserve"> nitrous oxide</w:t>
      </w:r>
      <w:r w:rsidR="00A970D0">
        <w:rPr>
          <w:rStyle w:val="normaltextrun"/>
          <w:rFonts w:ascii="Verdana" w:hAnsi="Verdana"/>
          <w:color w:val="000000"/>
          <w:szCs w:val="20"/>
          <w:shd w:val="clear" w:color="auto" w:fill="FFFFFF"/>
        </w:rPr>
        <w:t xml:space="preserve"> </w:t>
      </w:r>
      <w:r w:rsidR="00464CD5">
        <w:rPr>
          <w:rStyle w:val="normaltextrun"/>
          <w:rFonts w:ascii="Verdana" w:hAnsi="Verdana"/>
          <w:color w:val="000000"/>
          <w:szCs w:val="20"/>
          <w:shd w:val="clear" w:color="auto" w:fill="FFFFFF"/>
        </w:rPr>
        <w:t>(</w:t>
      </w:r>
      <w:r w:rsidR="00A970D0">
        <w:rPr>
          <w:rStyle w:val="normaltextrun"/>
          <w:rFonts w:ascii="Verdana" w:hAnsi="Verdana"/>
          <w:color w:val="000000"/>
          <w:szCs w:val="20"/>
          <w:shd w:val="clear" w:color="auto" w:fill="FFFFFF"/>
        </w:rPr>
        <w:t>N</w:t>
      </w:r>
      <w:r w:rsidR="00A970D0" w:rsidRPr="009E6DE7">
        <w:rPr>
          <w:rStyle w:val="normaltextrun"/>
          <w:rFonts w:ascii="Verdana" w:hAnsi="Verdana"/>
          <w:color w:val="000000"/>
          <w:szCs w:val="20"/>
          <w:shd w:val="clear" w:color="auto" w:fill="FFFFFF"/>
          <w:vertAlign w:val="subscript"/>
        </w:rPr>
        <w:t>2</w:t>
      </w:r>
      <w:r w:rsidR="00A970D0">
        <w:rPr>
          <w:rStyle w:val="normaltextrun"/>
          <w:rFonts w:ascii="Verdana" w:hAnsi="Verdana"/>
          <w:color w:val="000000"/>
          <w:szCs w:val="20"/>
          <w:shd w:val="clear" w:color="auto" w:fill="FFFFFF"/>
        </w:rPr>
        <w:t>O</w:t>
      </w:r>
      <w:r w:rsidR="00464CD5">
        <w:rPr>
          <w:rStyle w:val="normaltextrun"/>
          <w:rFonts w:ascii="Verdana" w:hAnsi="Verdana"/>
          <w:color w:val="000000"/>
          <w:szCs w:val="20"/>
          <w:shd w:val="clear" w:color="auto" w:fill="FFFFFF"/>
        </w:rPr>
        <w:t>)</w:t>
      </w:r>
      <w:r w:rsidR="00A970D0">
        <w:rPr>
          <w:rStyle w:val="normaltextrun"/>
          <w:rFonts w:ascii="Verdana" w:hAnsi="Verdana"/>
          <w:color w:val="000000"/>
          <w:szCs w:val="20"/>
          <w:shd w:val="clear" w:color="auto" w:fill="FFFFFF"/>
        </w:rPr>
        <w:t xml:space="preserve"> for electricity generation were taken from GREET, a life cycle analysis model created by the Department of Energy’s Argonne National Laboratory.</w:t>
      </w:r>
      <w:r w:rsidR="00A970D0">
        <w:rPr>
          <w:rStyle w:val="FootnoteReference"/>
          <w:rFonts w:ascii="Verdana" w:hAnsi="Verdana"/>
          <w:color w:val="000000"/>
          <w:szCs w:val="20"/>
          <w:shd w:val="clear" w:color="auto" w:fill="FFFFFF"/>
        </w:rPr>
        <w:footnoteReference w:id="9"/>
      </w:r>
      <w:r w:rsidR="00A970D0">
        <w:rPr>
          <w:rStyle w:val="normaltextrun"/>
          <w:rFonts w:ascii="Verdana" w:hAnsi="Verdana"/>
          <w:color w:val="000000"/>
          <w:szCs w:val="20"/>
          <w:shd w:val="clear" w:color="auto" w:fill="FFFFFF"/>
        </w:rPr>
        <w:t xml:space="preserve"> </w:t>
      </w:r>
      <w:r w:rsidR="00722F26">
        <w:rPr>
          <w:rStyle w:val="normaltextrun"/>
          <w:rFonts w:ascii="Verdana" w:hAnsi="Verdana"/>
          <w:color w:val="000000"/>
          <w:szCs w:val="20"/>
          <w:shd w:val="clear" w:color="auto" w:fill="FFFFFF"/>
        </w:rPr>
        <w:t>For the GHG emission rate for each fuel in grams of CO</w:t>
      </w:r>
      <w:r w:rsidR="00722F26">
        <w:rPr>
          <w:rStyle w:val="normaltextrun"/>
          <w:rFonts w:ascii="Verdana" w:hAnsi="Verdana"/>
          <w:color w:val="000000"/>
          <w:sz w:val="16"/>
          <w:szCs w:val="16"/>
          <w:shd w:val="clear" w:color="auto" w:fill="FFFFFF"/>
          <w:vertAlign w:val="subscript"/>
        </w:rPr>
        <w:t>2</w:t>
      </w:r>
      <w:r w:rsidR="00722F26">
        <w:rPr>
          <w:rStyle w:val="normaltextrun"/>
          <w:rFonts w:ascii="Verdana" w:hAnsi="Verdana"/>
          <w:color w:val="000000"/>
          <w:szCs w:val="20"/>
          <w:shd w:val="clear" w:color="auto" w:fill="FFFFFF"/>
        </w:rPr>
        <w:t>e per kilowatt hour (kWh), glob</w:t>
      </w:r>
      <w:r w:rsidR="00722F26" w:rsidRPr="00312DCA">
        <w:rPr>
          <w:rStyle w:val="normaltextrun"/>
          <w:rFonts w:ascii="Verdana" w:hAnsi="Verdana"/>
          <w:color w:val="000000"/>
          <w:szCs w:val="20"/>
          <w:shd w:val="clear" w:color="auto" w:fill="FFFFFF"/>
        </w:rPr>
        <w:t>al warming potentials for the 100-year time horizon from IPCC 5</w:t>
      </w:r>
      <w:r w:rsidR="00722F26" w:rsidRPr="00312DCA">
        <w:rPr>
          <w:rStyle w:val="normaltextrun"/>
          <w:rFonts w:ascii="Verdana" w:hAnsi="Verdana"/>
          <w:color w:val="000000"/>
          <w:sz w:val="16"/>
          <w:szCs w:val="16"/>
          <w:shd w:val="clear" w:color="auto" w:fill="FFFFFF"/>
          <w:vertAlign w:val="superscript"/>
        </w:rPr>
        <w:t>th</w:t>
      </w:r>
      <w:r w:rsidR="00722F26" w:rsidRPr="00312DCA">
        <w:rPr>
          <w:rStyle w:val="normaltextrun"/>
          <w:rFonts w:ascii="Verdana" w:hAnsi="Verdana"/>
          <w:color w:val="000000"/>
          <w:szCs w:val="20"/>
          <w:shd w:val="clear" w:color="auto" w:fill="FFFFFF"/>
        </w:rPr>
        <w:t xml:space="preserve"> Assessment Report were used.</w:t>
      </w:r>
      <w:r w:rsidR="00722F26" w:rsidRPr="00312DCA">
        <w:rPr>
          <w:rStyle w:val="FootnoteReference"/>
          <w:rFonts w:ascii="Verdana" w:hAnsi="Verdana"/>
          <w:color w:val="000000"/>
          <w:szCs w:val="20"/>
          <w:shd w:val="clear" w:color="auto" w:fill="FFFFFF"/>
        </w:rPr>
        <w:footnoteReference w:id="10"/>
      </w:r>
      <w:r w:rsidR="00722F26" w:rsidRPr="00312DCA">
        <w:rPr>
          <w:rStyle w:val="normaltextrun"/>
          <w:rFonts w:ascii="Verdana" w:hAnsi="Verdana"/>
          <w:color w:val="000000"/>
          <w:szCs w:val="20"/>
          <w:shd w:val="clear" w:color="auto" w:fill="FFFFFF"/>
        </w:rPr>
        <w:t xml:space="preserve"> The</w:t>
      </w:r>
      <w:r w:rsidR="00722F26">
        <w:rPr>
          <w:rStyle w:val="normaltextrun"/>
          <w:rFonts w:ascii="Verdana" w:hAnsi="Verdana"/>
          <w:color w:val="000000"/>
          <w:szCs w:val="20"/>
          <w:shd w:val="clear" w:color="auto" w:fill="FFFFFF"/>
        </w:rPr>
        <w:t xml:space="preserve"> emissions factors used by resource type are shown </w:t>
      </w:r>
      <w:r w:rsidR="008D23B0">
        <w:rPr>
          <w:rStyle w:val="normaltextrun"/>
          <w:rFonts w:ascii="Verdana" w:hAnsi="Verdana"/>
          <w:color w:val="000000"/>
          <w:szCs w:val="20"/>
          <w:shd w:val="clear" w:color="auto" w:fill="FFFFFF"/>
        </w:rPr>
        <w:t xml:space="preserve">in Table </w:t>
      </w:r>
      <w:r w:rsidR="002F76DB">
        <w:rPr>
          <w:rStyle w:val="normaltextrun"/>
          <w:rFonts w:ascii="Verdana" w:hAnsi="Verdana"/>
          <w:color w:val="000000"/>
          <w:szCs w:val="20"/>
          <w:shd w:val="clear" w:color="auto" w:fill="FFFFFF"/>
        </w:rPr>
        <w:t>6</w:t>
      </w:r>
      <w:r w:rsidR="00722F26">
        <w:rPr>
          <w:rStyle w:val="normaltextrun"/>
          <w:rFonts w:ascii="Verdana" w:hAnsi="Verdana"/>
          <w:color w:val="000000"/>
          <w:szCs w:val="20"/>
          <w:shd w:val="clear" w:color="auto" w:fill="FFFFFF"/>
        </w:rPr>
        <w:t>.</w:t>
      </w:r>
    </w:p>
    <w:p w14:paraId="26FFDA90" w14:textId="4D4AA799" w:rsidR="00722F26" w:rsidRPr="009F4524" w:rsidRDefault="00722F26" w:rsidP="009F4524">
      <w:pPr>
        <w:pStyle w:val="BodyText"/>
        <w:spacing w:before="80" w:after="40" w:line="240" w:lineRule="auto"/>
        <w:rPr>
          <w:b/>
        </w:rPr>
      </w:pPr>
      <w:r w:rsidRPr="009F4524">
        <w:rPr>
          <w:b/>
        </w:rPr>
        <w:lastRenderedPageBreak/>
        <w:t>Table</w:t>
      </w:r>
      <w:r w:rsidR="00C877BD" w:rsidRPr="009F4524">
        <w:rPr>
          <w:b/>
        </w:rPr>
        <w:t xml:space="preserve"> </w:t>
      </w:r>
      <w:r w:rsidR="002F76DB">
        <w:rPr>
          <w:b/>
        </w:rPr>
        <w:t>6</w:t>
      </w:r>
      <w:r w:rsidRPr="009F4524">
        <w:rPr>
          <w:b/>
        </w:rPr>
        <w:t xml:space="preserve">.  </w:t>
      </w:r>
      <w:r w:rsidR="0071569E" w:rsidRPr="009F4524">
        <w:rPr>
          <w:b/>
        </w:rPr>
        <w:t xml:space="preserve">Emission Rates for Electricity Generation </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2070"/>
        <w:gridCol w:w="1530"/>
        <w:gridCol w:w="1530"/>
        <w:gridCol w:w="2070"/>
        <w:gridCol w:w="2438"/>
      </w:tblGrid>
      <w:tr w:rsidR="00BE30FC" w14:paraId="294CD415" w14:textId="77777777" w:rsidTr="007672E0">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70" w:type="dxa"/>
            <w:vMerge w:val="restart"/>
            <w:vAlign w:val="center"/>
          </w:tcPr>
          <w:p w14:paraId="0D6AFEC3" w14:textId="58CD3132" w:rsidR="00BE30FC" w:rsidRDefault="00BE30FC" w:rsidP="004901EA">
            <w:pPr>
              <w:pStyle w:val="BodyText"/>
              <w:spacing w:after="0" w:line="240" w:lineRule="auto"/>
              <w:jc w:val="center"/>
            </w:pPr>
            <w:r>
              <w:t>Electricity Generating Resource Type</w:t>
            </w:r>
          </w:p>
        </w:tc>
        <w:tc>
          <w:tcPr>
            <w:tcW w:w="7568" w:type="dxa"/>
            <w:gridSpan w:val="4"/>
          </w:tcPr>
          <w:p w14:paraId="581E9BD3" w14:textId="6F41E7C9" w:rsidR="00BE30FC" w:rsidRPr="00D44221" w:rsidRDefault="00BE30FC" w:rsidP="004901EA">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0A16A8">
              <w:t>E</w:t>
            </w:r>
            <w:r>
              <w:t>mission Rates (grams of pollutant per kWh)</w:t>
            </w:r>
          </w:p>
        </w:tc>
      </w:tr>
      <w:tr w:rsidR="00BE30FC" w14:paraId="3E87639F" w14:textId="77777777" w:rsidTr="007672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70" w:type="dxa"/>
            <w:vMerge/>
            <w:vAlign w:val="center"/>
          </w:tcPr>
          <w:p w14:paraId="15EC26CB" w14:textId="77777777" w:rsidR="00BE30FC" w:rsidRDefault="00BE30FC" w:rsidP="004901EA">
            <w:pPr>
              <w:pStyle w:val="BodyText"/>
              <w:spacing w:after="0" w:line="240" w:lineRule="auto"/>
              <w:jc w:val="center"/>
            </w:pPr>
          </w:p>
        </w:tc>
        <w:tc>
          <w:tcPr>
            <w:tcW w:w="1530" w:type="dxa"/>
            <w:shd w:val="clear" w:color="auto" w:fill="D1DDD3" w:themeFill="text2"/>
            <w:vAlign w:val="center"/>
          </w:tcPr>
          <w:p w14:paraId="1F98F671" w14:textId="1EA9B40A" w:rsidR="00BE30FC" w:rsidRDefault="00BE30FC" w:rsidP="004A10EE">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Pr>
                <w:bCs/>
              </w:rPr>
              <w:t>CO</w:t>
            </w:r>
            <w:r w:rsidRPr="00BE30FC">
              <w:rPr>
                <w:bCs/>
                <w:vertAlign w:val="subscript"/>
              </w:rPr>
              <w:t>2</w:t>
            </w:r>
          </w:p>
        </w:tc>
        <w:tc>
          <w:tcPr>
            <w:tcW w:w="1530" w:type="dxa"/>
            <w:shd w:val="clear" w:color="auto" w:fill="D1DDD3" w:themeFill="text2"/>
            <w:vAlign w:val="center"/>
          </w:tcPr>
          <w:p w14:paraId="4A330579" w14:textId="00664B36" w:rsidR="00BE30FC" w:rsidRDefault="00BE30FC" w:rsidP="004A10EE">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Pr>
                <w:bCs/>
              </w:rPr>
              <w:t>CH</w:t>
            </w:r>
            <w:r w:rsidRPr="00BE30FC">
              <w:rPr>
                <w:bCs/>
                <w:vertAlign w:val="subscript"/>
              </w:rPr>
              <w:t>4</w:t>
            </w:r>
          </w:p>
        </w:tc>
        <w:tc>
          <w:tcPr>
            <w:tcW w:w="2070" w:type="dxa"/>
            <w:shd w:val="clear" w:color="auto" w:fill="D1DDD3" w:themeFill="text2"/>
            <w:vAlign w:val="center"/>
          </w:tcPr>
          <w:p w14:paraId="2265C42E" w14:textId="7A6B7DD9" w:rsidR="00BE30FC" w:rsidRDefault="00BE30FC" w:rsidP="004A10EE">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Pr>
                <w:bCs/>
              </w:rPr>
              <w:t>N</w:t>
            </w:r>
            <w:r w:rsidRPr="00BE30FC">
              <w:rPr>
                <w:bCs/>
                <w:vertAlign w:val="subscript"/>
              </w:rPr>
              <w:t>2</w:t>
            </w:r>
            <w:r>
              <w:rPr>
                <w:bCs/>
              </w:rPr>
              <w:t>O</w:t>
            </w:r>
          </w:p>
        </w:tc>
        <w:tc>
          <w:tcPr>
            <w:tcW w:w="2438" w:type="dxa"/>
            <w:shd w:val="clear" w:color="auto" w:fill="D1DDD3" w:themeFill="text2"/>
            <w:vAlign w:val="center"/>
          </w:tcPr>
          <w:p w14:paraId="3523EEA8" w14:textId="6360236B" w:rsidR="00BE30FC" w:rsidRDefault="00BE30FC" w:rsidP="004A10EE">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Cs/>
              </w:rPr>
            </w:pPr>
            <w:r>
              <w:rPr>
                <w:bCs/>
              </w:rPr>
              <w:t>CO</w:t>
            </w:r>
            <w:r w:rsidRPr="00BE30FC">
              <w:rPr>
                <w:bCs/>
                <w:vertAlign w:val="subscript"/>
              </w:rPr>
              <w:t>2</w:t>
            </w:r>
            <w:r>
              <w:rPr>
                <w:bCs/>
              </w:rPr>
              <w:t>e</w:t>
            </w:r>
          </w:p>
        </w:tc>
      </w:tr>
      <w:tr w:rsidR="0071569E" w14:paraId="687CFD7F" w14:textId="77777777" w:rsidTr="007672E0">
        <w:trPr>
          <w:jc w:val="center"/>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0370E8B9" w14:textId="02E96BCF" w:rsidR="0071569E" w:rsidRDefault="004A10EE" w:rsidP="004901EA">
            <w:pPr>
              <w:pStyle w:val="BodyText"/>
              <w:spacing w:after="0" w:line="240" w:lineRule="auto"/>
            </w:pPr>
            <w:r>
              <w:t>Zero-Emitting</w:t>
            </w:r>
          </w:p>
        </w:tc>
        <w:tc>
          <w:tcPr>
            <w:tcW w:w="1530" w:type="dxa"/>
          </w:tcPr>
          <w:p w14:paraId="1D9CB270" w14:textId="7489BEF4" w:rsidR="0071569E" w:rsidRDefault="004A10EE"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w:t>
            </w:r>
          </w:p>
        </w:tc>
        <w:tc>
          <w:tcPr>
            <w:tcW w:w="1530" w:type="dxa"/>
            <w:vAlign w:val="center"/>
          </w:tcPr>
          <w:p w14:paraId="1F763321" w14:textId="46B2D8D5" w:rsidR="0071569E" w:rsidRDefault="004A10EE"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w:t>
            </w:r>
          </w:p>
        </w:tc>
        <w:tc>
          <w:tcPr>
            <w:tcW w:w="2070" w:type="dxa"/>
            <w:vAlign w:val="center"/>
          </w:tcPr>
          <w:p w14:paraId="1494348F" w14:textId="56353B1E" w:rsidR="0071569E" w:rsidRDefault="004A10EE"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w:t>
            </w:r>
          </w:p>
        </w:tc>
        <w:tc>
          <w:tcPr>
            <w:tcW w:w="2438" w:type="dxa"/>
          </w:tcPr>
          <w:p w14:paraId="14B114F0" w14:textId="5329E2A3" w:rsidR="0071569E" w:rsidRDefault="004A10EE"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w:t>
            </w:r>
          </w:p>
        </w:tc>
      </w:tr>
      <w:tr w:rsidR="004A10EE" w14:paraId="3AF0E313" w14:textId="77777777" w:rsidTr="007672E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229A05FC" w14:textId="1F54B330" w:rsidR="004A10EE" w:rsidRDefault="004A10EE" w:rsidP="004901EA">
            <w:pPr>
              <w:pStyle w:val="BodyText"/>
              <w:spacing w:after="0" w:line="240" w:lineRule="auto"/>
            </w:pPr>
            <w:r>
              <w:t>Natural Gas</w:t>
            </w:r>
          </w:p>
        </w:tc>
        <w:tc>
          <w:tcPr>
            <w:tcW w:w="1530" w:type="dxa"/>
          </w:tcPr>
          <w:p w14:paraId="09E44853" w14:textId="6510B624" w:rsidR="004A10EE" w:rsidRDefault="004A10EE"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450</w:t>
            </w:r>
          </w:p>
        </w:tc>
        <w:tc>
          <w:tcPr>
            <w:tcW w:w="1530" w:type="dxa"/>
            <w:vAlign w:val="center"/>
          </w:tcPr>
          <w:p w14:paraId="15B75F56" w14:textId="2E7B7078" w:rsidR="004A10EE" w:rsidRDefault="004A10EE"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0.89</w:t>
            </w:r>
          </w:p>
        </w:tc>
        <w:tc>
          <w:tcPr>
            <w:tcW w:w="2070" w:type="dxa"/>
            <w:vAlign w:val="center"/>
          </w:tcPr>
          <w:p w14:paraId="36D12F26" w14:textId="79D41BB4" w:rsidR="004A10EE" w:rsidRDefault="004A10EE"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0.01</w:t>
            </w:r>
          </w:p>
        </w:tc>
        <w:tc>
          <w:tcPr>
            <w:tcW w:w="2438" w:type="dxa"/>
          </w:tcPr>
          <w:p w14:paraId="120A9488" w14:textId="488C6538" w:rsidR="004A10EE" w:rsidRDefault="004A10EE" w:rsidP="004901EA">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477</w:t>
            </w:r>
          </w:p>
        </w:tc>
      </w:tr>
      <w:tr w:rsidR="004A10EE" w14:paraId="695AFB5D" w14:textId="77777777" w:rsidTr="007672E0">
        <w:trPr>
          <w:jc w:val="center"/>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6A233E05" w14:textId="7AB7B438" w:rsidR="004A10EE" w:rsidRDefault="004A10EE" w:rsidP="004901EA">
            <w:pPr>
              <w:pStyle w:val="BodyText"/>
              <w:spacing w:after="0" w:line="240" w:lineRule="auto"/>
            </w:pPr>
            <w:r>
              <w:t>Coal</w:t>
            </w:r>
          </w:p>
        </w:tc>
        <w:tc>
          <w:tcPr>
            <w:tcW w:w="1530" w:type="dxa"/>
          </w:tcPr>
          <w:p w14:paraId="650F45DF" w14:textId="2A818AB4" w:rsidR="004A10EE" w:rsidRDefault="004A10EE"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1,050</w:t>
            </w:r>
          </w:p>
        </w:tc>
        <w:tc>
          <w:tcPr>
            <w:tcW w:w="1530" w:type="dxa"/>
            <w:vAlign w:val="center"/>
          </w:tcPr>
          <w:p w14:paraId="15F856C1" w14:textId="37A57701" w:rsidR="004A10EE" w:rsidRDefault="004A10EE"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1.70</w:t>
            </w:r>
          </w:p>
        </w:tc>
        <w:tc>
          <w:tcPr>
            <w:tcW w:w="2070" w:type="dxa"/>
            <w:vAlign w:val="center"/>
          </w:tcPr>
          <w:p w14:paraId="7324DC50" w14:textId="632A1473" w:rsidR="004A10EE" w:rsidRDefault="0076574B"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0.02</w:t>
            </w:r>
          </w:p>
        </w:tc>
        <w:tc>
          <w:tcPr>
            <w:tcW w:w="2438" w:type="dxa"/>
          </w:tcPr>
          <w:p w14:paraId="6824DDB9" w14:textId="69BE6FF9" w:rsidR="004A10EE" w:rsidRDefault="0076574B" w:rsidP="004901EA">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1,104</w:t>
            </w:r>
          </w:p>
        </w:tc>
      </w:tr>
    </w:tbl>
    <w:p w14:paraId="0AA008B0" w14:textId="77777777" w:rsidR="00722F26" w:rsidRDefault="00722F26" w:rsidP="00A970D0">
      <w:pPr>
        <w:pStyle w:val="BodyText"/>
        <w:rPr>
          <w:rStyle w:val="normaltextrun"/>
          <w:rFonts w:ascii="Verdana" w:hAnsi="Verdana"/>
          <w:color w:val="000000"/>
          <w:szCs w:val="20"/>
          <w:shd w:val="clear" w:color="auto" w:fill="FFFFFF"/>
        </w:rPr>
      </w:pPr>
    </w:p>
    <w:p w14:paraId="0FF90894" w14:textId="440C87C7" w:rsidR="001C34D8" w:rsidRDefault="001C34D8" w:rsidP="00A970D0">
      <w:pPr>
        <w:pStyle w:val="BodyText"/>
        <w:rPr>
          <w:rStyle w:val="eop"/>
          <w:rFonts w:ascii="Verdana" w:hAnsi="Verdana"/>
          <w:color w:val="000000"/>
          <w:szCs w:val="20"/>
          <w:shd w:val="clear" w:color="auto" w:fill="FFFFFF"/>
        </w:rPr>
      </w:pPr>
      <w:r>
        <w:rPr>
          <w:rStyle w:val="normaltextrun"/>
          <w:rFonts w:ascii="Verdana" w:hAnsi="Verdana"/>
          <w:color w:val="000000"/>
          <w:szCs w:val="20"/>
          <w:shd w:val="clear" w:color="auto" w:fill="FFFFFF"/>
        </w:rPr>
        <w:t>These resulting GHG emission rates in grams of CO2e per kWh were applied to the associated resource type’s estimated share of electricity generation for a given year to estimate the state average electricity grid GHG emission rate</w:t>
      </w:r>
      <w:r w:rsidR="00B01B39">
        <w:rPr>
          <w:rStyle w:val="normaltextrun"/>
          <w:rFonts w:ascii="Verdana" w:hAnsi="Verdana"/>
          <w:color w:val="000000"/>
          <w:szCs w:val="20"/>
          <w:shd w:val="clear" w:color="auto" w:fill="FFFFFF"/>
        </w:rPr>
        <w:t>, as shown in Figure 2</w:t>
      </w:r>
      <w:r>
        <w:rPr>
          <w:rStyle w:val="normaltextrun"/>
          <w:rFonts w:ascii="Verdana" w:hAnsi="Verdana"/>
          <w:color w:val="000000"/>
          <w:szCs w:val="20"/>
          <w:shd w:val="clear" w:color="auto" w:fill="FFFFFF"/>
        </w:rPr>
        <w:t>.</w:t>
      </w:r>
      <w:r>
        <w:rPr>
          <w:rStyle w:val="eop"/>
          <w:rFonts w:ascii="Verdana" w:hAnsi="Verdana"/>
          <w:color w:val="000000"/>
          <w:szCs w:val="20"/>
          <w:shd w:val="clear" w:color="auto" w:fill="FFFFFF"/>
        </w:rPr>
        <w:t> </w:t>
      </w:r>
    </w:p>
    <w:p w14:paraId="21CE337C" w14:textId="4B5B11C2" w:rsidR="00125A4B" w:rsidRPr="009F4524" w:rsidRDefault="00125A4B" w:rsidP="00125A4B">
      <w:pPr>
        <w:pStyle w:val="BodyText"/>
        <w:spacing w:before="80" w:after="40" w:line="240" w:lineRule="auto"/>
        <w:rPr>
          <w:b/>
        </w:rPr>
      </w:pPr>
      <w:r>
        <w:rPr>
          <w:b/>
        </w:rPr>
        <w:t xml:space="preserve">Figure </w:t>
      </w:r>
      <w:r w:rsidR="00B01B39">
        <w:rPr>
          <w:b/>
        </w:rPr>
        <w:t>2</w:t>
      </w:r>
      <w:r w:rsidRPr="009F4524">
        <w:rPr>
          <w:b/>
        </w:rPr>
        <w:t xml:space="preserve">. </w:t>
      </w:r>
      <w:r>
        <w:rPr>
          <w:b/>
        </w:rPr>
        <w:t xml:space="preserve">North Dakota </w:t>
      </w:r>
      <w:r w:rsidR="00DD0425">
        <w:rPr>
          <w:b/>
        </w:rPr>
        <w:t>Estimated</w:t>
      </w:r>
      <w:r>
        <w:rPr>
          <w:b/>
        </w:rPr>
        <w:t xml:space="preserve"> Average Electricity Grid GHG Emission Rate</w:t>
      </w:r>
    </w:p>
    <w:p w14:paraId="5531C1F9" w14:textId="3DD257A3" w:rsidR="001C34D8" w:rsidRDefault="001C34D8" w:rsidP="001C34D8">
      <w:pPr>
        <w:pStyle w:val="BodyText"/>
        <w:jc w:val="center"/>
        <w:rPr>
          <w:rStyle w:val="normaltextrun"/>
          <w:rFonts w:ascii="Verdana" w:hAnsi="Verdana"/>
          <w:color w:val="000000"/>
          <w:szCs w:val="20"/>
          <w:shd w:val="clear" w:color="auto" w:fill="FFFFFF"/>
        </w:rPr>
      </w:pPr>
      <w:r>
        <w:rPr>
          <w:noProof/>
        </w:rPr>
        <w:drawing>
          <wp:inline distT="0" distB="0" distL="0" distR="0" wp14:anchorId="0C502BB4" wp14:editId="3DA78335">
            <wp:extent cx="4667250" cy="2019300"/>
            <wp:effectExtent l="0" t="0" r="0" b="0"/>
            <wp:docPr id="1743701219" name="Picture 2" descr="A graph showing the amount of electricity in the united stat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701219" name="Picture 2" descr="A graph showing the amount of electricity in the united states&#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67250" cy="2019300"/>
                    </a:xfrm>
                    <a:prstGeom prst="rect">
                      <a:avLst/>
                    </a:prstGeom>
                    <a:noFill/>
                    <a:ln>
                      <a:noFill/>
                    </a:ln>
                  </pic:spPr>
                </pic:pic>
              </a:graphicData>
            </a:graphic>
          </wp:inline>
        </w:drawing>
      </w:r>
    </w:p>
    <w:p w14:paraId="73675440" w14:textId="3516F109" w:rsidR="00A970D0" w:rsidRDefault="00A970D0" w:rsidP="00A970D0">
      <w:pPr>
        <w:pStyle w:val="BodyText"/>
      </w:pPr>
      <w:r>
        <w:rPr>
          <w:rStyle w:val="normaltextrun"/>
          <w:rFonts w:ascii="Verdana" w:hAnsi="Verdana"/>
          <w:color w:val="000000"/>
          <w:szCs w:val="20"/>
          <w:shd w:val="clear" w:color="auto" w:fill="FFFFFF"/>
        </w:rPr>
        <w:t>Th</w:t>
      </w:r>
      <w:r w:rsidR="001C34D8">
        <w:rPr>
          <w:rStyle w:val="normaltextrun"/>
          <w:rFonts w:ascii="Verdana" w:hAnsi="Verdana"/>
          <w:color w:val="000000"/>
          <w:szCs w:val="20"/>
          <w:shd w:val="clear" w:color="auto" w:fill="FFFFFF"/>
        </w:rPr>
        <w:t>e</w:t>
      </w:r>
      <w:r>
        <w:rPr>
          <w:rStyle w:val="normaltextrun"/>
          <w:rFonts w:ascii="Verdana" w:hAnsi="Verdana"/>
          <w:color w:val="000000"/>
          <w:szCs w:val="20"/>
          <w:shd w:val="clear" w:color="auto" w:fill="FFFFFF"/>
        </w:rPr>
        <w:t xml:space="preserve"> </w:t>
      </w:r>
      <w:r w:rsidR="001C34D8">
        <w:rPr>
          <w:rStyle w:val="normaltextrun"/>
          <w:rFonts w:ascii="Verdana" w:hAnsi="Verdana"/>
          <w:color w:val="000000"/>
          <w:szCs w:val="20"/>
          <w:shd w:val="clear" w:color="auto" w:fill="FFFFFF"/>
        </w:rPr>
        <w:t>above emission rate was</w:t>
      </w:r>
      <w:r>
        <w:rPr>
          <w:rStyle w:val="normaltextrun"/>
          <w:rFonts w:ascii="Verdana" w:hAnsi="Verdana"/>
          <w:color w:val="000000"/>
          <w:szCs w:val="20"/>
          <w:shd w:val="clear" w:color="auto" w:fill="FFFFFF"/>
        </w:rPr>
        <w:t xml:space="preserve"> then multiplied by the electricity savings to calculate the GHG emissions reduction</w:t>
      </w:r>
      <w:r w:rsidR="00056F95">
        <w:rPr>
          <w:rStyle w:val="normaltextrun"/>
          <w:rFonts w:ascii="Verdana" w:hAnsi="Verdana"/>
          <w:color w:val="000000"/>
          <w:szCs w:val="20"/>
          <w:shd w:val="clear" w:color="auto" w:fill="FFFFFF"/>
        </w:rPr>
        <w:t xml:space="preserve"> due to more efficient LED lighting</w:t>
      </w:r>
      <w:r>
        <w:rPr>
          <w:rStyle w:val="normaltextrun"/>
          <w:rFonts w:ascii="Verdana" w:hAnsi="Verdana"/>
          <w:color w:val="000000"/>
          <w:szCs w:val="20"/>
          <w:shd w:val="clear" w:color="auto" w:fill="FFFFFF"/>
        </w:rPr>
        <w:t>.</w:t>
      </w:r>
      <w:r>
        <w:rPr>
          <w:rStyle w:val="eop"/>
          <w:rFonts w:ascii="Verdana" w:hAnsi="Verdana"/>
          <w:color w:val="000000"/>
          <w:szCs w:val="20"/>
          <w:shd w:val="clear" w:color="auto" w:fill="FFFFFF"/>
        </w:rPr>
        <w:t> </w:t>
      </w:r>
      <w:r w:rsidR="00056F95">
        <w:rPr>
          <w:rStyle w:val="normaltextrun"/>
          <w:rFonts w:ascii="Verdana" w:hAnsi="Verdana"/>
          <w:color w:val="000000"/>
          <w:szCs w:val="20"/>
          <w:shd w:val="clear" w:color="auto" w:fill="FFFFFF"/>
        </w:rPr>
        <w:t xml:space="preserve">Standard conversion factors were used to align units from grams to metric tons and kWh to MWh. </w:t>
      </w:r>
      <w:r>
        <w:rPr>
          <w:rStyle w:val="eop"/>
          <w:rFonts w:ascii="Verdana" w:hAnsi="Verdana"/>
          <w:color w:val="000000"/>
          <w:szCs w:val="20"/>
          <w:shd w:val="clear" w:color="auto" w:fill="FFFFFF"/>
        </w:rPr>
        <w:t>G</w:t>
      </w:r>
      <w:r>
        <w:t xml:space="preserve">HG </w:t>
      </w:r>
      <w:r w:rsidR="00CC4A12">
        <w:t>e</w:t>
      </w:r>
      <w:r>
        <w:t>missions reductions were calculated for each year from 2025</w:t>
      </w:r>
      <w:r w:rsidR="00CC4A12">
        <w:t>-</w:t>
      </w:r>
      <w:r>
        <w:t xml:space="preserve">2050 based on the electricity savings for this </w:t>
      </w:r>
      <w:r w:rsidR="00F520FE">
        <w:t xml:space="preserve">representative </w:t>
      </w:r>
      <w:r>
        <w:t>project.</w:t>
      </w:r>
      <w:r w:rsidRPr="00F72B8A">
        <w:t xml:space="preserve"> </w:t>
      </w:r>
    </w:p>
    <w:p w14:paraId="0CC27D0E" w14:textId="4C29AF53" w:rsidR="00F1551F" w:rsidRPr="009F4524" w:rsidRDefault="00F1551F" w:rsidP="009F4524">
      <w:pPr>
        <w:pStyle w:val="BodyText"/>
        <w:spacing w:before="80" w:after="40" w:line="240" w:lineRule="auto"/>
        <w:rPr>
          <w:b/>
        </w:rPr>
      </w:pPr>
      <w:r w:rsidRPr="009F4524">
        <w:rPr>
          <w:b/>
        </w:rPr>
        <w:t xml:space="preserve">Table </w:t>
      </w:r>
      <w:r w:rsidR="00464CD5">
        <w:rPr>
          <w:b/>
        </w:rPr>
        <w:t>7</w:t>
      </w:r>
      <w:r w:rsidRPr="009F4524">
        <w:rPr>
          <w:b/>
        </w:rPr>
        <w:t xml:space="preserve">. </w:t>
      </w:r>
      <w:r w:rsidR="0003340D" w:rsidRPr="009F4524">
        <w:rPr>
          <w:b/>
        </w:rPr>
        <w:t>LED Lighting Installation</w:t>
      </w:r>
      <w:r w:rsidR="00324EE7" w:rsidRPr="009F4524">
        <w:rPr>
          <w:b/>
        </w:rPr>
        <w:t>s</w:t>
      </w:r>
      <w:r w:rsidR="0003340D" w:rsidRPr="009F4524">
        <w:rPr>
          <w:b/>
        </w:rPr>
        <w:t xml:space="preserve"> – </w:t>
      </w:r>
      <w:r w:rsidR="00324EE7" w:rsidRPr="009F4524">
        <w:rPr>
          <w:b/>
        </w:rPr>
        <w:t>Representative</w:t>
      </w:r>
      <w:r w:rsidR="0003340D" w:rsidRPr="009F4524">
        <w:rPr>
          <w:b/>
        </w:rPr>
        <w:t xml:space="preserve"> Project Information</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1728"/>
        <w:gridCol w:w="1872"/>
        <w:gridCol w:w="1584"/>
        <w:gridCol w:w="2016"/>
        <w:gridCol w:w="1728"/>
      </w:tblGrid>
      <w:tr w:rsidR="00324EE7" w14:paraId="264325A0" w14:textId="77777777" w:rsidTr="00EF066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tcPr>
          <w:p w14:paraId="77987843" w14:textId="77777777" w:rsidR="00324EE7" w:rsidRDefault="00324EE7" w:rsidP="00EF0663">
            <w:pPr>
              <w:pStyle w:val="BodyText"/>
              <w:spacing w:after="0" w:line="240" w:lineRule="auto"/>
              <w:jc w:val="center"/>
            </w:pPr>
          </w:p>
        </w:tc>
        <w:tc>
          <w:tcPr>
            <w:tcW w:w="1872" w:type="dxa"/>
          </w:tcPr>
          <w:p w14:paraId="2F4A9582" w14:textId="77777777" w:rsidR="00324EE7"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Grant Funding Received</w:t>
            </w:r>
          </w:p>
          <w:p w14:paraId="5B5656BF" w14:textId="77777777" w:rsidR="00324EE7" w:rsidRPr="00A45044"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A45044">
              <w:rPr>
                <w:b w:val="0"/>
              </w:rPr>
              <w:t>($)</w:t>
            </w:r>
          </w:p>
        </w:tc>
        <w:tc>
          <w:tcPr>
            <w:tcW w:w="1584" w:type="dxa"/>
          </w:tcPr>
          <w:p w14:paraId="1A4AB1E9" w14:textId="6E7A0512" w:rsidR="00324EE7"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Elec. Savings</w:t>
            </w:r>
          </w:p>
          <w:p w14:paraId="3E97E6ED" w14:textId="4A1336FE" w:rsidR="00324EE7" w:rsidRPr="00C24104"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C24104">
              <w:rPr>
                <w:b w:val="0"/>
              </w:rPr>
              <w:t>(</w:t>
            </w:r>
            <w:r>
              <w:rPr>
                <w:b w:val="0"/>
              </w:rPr>
              <w:t>k</w:t>
            </w:r>
            <w:r w:rsidRPr="00324EE7">
              <w:rPr>
                <w:b w:val="0"/>
                <w:bCs/>
              </w:rPr>
              <w:t>Wh</w:t>
            </w:r>
            <w:r w:rsidRPr="00C24104">
              <w:rPr>
                <w:b w:val="0"/>
              </w:rPr>
              <w:t>)</w:t>
            </w:r>
          </w:p>
        </w:tc>
        <w:tc>
          <w:tcPr>
            <w:tcW w:w="2016" w:type="dxa"/>
          </w:tcPr>
          <w:p w14:paraId="6482DD2D" w14:textId="77777777" w:rsidR="00324EE7"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Emission </w:t>
            </w:r>
          </w:p>
          <w:p w14:paraId="0B6BE157" w14:textId="77777777" w:rsidR="00324EE7"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Factor</w:t>
            </w:r>
          </w:p>
          <w:p w14:paraId="44B07FDA" w14:textId="77777777" w:rsidR="00324EE7" w:rsidRPr="001B386C"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r>
              <w:rPr>
                <w:b w:val="0"/>
                <w:bCs/>
              </w:rPr>
              <w:t>MT CO</w:t>
            </w:r>
            <w:r w:rsidRPr="00D36BD0">
              <w:rPr>
                <w:b w:val="0"/>
                <w:bCs/>
                <w:vertAlign w:val="subscript"/>
              </w:rPr>
              <w:t>2</w:t>
            </w:r>
            <w:r w:rsidRPr="00D36BD0">
              <w:rPr>
                <w:b w:val="0"/>
                <w:bCs/>
              </w:rPr>
              <w:t>e</w:t>
            </w:r>
            <w:r>
              <w:rPr>
                <w:b w:val="0"/>
                <w:bCs/>
              </w:rPr>
              <w:t>/MMBtu</w:t>
            </w:r>
            <w:r w:rsidRPr="001B386C">
              <w:rPr>
                <w:b w:val="0"/>
                <w:bCs/>
              </w:rPr>
              <w:t>)</w:t>
            </w:r>
          </w:p>
        </w:tc>
        <w:tc>
          <w:tcPr>
            <w:tcW w:w="1728" w:type="dxa"/>
          </w:tcPr>
          <w:p w14:paraId="42259F58" w14:textId="77777777" w:rsidR="00324EE7"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GHG Savings</w:t>
            </w:r>
          </w:p>
          <w:p w14:paraId="385EC1F2" w14:textId="77777777" w:rsidR="00324EE7" w:rsidRPr="00D44221" w:rsidRDefault="00324EE7"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D44221">
              <w:rPr>
                <w:b w:val="0"/>
              </w:rPr>
              <w:t>(MT CO</w:t>
            </w:r>
            <w:r w:rsidRPr="00D44221">
              <w:rPr>
                <w:b w:val="0"/>
                <w:vertAlign w:val="subscript"/>
              </w:rPr>
              <w:t>2</w:t>
            </w:r>
            <w:r w:rsidRPr="00D44221">
              <w:rPr>
                <w:b w:val="0"/>
              </w:rPr>
              <w:t>e)</w:t>
            </w:r>
          </w:p>
        </w:tc>
      </w:tr>
      <w:tr w:rsidR="00324EE7" w14:paraId="48DBF98E" w14:textId="77777777" w:rsidTr="00EF066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28" w:type="dxa"/>
            <w:vAlign w:val="center"/>
          </w:tcPr>
          <w:p w14:paraId="79073440" w14:textId="77777777" w:rsidR="00324EE7" w:rsidRDefault="00324EE7" w:rsidP="00EF0663">
            <w:pPr>
              <w:pStyle w:val="BodyText"/>
              <w:spacing w:after="0" w:line="240" w:lineRule="auto"/>
            </w:pPr>
            <w:r>
              <w:t>Project</w:t>
            </w:r>
          </w:p>
        </w:tc>
        <w:tc>
          <w:tcPr>
            <w:tcW w:w="1872" w:type="dxa"/>
          </w:tcPr>
          <w:p w14:paraId="246C863E" w14:textId="589FC9E8" w:rsidR="00324EE7" w:rsidRDefault="00324EE7"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$2,359</w:t>
            </w:r>
          </w:p>
        </w:tc>
        <w:tc>
          <w:tcPr>
            <w:tcW w:w="1584" w:type="dxa"/>
            <w:vAlign w:val="center"/>
          </w:tcPr>
          <w:p w14:paraId="7266D043" w14:textId="132EB210" w:rsidR="00324EE7" w:rsidRDefault="00324EE7"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13,635</w:t>
            </w:r>
          </w:p>
        </w:tc>
        <w:tc>
          <w:tcPr>
            <w:tcW w:w="2016" w:type="dxa"/>
            <w:vAlign w:val="center"/>
          </w:tcPr>
          <w:p w14:paraId="6D508F13" w14:textId="7637E0CF" w:rsidR="00324EE7" w:rsidRDefault="00324EE7"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 xml:space="preserve">See Table </w:t>
            </w:r>
            <w:r w:rsidR="00464CD5">
              <w:t>6</w:t>
            </w:r>
          </w:p>
        </w:tc>
        <w:tc>
          <w:tcPr>
            <w:tcW w:w="1728" w:type="dxa"/>
          </w:tcPr>
          <w:p w14:paraId="468DCC1B" w14:textId="19241412" w:rsidR="00324EE7" w:rsidRDefault="001763AA" w:rsidP="00EF0663">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4.9</w:t>
            </w:r>
          </w:p>
        </w:tc>
      </w:tr>
    </w:tbl>
    <w:p w14:paraId="6446D354" w14:textId="77777777" w:rsidR="00F1551F" w:rsidRDefault="00F1551F" w:rsidP="00A970D0">
      <w:pPr>
        <w:pStyle w:val="BodyText"/>
      </w:pPr>
    </w:p>
    <w:p w14:paraId="1EDDC27B" w14:textId="4CEB3DC6" w:rsidR="00487E49" w:rsidRDefault="008B64DB" w:rsidP="00487E49">
      <w:pPr>
        <w:pStyle w:val="BodyText"/>
      </w:pPr>
      <w:r>
        <w:t xml:space="preserve">Based on the representative project’s grant funding received and the $11,400,000 share of total </w:t>
      </w:r>
      <w:r w:rsidR="00CC4A12">
        <w:t>p</w:t>
      </w:r>
      <w:r>
        <w:t xml:space="preserve">rogram </w:t>
      </w:r>
      <w:r w:rsidR="00CC4A12">
        <w:t>expansion</w:t>
      </w:r>
      <w:r>
        <w:t xml:space="preserve"> funds assumed to be allocated for </w:t>
      </w:r>
      <w:r w:rsidR="005F165D">
        <w:t>LED projects</w:t>
      </w:r>
      <w:r>
        <w:t xml:space="preserve">, </w:t>
      </w:r>
      <w:r w:rsidR="005F165D">
        <w:t>more than 4,832</w:t>
      </w:r>
      <w:r>
        <w:t xml:space="preserve"> similar projects were assumed to be implemented, with 20% added in each year </w:t>
      </w:r>
      <w:r w:rsidR="00CC4A12">
        <w:t xml:space="preserve">from </w:t>
      </w:r>
      <w:r>
        <w:t>2025</w:t>
      </w:r>
      <w:r w:rsidR="00CC4A12">
        <w:t>-</w:t>
      </w:r>
      <w:r>
        <w:t xml:space="preserve">2029. The roughly </w:t>
      </w:r>
      <w:r w:rsidR="00CF4EB4">
        <w:t>966</w:t>
      </w:r>
      <w:r>
        <w:t xml:space="preserve"> projects added in each year save over </w:t>
      </w:r>
      <w:r w:rsidR="00CF4EB4">
        <w:t>4,727</w:t>
      </w:r>
      <w:r>
        <w:t xml:space="preserve"> MT CO</w:t>
      </w:r>
      <w:r w:rsidRPr="00887E25">
        <w:rPr>
          <w:vertAlign w:val="subscript"/>
        </w:rPr>
        <w:t>2</w:t>
      </w:r>
      <w:r>
        <w:t xml:space="preserve">e in the year implemented and each year thereafter. Total cumulative GHG emissions reductions for this measure contributing to the </w:t>
      </w:r>
      <w:r w:rsidR="000F3D0C">
        <w:t>expanded p</w:t>
      </w:r>
      <w:r>
        <w:t xml:space="preserve">rogram’s total impact are shown in Table 1, with annual reductions detailed in </w:t>
      </w:r>
      <w:r w:rsidR="00464CD5">
        <w:t>Table 2</w:t>
      </w:r>
      <w:r>
        <w:t>.</w:t>
      </w:r>
    </w:p>
    <w:p w14:paraId="4D1A15FB" w14:textId="23F6CC2D" w:rsidR="00E12770" w:rsidRDefault="00716C66" w:rsidP="00A03D36">
      <w:pPr>
        <w:pStyle w:val="Heading2"/>
        <w:numPr>
          <w:ilvl w:val="0"/>
          <w:numId w:val="0"/>
        </w:numPr>
        <w:ind w:left="794" w:hanging="794"/>
      </w:pPr>
      <w:r>
        <w:lastRenderedPageBreak/>
        <w:t xml:space="preserve">Measure 4: </w:t>
      </w:r>
      <w:r w:rsidR="00E12770">
        <w:t>Insulation Installations</w:t>
      </w:r>
    </w:p>
    <w:p w14:paraId="19EF10AB" w14:textId="5E91FC2A" w:rsidR="00A970D0" w:rsidRDefault="003A1552" w:rsidP="00A970D0">
      <w:pPr>
        <w:pStyle w:val="BodyText"/>
      </w:pPr>
      <w:r>
        <w:t xml:space="preserve">GHG emissions reductions from the installation of insulation </w:t>
      </w:r>
      <w:r w:rsidR="002E77A4">
        <w:t xml:space="preserve">are achieved through </w:t>
      </w:r>
      <w:r w:rsidR="00C3776C">
        <w:t xml:space="preserve">the reduction in the amount of heating and cooling air lost through the building’s </w:t>
      </w:r>
      <w:r w:rsidR="00D128B3">
        <w:t>envelope</w:t>
      </w:r>
      <w:r w:rsidR="00C3776C">
        <w:t xml:space="preserve">. </w:t>
      </w:r>
      <w:r w:rsidR="00D128B3">
        <w:t>E</w:t>
      </w:r>
      <w:r w:rsidR="00C173F0">
        <w:t xml:space="preserve">stimates were </w:t>
      </w:r>
      <w:r w:rsidR="00D128B3">
        <w:t>based on the</w:t>
      </w:r>
      <w:r w:rsidR="00C173F0">
        <w:t xml:space="preserve"> </w:t>
      </w:r>
      <w:r w:rsidR="00D128B3">
        <w:t>past</w:t>
      </w:r>
      <w:r w:rsidR="00C173F0">
        <w:t xml:space="preserve"> insula</w:t>
      </w:r>
      <w:r w:rsidR="003A6140">
        <w:t xml:space="preserve">tion installation </w:t>
      </w:r>
      <w:r w:rsidR="00D128B3">
        <w:t>project for</w:t>
      </w:r>
      <w:r w:rsidR="003A6140">
        <w:t xml:space="preserve"> the Nelson County Highway Department</w:t>
      </w:r>
      <w:r w:rsidR="0090657B">
        <w:t xml:space="preserve"> shop and storage building in 2023. </w:t>
      </w:r>
      <w:r w:rsidR="00317386">
        <w:t>T</w:t>
      </w:r>
      <w:r w:rsidR="00A970D0">
        <w:t xml:space="preserve">he grant recipient provided the R-value of the </w:t>
      </w:r>
      <w:r w:rsidR="001C2621">
        <w:t xml:space="preserve">existing </w:t>
      </w:r>
      <w:r w:rsidR="00A970D0">
        <w:t>insulation</w:t>
      </w:r>
      <w:r w:rsidR="00317386">
        <w:t xml:space="preserve"> and </w:t>
      </w:r>
      <w:r w:rsidR="00A970D0">
        <w:t xml:space="preserve">the </w:t>
      </w:r>
      <w:r w:rsidR="001C2621">
        <w:t>anticipated improved R-value of the new insulation. The higher the R-value, the better insulation, allowing better temperature regulation, resulting in reduced fuel use for heating and cooling.</w:t>
      </w:r>
      <w:r w:rsidR="00015B42" w:rsidRPr="00015B42">
        <w:t xml:space="preserve"> </w:t>
      </w:r>
      <w:r w:rsidR="00015B42">
        <w:t>The building is heated by propane and fuel oil and the improvements allow the heating system to operate less as the after-project insulation allows the building to stay warmer longer, thus reducing fuel consumption, costs, and GHG emissions</w:t>
      </w:r>
      <w:r w:rsidR="005D3D1E">
        <w:t>.</w:t>
      </w:r>
      <w:r w:rsidR="001C2621">
        <w:t xml:space="preserve"> The grant recipient provided the heat loss saved, as well as project cost, shown in Table </w:t>
      </w:r>
      <w:r w:rsidR="00464CD5">
        <w:t>8</w:t>
      </w:r>
      <w:r w:rsidR="001C2621">
        <w:t xml:space="preserve">. </w:t>
      </w:r>
      <w:proofErr w:type="gramStart"/>
      <w:r w:rsidR="001C2621">
        <w:t xml:space="preserve">In reality, </w:t>
      </w:r>
      <w:r w:rsidR="002D3CA0">
        <w:t>insulation</w:t>
      </w:r>
      <w:proofErr w:type="gramEnd"/>
      <w:r w:rsidR="001C2621">
        <w:t xml:space="preserve"> upgrade costs, </w:t>
      </w:r>
      <w:r w:rsidR="002D3CA0">
        <w:t>amount</w:t>
      </w:r>
      <w:r w:rsidR="001C2621">
        <w:t>, efficiency, and fuel savings will all vary by project, though this example was used as a representative average for the analysis</w:t>
      </w:r>
      <w:r w:rsidR="002C4F1F">
        <w:t xml:space="preserve">. </w:t>
      </w:r>
    </w:p>
    <w:p w14:paraId="457B3455" w14:textId="2183D045" w:rsidR="006405BD" w:rsidRPr="009F4524" w:rsidRDefault="006405BD" w:rsidP="009F4524">
      <w:pPr>
        <w:pStyle w:val="BodyText"/>
        <w:spacing w:before="80" w:after="40" w:line="240" w:lineRule="auto"/>
        <w:rPr>
          <w:b/>
        </w:rPr>
      </w:pPr>
      <w:r w:rsidRPr="009F4524">
        <w:rPr>
          <w:b/>
        </w:rPr>
        <w:t xml:space="preserve">Table </w:t>
      </w:r>
      <w:r w:rsidR="00464CD5">
        <w:rPr>
          <w:b/>
        </w:rPr>
        <w:t>8</w:t>
      </w:r>
      <w:r w:rsidRPr="009F4524">
        <w:rPr>
          <w:b/>
        </w:rPr>
        <w:t>. Insulation Installation</w:t>
      </w:r>
      <w:r w:rsidR="00142AC8" w:rsidRPr="009F4524">
        <w:rPr>
          <w:b/>
        </w:rPr>
        <w:t>s</w:t>
      </w:r>
      <w:r w:rsidR="00230DD6" w:rsidRPr="009F4524">
        <w:rPr>
          <w:b/>
        </w:rPr>
        <w:t xml:space="preserve"> </w:t>
      </w:r>
      <w:r w:rsidR="00142AC8" w:rsidRPr="009F4524">
        <w:rPr>
          <w:b/>
        </w:rPr>
        <w:t>– Representative Project Information</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1639"/>
        <w:gridCol w:w="1292"/>
        <w:gridCol w:w="1216"/>
        <w:gridCol w:w="1262"/>
        <w:gridCol w:w="1360"/>
        <w:gridCol w:w="1296"/>
        <w:gridCol w:w="1296"/>
      </w:tblGrid>
      <w:tr w:rsidR="006B6D3F" w14:paraId="11822D72" w14:textId="77777777" w:rsidTr="00EF066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9" w:type="dxa"/>
          </w:tcPr>
          <w:p w14:paraId="78B9E8EE" w14:textId="77777777" w:rsidR="006B6D3F" w:rsidRDefault="006B6D3F" w:rsidP="00EF0663">
            <w:pPr>
              <w:pStyle w:val="BodyText"/>
              <w:spacing w:after="0" w:line="240" w:lineRule="auto"/>
              <w:jc w:val="center"/>
            </w:pPr>
          </w:p>
        </w:tc>
        <w:tc>
          <w:tcPr>
            <w:tcW w:w="1292" w:type="dxa"/>
          </w:tcPr>
          <w:p w14:paraId="0F29E33B" w14:textId="77777777" w:rsidR="006B6D3F"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Grant Funding Received</w:t>
            </w:r>
          </w:p>
          <w:p w14:paraId="54FF1025" w14:textId="77777777" w:rsidR="006B6D3F" w:rsidRPr="00A45044"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A45044">
              <w:rPr>
                <w:b w:val="0"/>
              </w:rPr>
              <w:t>($)</w:t>
            </w:r>
          </w:p>
        </w:tc>
        <w:tc>
          <w:tcPr>
            <w:tcW w:w="1216" w:type="dxa"/>
          </w:tcPr>
          <w:p w14:paraId="1C572A8B" w14:textId="77777777" w:rsidR="003A13CB" w:rsidRDefault="00085511"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Hourly Fuel </w:t>
            </w:r>
            <w:r w:rsidR="00095915">
              <w:rPr>
                <w:bCs/>
              </w:rPr>
              <w:t>Loss</w:t>
            </w:r>
          </w:p>
          <w:p w14:paraId="2BBD2CF9" w14:textId="74AFEE55" w:rsidR="00085511" w:rsidRDefault="00085511"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 </w:t>
            </w:r>
          </w:p>
          <w:p w14:paraId="581B40BE" w14:textId="133D24E5" w:rsidR="006B6D3F" w:rsidRDefault="00085511"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sidRPr="00085511">
              <w:rPr>
                <w:b w:val="0"/>
              </w:rPr>
              <w:t>(Btu/</w:t>
            </w:r>
            <w:proofErr w:type="spellStart"/>
            <w:r w:rsidRPr="00085511">
              <w:rPr>
                <w:b w:val="0"/>
              </w:rPr>
              <w:t>hr</w:t>
            </w:r>
            <w:proofErr w:type="spellEnd"/>
            <w:r w:rsidRPr="00085511">
              <w:rPr>
                <w:b w:val="0"/>
              </w:rPr>
              <w:t>)</w:t>
            </w:r>
          </w:p>
        </w:tc>
        <w:tc>
          <w:tcPr>
            <w:tcW w:w="1216" w:type="dxa"/>
          </w:tcPr>
          <w:p w14:paraId="6507BC44" w14:textId="77777777" w:rsidR="006B6D3F" w:rsidRDefault="00085511"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Operating</w:t>
            </w:r>
          </w:p>
          <w:p w14:paraId="50FE4A77" w14:textId="77777777" w:rsidR="00085511" w:rsidRDefault="00085511"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Hours</w:t>
            </w:r>
          </w:p>
          <w:p w14:paraId="1D8EBC1C" w14:textId="77777777" w:rsidR="00BE5700" w:rsidRDefault="00BE5700"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Per Year</w:t>
            </w:r>
          </w:p>
          <w:p w14:paraId="288FA90B" w14:textId="6F679AF0" w:rsidR="003A13CB" w:rsidRPr="003A13CB" w:rsidRDefault="003A13CB"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Pr>
                <w:b w:val="0"/>
              </w:rPr>
              <w:t>(hours)</w:t>
            </w:r>
          </w:p>
        </w:tc>
        <w:tc>
          <w:tcPr>
            <w:tcW w:w="1360" w:type="dxa"/>
          </w:tcPr>
          <w:p w14:paraId="2A54D3AE" w14:textId="099100B6" w:rsidR="006B6D3F"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Annual Fuel </w:t>
            </w:r>
            <w:r w:rsidR="00095915">
              <w:rPr>
                <w:bCs/>
              </w:rPr>
              <w:t>Loss</w:t>
            </w:r>
          </w:p>
          <w:p w14:paraId="6154E1B2" w14:textId="77777777" w:rsidR="003A13CB" w:rsidRDefault="003A13CB"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p>
          <w:p w14:paraId="13497508" w14:textId="77777777" w:rsidR="006B6D3F" w:rsidRPr="00C24104"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C24104">
              <w:rPr>
                <w:b w:val="0"/>
              </w:rPr>
              <w:t>(MMBtu)</w:t>
            </w:r>
          </w:p>
        </w:tc>
        <w:tc>
          <w:tcPr>
            <w:tcW w:w="1296" w:type="dxa"/>
          </w:tcPr>
          <w:p w14:paraId="041B7DF0" w14:textId="77777777" w:rsidR="006B6D3F"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Emission </w:t>
            </w:r>
          </w:p>
          <w:p w14:paraId="2DBB2559" w14:textId="77777777" w:rsidR="006B6D3F"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Factor</w:t>
            </w:r>
          </w:p>
          <w:p w14:paraId="7F9493E8" w14:textId="77777777" w:rsidR="006B6D3F" w:rsidRPr="001B386C"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r>
              <w:rPr>
                <w:b w:val="0"/>
                <w:bCs/>
              </w:rPr>
              <w:t>MT CO</w:t>
            </w:r>
            <w:r w:rsidRPr="00D36BD0">
              <w:rPr>
                <w:b w:val="0"/>
                <w:bCs/>
                <w:vertAlign w:val="subscript"/>
              </w:rPr>
              <w:t>2</w:t>
            </w:r>
            <w:r w:rsidRPr="00D36BD0">
              <w:rPr>
                <w:b w:val="0"/>
                <w:bCs/>
              </w:rPr>
              <w:t>e</w:t>
            </w:r>
            <w:r>
              <w:rPr>
                <w:b w:val="0"/>
                <w:bCs/>
              </w:rPr>
              <w:t>/ MMBtu</w:t>
            </w:r>
            <w:r w:rsidRPr="001B386C">
              <w:rPr>
                <w:b w:val="0"/>
                <w:bCs/>
              </w:rPr>
              <w:t>)</w:t>
            </w:r>
          </w:p>
        </w:tc>
        <w:tc>
          <w:tcPr>
            <w:tcW w:w="1296" w:type="dxa"/>
          </w:tcPr>
          <w:p w14:paraId="01FB1D8D" w14:textId="77777777" w:rsidR="006B6D3F"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GHG Savings</w:t>
            </w:r>
          </w:p>
          <w:p w14:paraId="19A95DDA" w14:textId="77777777" w:rsidR="006B6D3F" w:rsidRPr="00D44221" w:rsidRDefault="006B6D3F" w:rsidP="00EF0663">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D44221">
              <w:rPr>
                <w:b w:val="0"/>
              </w:rPr>
              <w:t>(MT CO</w:t>
            </w:r>
            <w:r w:rsidRPr="00D44221">
              <w:rPr>
                <w:b w:val="0"/>
                <w:vertAlign w:val="subscript"/>
              </w:rPr>
              <w:t>2</w:t>
            </w:r>
            <w:r w:rsidRPr="00D44221">
              <w:rPr>
                <w:b w:val="0"/>
              </w:rPr>
              <w:t>e)</w:t>
            </w:r>
          </w:p>
        </w:tc>
      </w:tr>
      <w:tr w:rsidR="006B6D3F" w14:paraId="38E8556C" w14:textId="77777777" w:rsidTr="003A13C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9" w:type="dxa"/>
            <w:vAlign w:val="center"/>
          </w:tcPr>
          <w:p w14:paraId="4A163033" w14:textId="48829200" w:rsidR="006B6D3F" w:rsidRDefault="006B6D3F" w:rsidP="00EF0663">
            <w:pPr>
              <w:pStyle w:val="BodyText"/>
              <w:spacing w:after="0" w:line="240" w:lineRule="auto"/>
            </w:pPr>
            <w:r>
              <w:t>Before</w:t>
            </w:r>
          </w:p>
        </w:tc>
        <w:tc>
          <w:tcPr>
            <w:tcW w:w="1292" w:type="dxa"/>
            <w:vAlign w:val="center"/>
          </w:tcPr>
          <w:p w14:paraId="504400CC" w14:textId="77777777" w:rsidR="006B6D3F" w:rsidRDefault="006B6D3F"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p>
        </w:tc>
        <w:tc>
          <w:tcPr>
            <w:tcW w:w="1216" w:type="dxa"/>
            <w:vAlign w:val="center"/>
          </w:tcPr>
          <w:p w14:paraId="5BDF7E01" w14:textId="2F6F1299" w:rsidR="006B6D3F" w:rsidRDefault="00BE5700"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-296,338</w:t>
            </w:r>
          </w:p>
        </w:tc>
        <w:tc>
          <w:tcPr>
            <w:tcW w:w="1216" w:type="dxa"/>
            <w:vAlign w:val="center"/>
          </w:tcPr>
          <w:p w14:paraId="27F1DBC9" w14:textId="2FF98AAF" w:rsidR="006B6D3F" w:rsidRDefault="003A13CB"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2,913</w:t>
            </w:r>
          </w:p>
        </w:tc>
        <w:tc>
          <w:tcPr>
            <w:tcW w:w="1360" w:type="dxa"/>
            <w:vAlign w:val="center"/>
          </w:tcPr>
          <w:p w14:paraId="04896552" w14:textId="03C8FCEA" w:rsidR="006B6D3F" w:rsidRDefault="00142AC8"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-863</w:t>
            </w:r>
          </w:p>
        </w:tc>
        <w:tc>
          <w:tcPr>
            <w:tcW w:w="1296" w:type="dxa"/>
            <w:vAlign w:val="center"/>
          </w:tcPr>
          <w:p w14:paraId="2600B037" w14:textId="77777777" w:rsidR="006B6D3F" w:rsidRDefault="006B6D3F"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p>
        </w:tc>
        <w:tc>
          <w:tcPr>
            <w:tcW w:w="1296" w:type="dxa"/>
            <w:vAlign w:val="center"/>
          </w:tcPr>
          <w:p w14:paraId="0374F504" w14:textId="77777777" w:rsidR="006B6D3F" w:rsidRDefault="006B6D3F"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p>
        </w:tc>
      </w:tr>
      <w:tr w:rsidR="006B6D3F" w14:paraId="27EC5AE3" w14:textId="77777777" w:rsidTr="003A13CB">
        <w:trPr>
          <w:jc w:val="center"/>
        </w:trPr>
        <w:tc>
          <w:tcPr>
            <w:cnfStyle w:val="001000000000" w:firstRow="0" w:lastRow="0" w:firstColumn="1" w:lastColumn="0" w:oddVBand="0" w:evenVBand="0" w:oddHBand="0" w:evenHBand="0" w:firstRowFirstColumn="0" w:firstRowLastColumn="0" w:lastRowFirstColumn="0" w:lastRowLastColumn="0"/>
            <w:tcW w:w="1639" w:type="dxa"/>
            <w:vAlign w:val="center"/>
          </w:tcPr>
          <w:p w14:paraId="4421E833" w14:textId="6AB8ECEC" w:rsidR="006B6D3F" w:rsidRDefault="006B6D3F" w:rsidP="00EF0663">
            <w:pPr>
              <w:pStyle w:val="BodyText"/>
              <w:spacing w:after="0" w:line="240" w:lineRule="auto"/>
            </w:pPr>
            <w:r>
              <w:t>After</w:t>
            </w:r>
          </w:p>
        </w:tc>
        <w:tc>
          <w:tcPr>
            <w:tcW w:w="1292" w:type="dxa"/>
            <w:vAlign w:val="center"/>
          </w:tcPr>
          <w:p w14:paraId="63D5CFCE" w14:textId="77777777" w:rsidR="006B6D3F" w:rsidRDefault="006B6D3F" w:rsidP="003A13CB">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p>
        </w:tc>
        <w:tc>
          <w:tcPr>
            <w:tcW w:w="1216" w:type="dxa"/>
            <w:vAlign w:val="center"/>
          </w:tcPr>
          <w:p w14:paraId="1C920587" w14:textId="29535566" w:rsidR="006B6D3F" w:rsidRDefault="00BE5700" w:rsidP="003A13CB">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-158,341</w:t>
            </w:r>
          </w:p>
        </w:tc>
        <w:tc>
          <w:tcPr>
            <w:tcW w:w="1216" w:type="dxa"/>
            <w:vAlign w:val="center"/>
          </w:tcPr>
          <w:p w14:paraId="28EAD0E7" w14:textId="5C991E4D" w:rsidR="006B6D3F" w:rsidRDefault="00142AC8" w:rsidP="003A13CB">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1,987</w:t>
            </w:r>
          </w:p>
        </w:tc>
        <w:tc>
          <w:tcPr>
            <w:tcW w:w="1360" w:type="dxa"/>
            <w:vAlign w:val="center"/>
          </w:tcPr>
          <w:p w14:paraId="535D04FC" w14:textId="52F704E7" w:rsidR="006B6D3F" w:rsidRDefault="00142AC8" w:rsidP="003A13CB">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-315</w:t>
            </w:r>
          </w:p>
        </w:tc>
        <w:tc>
          <w:tcPr>
            <w:tcW w:w="1296" w:type="dxa"/>
            <w:vAlign w:val="center"/>
          </w:tcPr>
          <w:p w14:paraId="329513EF" w14:textId="77777777" w:rsidR="006B6D3F" w:rsidRDefault="006B6D3F" w:rsidP="003A13CB">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p>
        </w:tc>
        <w:tc>
          <w:tcPr>
            <w:tcW w:w="1296" w:type="dxa"/>
            <w:vAlign w:val="center"/>
          </w:tcPr>
          <w:p w14:paraId="1C2A903E" w14:textId="77777777" w:rsidR="006B6D3F" w:rsidRDefault="006B6D3F" w:rsidP="003A13CB">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p>
        </w:tc>
      </w:tr>
      <w:tr w:rsidR="006B6D3F" w14:paraId="446F0B6F" w14:textId="77777777" w:rsidTr="003A13CB">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9" w:type="dxa"/>
            <w:vAlign w:val="center"/>
          </w:tcPr>
          <w:p w14:paraId="3167916E" w14:textId="77777777" w:rsidR="006B6D3F" w:rsidRPr="0017255B" w:rsidRDefault="006B6D3F" w:rsidP="00EF0663">
            <w:pPr>
              <w:pStyle w:val="BodyText"/>
              <w:spacing w:after="0" w:line="240" w:lineRule="auto"/>
              <w:rPr>
                <w:b/>
                <w:bCs/>
              </w:rPr>
            </w:pPr>
            <w:r w:rsidRPr="0017255B">
              <w:rPr>
                <w:b/>
                <w:bCs/>
              </w:rPr>
              <w:t>Project</w:t>
            </w:r>
          </w:p>
        </w:tc>
        <w:tc>
          <w:tcPr>
            <w:tcW w:w="1292" w:type="dxa"/>
            <w:vAlign w:val="center"/>
          </w:tcPr>
          <w:p w14:paraId="6D42F011" w14:textId="7F38AE48" w:rsidR="006B6D3F" w:rsidRPr="0017255B" w:rsidRDefault="006B6D3F"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17255B">
              <w:rPr>
                <w:b/>
                <w:bCs/>
              </w:rPr>
              <w:t>$</w:t>
            </w:r>
            <w:r w:rsidR="00085511" w:rsidRPr="00085511">
              <w:rPr>
                <w:b/>
                <w:bCs/>
              </w:rPr>
              <w:t>23,395</w:t>
            </w:r>
          </w:p>
        </w:tc>
        <w:tc>
          <w:tcPr>
            <w:tcW w:w="1216" w:type="dxa"/>
            <w:vAlign w:val="center"/>
          </w:tcPr>
          <w:p w14:paraId="3C00A47A" w14:textId="77777777" w:rsidR="006B6D3F" w:rsidRPr="0017255B" w:rsidRDefault="006B6D3F"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w:t>
            </w:r>
          </w:p>
        </w:tc>
        <w:tc>
          <w:tcPr>
            <w:tcW w:w="1216" w:type="dxa"/>
            <w:vAlign w:val="center"/>
          </w:tcPr>
          <w:p w14:paraId="7FB2B029" w14:textId="77777777" w:rsidR="006B6D3F" w:rsidRPr="0017255B" w:rsidRDefault="006B6D3F"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w:t>
            </w:r>
          </w:p>
        </w:tc>
        <w:tc>
          <w:tcPr>
            <w:tcW w:w="1360" w:type="dxa"/>
            <w:vAlign w:val="center"/>
          </w:tcPr>
          <w:p w14:paraId="4BB1C02B" w14:textId="77777777" w:rsidR="00EE3E1D" w:rsidRDefault="001D6CA2"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549</w:t>
            </w:r>
          </w:p>
          <w:p w14:paraId="051D1EEB" w14:textId="288D3187" w:rsidR="006B6D3F" w:rsidRPr="0017255B" w:rsidRDefault="00142AC8"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saved</w:t>
            </w:r>
          </w:p>
        </w:tc>
        <w:tc>
          <w:tcPr>
            <w:tcW w:w="1296" w:type="dxa"/>
            <w:vAlign w:val="center"/>
          </w:tcPr>
          <w:p w14:paraId="3D36EDE0" w14:textId="77777777" w:rsidR="003A13CB" w:rsidRPr="003A13CB" w:rsidRDefault="003A13CB" w:rsidP="003A13CB">
            <w:pPr>
              <w:pStyle w:val="BodyText"/>
              <w:spacing w:after="10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3A13CB">
              <w:rPr>
                <w:b/>
                <w:bCs/>
              </w:rPr>
              <w:t xml:space="preserve">0.06195 </w:t>
            </w:r>
            <w:r w:rsidRPr="003A13CB">
              <w:t>(LP Gas)</w:t>
            </w:r>
          </w:p>
          <w:p w14:paraId="4937C0F6" w14:textId="7F508B54" w:rsidR="006B6D3F" w:rsidRPr="0017255B" w:rsidRDefault="003A13CB"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3A13CB">
              <w:rPr>
                <w:b/>
                <w:bCs/>
              </w:rPr>
              <w:t xml:space="preserve">0.07420 </w:t>
            </w:r>
            <w:r w:rsidRPr="003A13CB">
              <w:t>(Fuel Oil)</w:t>
            </w:r>
          </w:p>
        </w:tc>
        <w:tc>
          <w:tcPr>
            <w:tcW w:w="1296" w:type="dxa"/>
            <w:vAlign w:val="center"/>
          </w:tcPr>
          <w:p w14:paraId="7AF281EB" w14:textId="7924C210" w:rsidR="006B6D3F" w:rsidRPr="0017255B" w:rsidRDefault="00187767" w:rsidP="003A13C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38.4</w:t>
            </w:r>
          </w:p>
        </w:tc>
      </w:tr>
    </w:tbl>
    <w:p w14:paraId="45DADF6B" w14:textId="77777777" w:rsidR="006B6D3F" w:rsidRDefault="006B6D3F" w:rsidP="006405BD">
      <w:pPr>
        <w:pStyle w:val="BodyText"/>
      </w:pPr>
    </w:p>
    <w:p w14:paraId="4E3FE777" w14:textId="58D9A7F4" w:rsidR="005E6CA2" w:rsidRDefault="00EA17E1" w:rsidP="005E6CA2">
      <w:pPr>
        <w:pStyle w:val="BodyText"/>
      </w:pPr>
      <w:r>
        <w:t>Annual savings in fuel usage was calculated u</w:t>
      </w:r>
      <w:r w:rsidR="005E6CA2">
        <w:t xml:space="preserve">sing annual fuel loss values for </w:t>
      </w:r>
      <w:r>
        <w:t>before and after the project implementation</w:t>
      </w:r>
      <w:r w:rsidR="005E6CA2">
        <w:t xml:space="preserve">. It was indicated that the </w:t>
      </w:r>
      <w:r w:rsidR="00091486">
        <w:t>representative project’s</w:t>
      </w:r>
      <w:r w:rsidR="005E6CA2">
        <w:t xml:space="preserve"> building is heated by a mixture of fuels</w:t>
      </w:r>
      <w:r>
        <w:t xml:space="preserve">; roughly </w:t>
      </w:r>
      <w:r w:rsidR="005E6CA2">
        <w:t xml:space="preserve">35% LP gas and 65% fuel oil. The </w:t>
      </w:r>
      <w:r w:rsidR="006D1073">
        <w:t xml:space="preserve">reduced </w:t>
      </w:r>
      <w:r w:rsidR="005E6CA2">
        <w:t xml:space="preserve">fuel </w:t>
      </w:r>
      <w:r w:rsidR="006D1073">
        <w:t>loss (i.e.</w:t>
      </w:r>
      <w:r w:rsidR="000F3D0C">
        <w:t>,</w:t>
      </w:r>
      <w:r w:rsidR="006D1073">
        <w:t xml:space="preserve"> saved)</w:t>
      </w:r>
      <w:r w:rsidR="00091486">
        <w:t xml:space="preserve"> per project implemented</w:t>
      </w:r>
      <w:r w:rsidR="005E6CA2">
        <w:t xml:space="preserve"> </w:t>
      </w:r>
      <w:r w:rsidR="00C1294F">
        <w:t xml:space="preserve">assumed this </w:t>
      </w:r>
      <w:r w:rsidR="006D1073">
        <w:t xml:space="preserve">same </w:t>
      </w:r>
      <w:r w:rsidR="00C1294F">
        <w:t xml:space="preserve">split </w:t>
      </w:r>
      <w:r w:rsidR="00091486">
        <w:t>to estimate annual GHG emissions reductions</w:t>
      </w:r>
      <w:r w:rsidR="00521EE4">
        <w:t xml:space="preserve"> </w:t>
      </w:r>
      <w:r w:rsidR="00B74AB3">
        <w:t>for</w:t>
      </w:r>
      <w:r w:rsidR="006D1073">
        <w:t xml:space="preserve"> reduced consumption of</w:t>
      </w:r>
      <w:r w:rsidR="00B74AB3">
        <w:t xml:space="preserve"> each fuel. </w:t>
      </w:r>
      <w:r w:rsidR="00521EE4">
        <w:t>E</w:t>
      </w:r>
      <w:r w:rsidR="005E6CA2">
        <w:t>mission factors of CO</w:t>
      </w:r>
      <w:r w:rsidR="005E6CA2" w:rsidRPr="000013A1">
        <w:rPr>
          <w:vertAlign w:val="subscript"/>
        </w:rPr>
        <w:t>2</w:t>
      </w:r>
      <w:r w:rsidR="005E6CA2">
        <w:t xml:space="preserve">e per MMBtu for </w:t>
      </w:r>
      <w:r w:rsidR="00AA66E4">
        <w:t xml:space="preserve">each </w:t>
      </w:r>
      <w:r w:rsidR="00E8362B">
        <w:t>fuel</w:t>
      </w:r>
      <w:r w:rsidR="00AA66E4">
        <w:t xml:space="preserve"> were</w:t>
      </w:r>
      <w:r w:rsidR="005E6CA2">
        <w:t xml:space="preserve"> </w:t>
      </w:r>
      <w:r w:rsidR="00E8362B">
        <w:t xml:space="preserve">used </w:t>
      </w:r>
      <w:r w:rsidR="005E6CA2">
        <w:t>from the EPA’s Center for Corporate Climate Leadership</w:t>
      </w:r>
      <w:r w:rsidR="00B74AB3">
        <w:t xml:space="preserve"> and are shown in Table </w:t>
      </w:r>
      <w:r w:rsidR="00C9750B">
        <w:t>8</w:t>
      </w:r>
      <w:r w:rsidR="00B74AB3">
        <w:t>.</w:t>
      </w:r>
      <w:r w:rsidR="005E6CA2">
        <w:rPr>
          <w:rStyle w:val="FootnoteReference"/>
        </w:rPr>
        <w:footnoteReference w:id="11"/>
      </w:r>
      <w:r w:rsidR="005E6CA2">
        <w:t xml:space="preserve"> </w:t>
      </w:r>
    </w:p>
    <w:p w14:paraId="49C70320" w14:textId="4616EC9C" w:rsidR="003E4CC6" w:rsidRDefault="008A57DC" w:rsidP="003E4CC6">
      <w:pPr>
        <w:pStyle w:val="BodyText"/>
      </w:pPr>
      <w:r>
        <w:t xml:space="preserve">Based on the representative project’s grant funding received and the $380,000 share of total Program funds assumed to be allocated for insulation installations, </w:t>
      </w:r>
      <w:r w:rsidR="00240C93">
        <w:t>more than 16</w:t>
      </w:r>
      <w:r>
        <w:t xml:space="preserve"> similar projects were assumed to be implemented, with 20% added in each year </w:t>
      </w:r>
      <w:r w:rsidR="00CA52D3">
        <w:t xml:space="preserve">from </w:t>
      </w:r>
      <w:r>
        <w:t>2025</w:t>
      </w:r>
      <w:r w:rsidR="00CA52D3">
        <w:t>-</w:t>
      </w:r>
      <w:r>
        <w:t xml:space="preserve">2029. The roughly </w:t>
      </w:r>
      <w:r w:rsidR="00CA52D3">
        <w:t>three</w:t>
      </w:r>
      <w:r>
        <w:t xml:space="preserve"> projects added in each year save </w:t>
      </w:r>
      <w:r w:rsidR="00187767">
        <w:t>nearly 125 MT</w:t>
      </w:r>
      <w:r>
        <w:t xml:space="preserve"> CO</w:t>
      </w:r>
      <w:r w:rsidRPr="00887E25">
        <w:rPr>
          <w:vertAlign w:val="subscript"/>
        </w:rPr>
        <w:t>2</w:t>
      </w:r>
      <w:r>
        <w:t xml:space="preserve">e in the year implemented and each year thereafter. Total cumulative GHG emissions reductions for this measure contributing to the Program’s total impact are shown in Table 1, with annual reductions detailed in </w:t>
      </w:r>
      <w:r w:rsidR="00464CD5">
        <w:t>Table 2</w:t>
      </w:r>
      <w:r w:rsidR="003E4CC6">
        <w:t>.</w:t>
      </w:r>
    </w:p>
    <w:p w14:paraId="29A51361" w14:textId="0C75B86E" w:rsidR="00A03D36" w:rsidRDefault="00716C66" w:rsidP="00A03D36">
      <w:pPr>
        <w:pStyle w:val="Heading2"/>
        <w:numPr>
          <w:ilvl w:val="0"/>
          <w:numId w:val="0"/>
        </w:numPr>
        <w:ind w:left="794" w:hanging="794"/>
      </w:pPr>
      <w:r>
        <w:lastRenderedPageBreak/>
        <w:t xml:space="preserve">Measure 5: </w:t>
      </w:r>
      <w:r w:rsidR="00E12770">
        <w:t>Window Upgr</w:t>
      </w:r>
      <w:r w:rsidR="008456F7">
        <w:t>ade</w:t>
      </w:r>
      <w:r w:rsidR="00E12770">
        <w:t>s</w:t>
      </w:r>
    </w:p>
    <w:p w14:paraId="1B04635F" w14:textId="787FFE3A" w:rsidR="007F646D" w:rsidRDefault="00486BBB" w:rsidP="001A0CB8">
      <w:pPr>
        <w:pStyle w:val="BodyText"/>
      </w:pPr>
      <w:r>
        <w:t xml:space="preserve">In addition to the </w:t>
      </w:r>
      <w:r w:rsidR="00014F05">
        <w:t xml:space="preserve">representative projects for </w:t>
      </w:r>
      <w:r>
        <w:t>HVAC upgrade</w:t>
      </w:r>
      <w:r w:rsidR="00014F05">
        <w:t>s</w:t>
      </w:r>
      <w:r w:rsidR="009637B8">
        <w:t xml:space="preserve"> and LED lighting installations</w:t>
      </w:r>
      <w:r>
        <w:t xml:space="preserve"> described above, </w:t>
      </w:r>
      <w:r w:rsidR="00AE31BC">
        <w:t xml:space="preserve">the </w:t>
      </w:r>
      <w:r>
        <w:t xml:space="preserve">Cooperstown City Hall </w:t>
      </w:r>
      <w:r w:rsidR="00A915A4">
        <w:t>also received grant funding to upgrade six</w:t>
      </w:r>
      <w:r w:rsidR="006032BC">
        <w:t xml:space="preserve"> existing</w:t>
      </w:r>
      <w:r w:rsidR="00AE31BC">
        <w:t xml:space="preserve"> windows </w:t>
      </w:r>
      <w:r w:rsidR="006032BC">
        <w:t xml:space="preserve">to new windows </w:t>
      </w:r>
      <w:r w:rsidR="00B42A80">
        <w:t>providing</w:t>
      </w:r>
      <w:r w:rsidR="006032BC">
        <w:t xml:space="preserve"> better insulati</w:t>
      </w:r>
      <w:r w:rsidR="00B42A80">
        <w:t xml:space="preserve">on </w:t>
      </w:r>
      <w:r w:rsidR="000D2FDF">
        <w:t>in 2020</w:t>
      </w:r>
      <w:r w:rsidR="006032BC">
        <w:t>.</w:t>
      </w:r>
      <w:r w:rsidR="005B63B9">
        <w:t xml:space="preserve"> T</w:t>
      </w:r>
      <w:r w:rsidR="0063695A">
        <w:t xml:space="preserve">he grant </w:t>
      </w:r>
      <w:r w:rsidR="00C9551F">
        <w:t xml:space="preserve">recipient provided the R-value of the existing windows </w:t>
      </w:r>
      <w:r w:rsidR="0083274A">
        <w:t>and</w:t>
      </w:r>
      <w:r w:rsidR="00C9551F">
        <w:t xml:space="preserve"> the </w:t>
      </w:r>
      <w:r w:rsidR="0083274A">
        <w:t xml:space="preserve">anticipated </w:t>
      </w:r>
      <w:r w:rsidR="009075C4">
        <w:t>improved R-value of the new windows. T</w:t>
      </w:r>
      <w:r w:rsidR="00C9551F">
        <w:t>he higher the R-value, the better insulation from the windows</w:t>
      </w:r>
      <w:r w:rsidR="00D257D8">
        <w:t xml:space="preserve">, allowing better </w:t>
      </w:r>
      <w:r w:rsidR="00AF24C2">
        <w:t xml:space="preserve">temperature </w:t>
      </w:r>
      <w:r w:rsidR="00D257D8">
        <w:t xml:space="preserve">regulation, resulting in reduced fuel use for </w:t>
      </w:r>
      <w:r w:rsidR="00DC339F">
        <w:t>heating and cooling</w:t>
      </w:r>
      <w:r w:rsidR="009E08B1">
        <w:t>.</w:t>
      </w:r>
      <w:r w:rsidR="0083274A">
        <w:t xml:space="preserve"> </w:t>
      </w:r>
      <w:r w:rsidR="00280BA1">
        <w:t>W</w:t>
      </w:r>
      <w:r w:rsidR="007949F9">
        <w:t xml:space="preserve">indow upgrades also </w:t>
      </w:r>
      <w:r w:rsidR="00280BA1">
        <w:t>result in</w:t>
      </w:r>
      <w:r w:rsidR="003B799E">
        <w:t xml:space="preserve"> infiltration improvements, </w:t>
      </w:r>
      <w:r w:rsidR="000C03CB">
        <w:t xml:space="preserve">which reduce the amount of air that </w:t>
      </w:r>
      <w:r w:rsidR="00280BA1">
        <w:t>can</w:t>
      </w:r>
      <w:r w:rsidR="000C03CB">
        <w:t xml:space="preserve"> pass through the windows. </w:t>
      </w:r>
      <w:r w:rsidR="000E6E6A">
        <w:t xml:space="preserve">The grant recipient provided the </w:t>
      </w:r>
      <w:r w:rsidR="006158FD">
        <w:t xml:space="preserve">heat loss saved for both the </w:t>
      </w:r>
      <w:r w:rsidR="009E659F">
        <w:t xml:space="preserve">R-value and </w:t>
      </w:r>
      <w:r w:rsidR="006158FD">
        <w:t>infiltration condition improvement</w:t>
      </w:r>
      <w:r w:rsidR="009E659F">
        <w:t>s, as well as project cost</w:t>
      </w:r>
      <w:r w:rsidR="0019482C">
        <w:t>, as shown below in Table</w:t>
      </w:r>
      <w:r w:rsidR="005652CB">
        <w:t xml:space="preserve"> </w:t>
      </w:r>
      <w:r w:rsidR="00464CD5">
        <w:t>9</w:t>
      </w:r>
      <w:r w:rsidR="0019482C">
        <w:t xml:space="preserve">. </w:t>
      </w:r>
      <w:proofErr w:type="gramStart"/>
      <w:r w:rsidR="0010495D">
        <w:t>In reality, window</w:t>
      </w:r>
      <w:proofErr w:type="gramEnd"/>
      <w:r w:rsidR="0010495D">
        <w:t xml:space="preserve"> upgrade costs, size, efficiency, and fuel savings compared to older models will all vary by project, though this example was used as a representative average for the analysis. </w:t>
      </w:r>
    </w:p>
    <w:p w14:paraId="3B5C912B" w14:textId="6148E3F0" w:rsidR="005652CB" w:rsidRDefault="005652CB" w:rsidP="001A0CB8">
      <w:pPr>
        <w:pStyle w:val="BodyText"/>
      </w:pPr>
      <w:r>
        <w:t>To estimate annual GHG emissions reductions, this representative project’s estimated fuel savings was multiplied by the emission factor of CO</w:t>
      </w:r>
      <w:r w:rsidRPr="000013A1">
        <w:rPr>
          <w:vertAlign w:val="subscript"/>
        </w:rPr>
        <w:t>2</w:t>
      </w:r>
      <w:r>
        <w:t xml:space="preserve">e per MMBtu for natural gas from the EPA’s Center for Corporate Climate Leadership, shown in Table </w:t>
      </w:r>
      <w:r w:rsidR="00464CD5">
        <w:t>9</w:t>
      </w:r>
      <w:r>
        <w:t>.</w:t>
      </w:r>
      <w:r>
        <w:rPr>
          <w:rStyle w:val="FootnoteReference"/>
        </w:rPr>
        <w:footnoteReference w:id="12"/>
      </w:r>
      <w:r>
        <w:t xml:space="preserve"> </w:t>
      </w:r>
    </w:p>
    <w:p w14:paraId="37932DF4" w14:textId="445D6B8B" w:rsidR="000F6049" w:rsidRPr="009F4524" w:rsidRDefault="00E716D3" w:rsidP="009F4524">
      <w:pPr>
        <w:pStyle w:val="BodyText"/>
        <w:spacing w:before="80" w:after="40" w:line="240" w:lineRule="auto"/>
        <w:rPr>
          <w:b/>
        </w:rPr>
      </w:pPr>
      <w:r w:rsidRPr="009F4524">
        <w:rPr>
          <w:b/>
        </w:rPr>
        <w:t xml:space="preserve">Table </w:t>
      </w:r>
      <w:r w:rsidR="00464CD5">
        <w:rPr>
          <w:b/>
        </w:rPr>
        <w:t>9</w:t>
      </w:r>
      <w:r w:rsidRPr="009F4524">
        <w:rPr>
          <w:b/>
        </w:rPr>
        <w:t xml:space="preserve">. </w:t>
      </w:r>
      <w:r w:rsidR="0019482C" w:rsidRPr="009F4524">
        <w:rPr>
          <w:b/>
        </w:rPr>
        <w:t xml:space="preserve">Window Upgrades </w:t>
      </w:r>
      <w:r w:rsidR="000F6049" w:rsidRPr="009F4524">
        <w:rPr>
          <w:b/>
        </w:rPr>
        <w:t xml:space="preserve">– Representative Project Information </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1639"/>
        <w:gridCol w:w="1292"/>
        <w:gridCol w:w="1216"/>
        <w:gridCol w:w="1216"/>
        <w:gridCol w:w="1360"/>
        <w:gridCol w:w="1296"/>
        <w:gridCol w:w="1296"/>
      </w:tblGrid>
      <w:tr w:rsidR="0017255B" w14:paraId="5EA4F41D" w14:textId="77777777" w:rsidTr="00B928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9" w:type="dxa"/>
          </w:tcPr>
          <w:p w14:paraId="755A321F" w14:textId="77777777" w:rsidR="0017255B" w:rsidRDefault="0017255B" w:rsidP="0017255B">
            <w:pPr>
              <w:pStyle w:val="BodyText"/>
              <w:spacing w:after="0" w:line="240" w:lineRule="auto"/>
              <w:jc w:val="center"/>
            </w:pPr>
          </w:p>
        </w:tc>
        <w:tc>
          <w:tcPr>
            <w:tcW w:w="1292" w:type="dxa"/>
          </w:tcPr>
          <w:p w14:paraId="2041BF82" w14:textId="77777777" w:rsidR="0017255B"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Grant Funding Received</w:t>
            </w:r>
          </w:p>
          <w:p w14:paraId="155C959A" w14:textId="77777777" w:rsidR="0017255B" w:rsidRPr="00A45044"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A45044">
              <w:rPr>
                <w:b w:val="0"/>
              </w:rPr>
              <w:t>($)</w:t>
            </w:r>
          </w:p>
        </w:tc>
        <w:tc>
          <w:tcPr>
            <w:tcW w:w="1216" w:type="dxa"/>
          </w:tcPr>
          <w:p w14:paraId="16B2C5E6" w14:textId="356B5C81" w:rsidR="0017255B" w:rsidRDefault="00026DDE"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Pr>
                <w:bCs/>
              </w:rPr>
              <w:t>Before Project</w:t>
            </w:r>
          </w:p>
        </w:tc>
        <w:tc>
          <w:tcPr>
            <w:tcW w:w="1216" w:type="dxa"/>
          </w:tcPr>
          <w:p w14:paraId="38361CD2" w14:textId="31973BAB" w:rsidR="0017255B" w:rsidRDefault="00026DDE" w:rsidP="00B92877">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Pr>
                <w:bCs/>
              </w:rPr>
              <w:t>After Project</w:t>
            </w:r>
          </w:p>
        </w:tc>
        <w:tc>
          <w:tcPr>
            <w:tcW w:w="1360" w:type="dxa"/>
          </w:tcPr>
          <w:p w14:paraId="1BE3F157" w14:textId="6FAF6EAF" w:rsidR="0017255B"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Fuel Savings</w:t>
            </w:r>
          </w:p>
          <w:p w14:paraId="12AE5985" w14:textId="77777777" w:rsidR="0017255B" w:rsidRPr="00C24104"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C24104">
              <w:rPr>
                <w:b w:val="0"/>
              </w:rPr>
              <w:t>(MMBtu)</w:t>
            </w:r>
          </w:p>
        </w:tc>
        <w:tc>
          <w:tcPr>
            <w:tcW w:w="1296" w:type="dxa"/>
          </w:tcPr>
          <w:p w14:paraId="45ACFEA9" w14:textId="77777777" w:rsidR="0017255B"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 xml:space="preserve">Emission </w:t>
            </w:r>
          </w:p>
          <w:p w14:paraId="18B26DD7" w14:textId="77777777" w:rsidR="0017255B"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Factor</w:t>
            </w:r>
          </w:p>
          <w:p w14:paraId="102C9FC9" w14:textId="4C26EA81" w:rsidR="0017255B" w:rsidRPr="001B386C"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sidRPr="001B386C">
              <w:rPr>
                <w:b w:val="0"/>
                <w:bCs/>
              </w:rPr>
              <w:t>(</w:t>
            </w:r>
            <w:r>
              <w:rPr>
                <w:b w:val="0"/>
                <w:bCs/>
              </w:rPr>
              <w:t>MT CO</w:t>
            </w:r>
            <w:r w:rsidRPr="00D36BD0">
              <w:rPr>
                <w:b w:val="0"/>
                <w:bCs/>
                <w:vertAlign w:val="subscript"/>
              </w:rPr>
              <w:t>2</w:t>
            </w:r>
            <w:r w:rsidRPr="00D36BD0">
              <w:rPr>
                <w:b w:val="0"/>
                <w:bCs/>
              </w:rPr>
              <w:t>e</w:t>
            </w:r>
            <w:r>
              <w:rPr>
                <w:b w:val="0"/>
                <w:bCs/>
              </w:rPr>
              <w:t>/ MMBtu</w:t>
            </w:r>
            <w:r w:rsidRPr="001B386C">
              <w:rPr>
                <w:b w:val="0"/>
                <w:bCs/>
              </w:rPr>
              <w:t>)</w:t>
            </w:r>
          </w:p>
        </w:tc>
        <w:tc>
          <w:tcPr>
            <w:tcW w:w="1296" w:type="dxa"/>
          </w:tcPr>
          <w:p w14:paraId="1AFA8ADC" w14:textId="77777777" w:rsidR="0017255B"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bCs/>
              </w:rPr>
            </w:pPr>
            <w:r>
              <w:rPr>
                <w:bCs/>
              </w:rPr>
              <w:t>Annual GHG Savings</w:t>
            </w:r>
          </w:p>
          <w:p w14:paraId="18ADCD2D" w14:textId="77777777" w:rsidR="0017255B" w:rsidRPr="00D44221" w:rsidRDefault="0017255B" w:rsidP="0017255B">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D44221">
              <w:rPr>
                <w:b w:val="0"/>
              </w:rPr>
              <w:t>(MT CO</w:t>
            </w:r>
            <w:r w:rsidRPr="00D44221">
              <w:rPr>
                <w:b w:val="0"/>
                <w:vertAlign w:val="subscript"/>
              </w:rPr>
              <w:t>2</w:t>
            </w:r>
            <w:r w:rsidRPr="00D44221">
              <w:rPr>
                <w:b w:val="0"/>
              </w:rPr>
              <w:t>e)</w:t>
            </w:r>
          </w:p>
        </w:tc>
      </w:tr>
      <w:tr w:rsidR="0017255B" w14:paraId="0F08D399" w14:textId="77777777" w:rsidTr="00B928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9" w:type="dxa"/>
            <w:vAlign w:val="center"/>
          </w:tcPr>
          <w:p w14:paraId="21A46349" w14:textId="102EFA5C" w:rsidR="0017255B" w:rsidRDefault="0017255B" w:rsidP="0017255B">
            <w:pPr>
              <w:pStyle w:val="BodyText"/>
              <w:spacing w:after="0" w:line="240" w:lineRule="auto"/>
            </w:pPr>
            <w:r>
              <w:t>R-value Improvement</w:t>
            </w:r>
          </w:p>
        </w:tc>
        <w:tc>
          <w:tcPr>
            <w:tcW w:w="1292" w:type="dxa"/>
            <w:vAlign w:val="center"/>
          </w:tcPr>
          <w:p w14:paraId="3A819E98" w14:textId="1B96FCB8" w:rsidR="0017255B" w:rsidRDefault="00B92877" w:rsidP="00B92877">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p>
        </w:tc>
        <w:tc>
          <w:tcPr>
            <w:tcW w:w="1216" w:type="dxa"/>
            <w:vAlign w:val="center"/>
          </w:tcPr>
          <w:p w14:paraId="23197F48" w14:textId="3A65BE36" w:rsidR="0017255B" w:rsidRDefault="0017255B" w:rsidP="00B92877">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1.00</w:t>
            </w:r>
          </w:p>
        </w:tc>
        <w:tc>
          <w:tcPr>
            <w:tcW w:w="1216" w:type="dxa"/>
            <w:vAlign w:val="center"/>
          </w:tcPr>
          <w:p w14:paraId="4FCE2936" w14:textId="6C3EF402" w:rsidR="0017255B" w:rsidRDefault="0017255B" w:rsidP="00B92877">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3.00</w:t>
            </w:r>
          </w:p>
        </w:tc>
        <w:tc>
          <w:tcPr>
            <w:tcW w:w="1360" w:type="dxa"/>
            <w:vAlign w:val="center"/>
          </w:tcPr>
          <w:p w14:paraId="19ADF41B" w14:textId="594C7DC8" w:rsidR="0017255B" w:rsidRDefault="005F6796" w:rsidP="00B92877">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23.13</w:t>
            </w:r>
          </w:p>
        </w:tc>
        <w:tc>
          <w:tcPr>
            <w:tcW w:w="1296" w:type="dxa"/>
            <w:vAlign w:val="center"/>
          </w:tcPr>
          <w:p w14:paraId="417A5CD7" w14:textId="3FC53433" w:rsidR="0017255B" w:rsidRDefault="00B92877" w:rsidP="00B92877">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p>
        </w:tc>
        <w:tc>
          <w:tcPr>
            <w:tcW w:w="1296" w:type="dxa"/>
            <w:vAlign w:val="center"/>
          </w:tcPr>
          <w:p w14:paraId="0E488451" w14:textId="6EA3428A" w:rsidR="0017255B" w:rsidRDefault="00B92877" w:rsidP="00B92877">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p>
        </w:tc>
      </w:tr>
      <w:tr w:rsidR="0017255B" w14:paraId="19405F05" w14:textId="77777777" w:rsidTr="00B92877">
        <w:trPr>
          <w:jc w:val="center"/>
        </w:trPr>
        <w:tc>
          <w:tcPr>
            <w:cnfStyle w:val="001000000000" w:firstRow="0" w:lastRow="0" w:firstColumn="1" w:lastColumn="0" w:oddVBand="0" w:evenVBand="0" w:oddHBand="0" w:evenHBand="0" w:firstRowFirstColumn="0" w:firstRowLastColumn="0" w:lastRowFirstColumn="0" w:lastRowLastColumn="0"/>
            <w:tcW w:w="1639" w:type="dxa"/>
            <w:vAlign w:val="center"/>
          </w:tcPr>
          <w:p w14:paraId="0916FDEC" w14:textId="7547685F" w:rsidR="0017255B" w:rsidRDefault="0017255B" w:rsidP="0017255B">
            <w:pPr>
              <w:pStyle w:val="BodyText"/>
              <w:spacing w:after="0" w:line="240" w:lineRule="auto"/>
            </w:pPr>
            <w:r>
              <w:t>Infiltration Condition Improvement</w:t>
            </w:r>
          </w:p>
        </w:tc>
        <w:tc>
          <w:tcPr>
            <w:tcW w:w="1292" w:type="dxa"/>
            <w:vAlign w:val="center"/>
          </w:tcPr>
          <w:p w14:paraId="5217F291" w14:textId="0A69DD0A" w:rsidR="0017255B" w:rsidRDefault="00B92877" w:rsidP="00B92877">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p>
        </w:tc>
        <w:tc>
          <w:tcPr>
            <w:tcW w:w="1216" w:type="dxa"/>
            <w:vAlign w:val="center"/>
          </w:tcPr>
          <w:p w14:paraId="0BD66D25" w14:textId="4623DB20" w:rsidR="0017255B" w:rsidRDefault="0017255B" w:rsidP="00B92877">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0.25</w:t>
            </w:r>
          </w:p>
        </w:tc>
        <w:tc>
          <w:tcPr>
            <w:tcW w:w="1216" w:type="dxa"/>
            <w:vAlign w:val="center"/>
          </w:tcPr>
          <w:p w14:paraId="37EDF793" w14:textId="689A31C4" w:rsidR="0017255B" w:rsidRDefault="0017255B" w:rsidP="00B92877">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0.01</w:t>
            </w:r>
          </w:p>
        </w:tc>
        <w:tc>
          <w:tcPr>
            <w:tcW w:w="1360" w:type="dxa"/>
            <w:vAlign w:val="center"/>
          </w:tcPr>
          <w:p w14:paraId="7BC1887A" w14:textId="730519F7" w:rsidR="0017255B" w:rsidRDefault="005F6796" w:rsidP="00B92877">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8.99</w:t>
            </w:r>
          </w:p>
        </w:tc>
        <w:tc>
          <w:tcPr>
            <w:tcW w:w="1296" w:type="dxa"/>
            <w:vAlign w:val="center"/>
          </w:tcPr>
          <w:p w14:paraId="4A9DAE6D" w14:textId="0B704F6A" w:rsidR="0017255B" w:rsidRDefault="00B92877" w:rsidP="00B92877">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p>
        </w:tc>
        <w:tc>
          <w:tcPr>
            <w:tcW w:w="1296" w:type="dxa"/>
            <w:vAlign w:val="center"/>
          </w:tcPr>
          <w:p w14:paraId="1E395A0D" w14:textId="083C8858" w:rsidR="0017255B" w:rsidRDefault="00B92877" w:rsidP="00B92877">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p>
        </w:tc>
      </w:tr>
      <w:tr w:rsidR="0017255B" w14:paraId="2DB1CA36" w14:textId="77777777" w:rsidTr="00B928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39" w:type="dxa"/>
            <w:vAlign w:val="center"/>
          </w:tcPr>
          <w:p w14:paraId="7935E249" w14:textId="77777777" w:rsidR="0017255B" w:rsidRPr="0017255B" w:rsidRDefault="0017255B" w:rsidP="0017255B">
            <w:pPr>
              <w:pStyle w:val="BodyText"/>
              <w:spacing w:after="0" w:line="240" w:lineRule="auto"/>
              <w:rPr>
                <w:b/>
                <w:bCs/>
              </w:rPr>
            </w:pPr>
            <w:r w:rsidRPr="0017255B">
              <w:rPr>
                <w:b/>
                <w:bCs/>
              </w:rPr>
              <w:t>Project</w:t>
            </w:r>
          </w:p>
        </w:tc>
        <w:tc>
          <w:tcPr>
            <w:tcW w:w="1292" w:type="dxa"/>
          </w:tcPr>
          <w:p w14:paraId="2336FDFC" w14:textId="406C4500" w:rsidR="0017255B" w:rsidRPr="0017255B" w:rsidRDefault="0017255B" w:rsidP="0017255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17255B">
              <w:rPr>
                <w:b/>
                <w:bCs/>
              </w:rPr>
              <w:t>$</w:t>
            </w:r>
            <w:r w:rsidR="005F6796" w:rsidRPr="005F6796">
              <w:rPr>
                <w:b/>
                <w:bCs/>
              </w:rPr>
              <w:t>14,204</w:t>
            </w:r>
          </w:p>
        </w:tc>
        <w:tc>
          <w:tcPr>
            <w:tcW w:w="1216" w:type="dxa"/>
          </w:tcPr>
          <w:p w14:paraId="7A55F14F" w14:textId="1A5172F8" w:rsidR="0017255B" w:rsidRPr="0017255B" w:rsidRDefault="00B92877" w:rsidP="0017255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w:t>
            </w:r>
          </w:p>
        </w:tc>
        <w:tc>
          <w:tcPr>
            <w:tcW w:w="1216" w:type="dxa"/>
          </w:tcPr>
          <w:p w14:paraId="7FB1C277" w14:textId="41B45F9F" w:rsidR="0017255B" w:rsidRPr="0017255B" w:rsidRDefault="00B92877" w:rsidP="0017255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Pr>
                <w:b/>
                <w:bCs/>
              </w:rPr>
              <w:t>-</w:t>
            </w:r>
          </w:p>
        </w:tc>
        <w:tc>
          <w:tcPr>
            <w:tcW w:w="1360" w:type="dxa"/>
            <w:vAlign w:val="center"/>
          </w:tcPr>
          <w:p w14:paraId="0FBA82F1" w14:textId="6A6A5481" w:rsidR="0017255B" w:rsidRPr="0017255B" w:rsidRDefault="0017255B" w:rsidP="0017255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17255B">
              <w:rPr>
                <w:b/>
                <w:bCs/>
              </w:rPr>
              <w:t>3</w:t>
            </w:r>
            <w:r w:rsidR="005F6796">
              <w:rPr>
                <w:b/>
                <w:bCs/>
              </w:rPr>
              <w:t>2.12</w:t>
            </w:r>
          </w:p>
        </w:tc>
        <w:tc>
          <w:tcPr>
            <w:tcW w:w="1296" w:type="dxa"/>
            <w:vAlign w:val="center"/>
          </w:tcPr>
          <w:p w14:paraId="013E1B97" w14:textId="77777777" w:rsidR="0017255B" w:rsidRPr="0017255B" w:rsidRDefault="0017255B" w:rsidP="0017255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17255B">
              <w:rPr>
                <w:b/>
                <w:bCs/>
              </w:rPr>
              <w:t>0.05311</w:t>
            </w:r>
          </w:p>
        </w:tc>
        <w:tc>
          <w:tcPr>
            <w:tcW w:w="1296" w:type="dxa"/>
          </w:tcPr>
          <w:p w14:paraId="46B520A2" w14:textId="62CB3C84" w:rsidR="0017255B" w:rsidRPr="0017255B" w:rsidRDefault="0017255B" w:rsidP="0017255B">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rPr>
                <w:b/>
                <w:bCs/>
              </w:rPr>
            </w:pPr>
            <w:r w:rsidRPr="0017255B">
              <w:rPr>
                <w:b/>
                <w:bCs/>
              </w:rPr>
              <w:t>1.7</w:t>
            </w:r>
          </w:p>
        </w:tc>
      </w:tr>
    </w:tbl>
    <w:p w14:paraId="469A3B88" w14:textId="77777777" w:rsidR="00FF6513" w:rsidRDefault="00FF6513" w:rsidP="003F5443">
      <w:pPr>
        <w:pStyle w:val="BodyText"/>
      </w:pPr>
    </w:p>
    <w:p w14:paraId="34C0927F" w14:textId="71BC68E0" w:rsidR="00C74592" w:rsidRDefault="00F36F7D" w:rsidP="00B93425">
      <w:pPr>
        <w:pStyle w:val="BodyText"/>
      </w:pPr>
      <w:r>
        <w:t>Based on the representative project’s grant funding received and the $</w:t>
      </w:r>
      <w:r w:rsidRPr="00F36F7D">
        <w:t>190,000</w:t>
      </w:r>
      <w:r>
        <w:t xml:space="preserve"> share of total </w:t>
      </w:r>
      <w:r w:rsidR="00591ED9">
        <w:t>p</w:t>
      </w:r>
      <w:r>
        <w:t xml:space="preserve">rogram funds assumed to be allocated for window upgrades, more than 13 similar projects were assumed to be implemented, with 20% added in each year </w:t>
      </w:r>
      <w:r w:rsidR="00591ED9">
        <w:t xml:space="preserve">from </w:t>
      </w:r>
      <w:r>
        <w:t>2025</w:t>
      </w:r>
      <w:r w:rsidR="00591ED9">
        <w:t>-</w:t>
      </w:r>
      <w:r>
        <w:t xml:space="preserve">2029. The </w:t>
      </w:r>
      <w:r w:rsidR="007B795D">
        <w:t xml:space="preserve">nearly </w:t>
      </w:r>
      <w:r w:rsidR="00591ED9">
        <w:t>three</w:t>
      </w:r>
      <w:r>
        <w:t xml:space="preserve"> projects added in each year save over </w:t>
      </w:r>
      <w:r w:rsidR="00A04F0D">
        <w:t>4.5</w:t>
      </w:r>
      <w:r>
        <w:t xml:space="preserve"> MT CO</w:t>
      </w:r>
      <w:r w:rsidRPr="00887E25">
        <w:rPr>
          <w:vertAlign w:val="subscript"/>
        </w:rPr>
        <w:t>2</w:t>
      </w:r>
      <w:r>
        <w:t xml:space="preserve">e in the year implemented and each year thereafter. Total cumulative GHG emissions reductions for this measure contributing to the </w:t>
      </w:r>
      <w:r w:rsidR="00591ED9">
        <w:t>expanded p</w:t>
      </w:r>
      <w:r>
        <w:t xml:space="preserve">rogram’s total impact are shown in Table 1, with annual reductions detailed in </w:t>
      </w:r>
      <w:r w:rsidR="00AA7287">
        <w:t>Table 2</w:t>
      </w:r>
      <w:r w:rsidR="00CC5E3B">
        <w:t>.</w:t>
      </w:r>
    </w:p>
    <w:p w14:paraId="4C30232D" w14:textId="64105DEC" w:rsidR="009F4524" w:rsidRDefault="009F4524" w:rsidP="009F4524">
      <w:pPr>
        <w:pStyle w:val="Heading1"/>
        <w:numPr>
          <w:ilvl w:val="0"/>
          <w:numId w:val="0"/>
        </w:numPr>
        <w:ind w:left="794" w:hanging="794"/>
      </w:pPr>
      <w:r>
        <w:t>Cost</w:t>
      </w:r>
      <w:r w:rsidR="00591ED9">
        <w:t>-</w:t>
      </w:r>
      <w:r>
        <w:t>Effectiveness of GHG Emissions Reductions</w:t>
      </w:r>
    </w:p>
    <w:p w14:paraId="59062C7B" w14:textId="1900988A" w:rsidR="009F4524" w:rsidRDefault="009F4524" w:rsidP="009F4524">
      <w:pPr>
        <w:pStyle w:val="BodyText"/>
      </w:pPr>
      <w:r>
        <w:t xml:space="preserve">Table </w:t>
      </w:r>
      <w:r w:rsidR="00AA7287">
        <w:t>10</w:t>
      </w:r>
      <w:r>
        <w:t xml:space="preserve"> below includes information regarding the cost effectiveness of the </w:t>
      </w:r>
      <w:r w:rsidR="00494F54">
        <w:t>p</w:t>
      </w:r>
      <w:r>
        <w:t xml:space="preserve">rogram’s GHG reductions. These dollar per MT CO2e values were calculated based on the </w:t>
      </w:r>
      <w:r w:rsidR="00CA2D4B">
        <w:t xml:space="preserve">additional </w:t>
      </w:r>
      <w:r>
        <w:t>funds requested divided by the cumulative GHG emissions reduced from 2025</w:t>
      </w:r>
      <w:r w:rsidR="00CA2D4B">
        <w:t>-</w:t>
      </w:r>
      <w:r>
        <w:t>2030 and 2025</w:t>
      </w:r>
      <w:r w:rsidR="00CA2D4B">
        <w:t>-</w:t>
      </w:r>
      <w:r>
        <w:t>2050.</w:t>
      </w:r>
    </w:p>
    <w:p w14:paraId="7444EF7E" w14:textId="77777777" w:rsidR="00AD195A" w:rsidRDefault="00AD195A" w:rsidP="009F4524">
      <w:pPr>
        <w:pStyle w:val="BodyText"/>
      </w:pPr>
    </w:p>
    <w:p w14:paraId="303365FB" w14:textId="77777777" w:rsidR="00AD195A" w:rsidRDefault="00AD195A" w:rsidP="009F4524">
      <w:pPr>
        <w:pStyle w:val="BodyText"/>
      </w:pPr>
    </w:p>
    <w:p w14:paraId="69800532" w14:textId="46E8B422" w:rsidR="009F4524" w:rsidRPr="009F4524" w:rsidRDefault="009F4524" w:rsidP="009F4524">
      <w:pPr>
        <w:pStyle w:val="BodyText"/>
        <w:spacing w:before="80" w:after="40" w:line="240" w:lineRule="auto"/>
        <w:rPr>
          <w:b/>
          <w:bCs/>
        </w:rPr>
      </w:pPr>
      <w:r w:rsidRPr="009F4524">
        <w:rPr>
          <w:b/>
          <w:bCs/>
        </w:rPr>
        <w:t xml:space="preserve">Table </w:t>
      </w:r>
      <w:r w:rsidR="00AA7287">
        <w:rPr>
          <w:b/>
          <w:bCs/>
        </w:rPr>
        <w:t>10</w:t>
      </w:r>
      <w:r w:rsidRPr="009F4524">
        <w:rPr>
          <w:b/>
          <w:bCs/>
        </w:rPr>
        <w:t xml:space="preserve">. </w:t>
      </w:r>
      <w:r w:rsidR="009F2711">
        <w:rPr>
          <w:b/>
          <w:bCs/>
        </w:rPr>
        <w:t>Cost Effectiveness</w:t>
      </w:r>
      <w:r w:rsidRPr="009F4524">
        <w:rPr>
          <w:b/>
          <w:bCs/>
        </w:rPr>
        <w:t xml:space="preserve"> </w:t>
      </w:r>
    </w:p>
    <w:tbl>
      <w:tblPr>
        <w:tblStyle w:val="ERMTable1"/>
        <w:tblW w:w="0" w:type="auto"/>
        <w:jc w:val="center"/>
        <w:tblCellMar>
          <w:top w:w="43" w:type="dxa"/>
          <w:left w:w="72" w:type="dxa"/>
          <w:bottom w:w="43" w:type="dxa"/>
          <w:right w:w="72" w:type="dxa"/>
        </w:tblCellMar>
        <w:tblLook w:val="04A0" w:firstRow="1" w:lastRow="0" w:firstColumn="1" w:lastColumn="0" w:noHBand="0" w:noVBand="1"/>
      </w:tblPr>
      <w:tblGrid>
        <w:gridCol w:w="4752"/>
        <w:gridCol w:w="2016"/>
        <w:gridCol w:w="2016"/>
      </w:tblGrid>
      <w:tr w:rsidR="00A761E8" w14:paraId="5114817E" w14:textId="77777777" w:rsidTr="0010415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52" w:type="dxa"/>
          </w:tcPr>
          <w:p w14:paraId="6F54391C" w14:textId="15F6A489" w:rsidR="00A01CF7" w:rsidRDefault="00104155" w:rsidP="00750FE7">
            <w:pPr>
              <w:pStyle w:val="BodyText"/>
              <w:spacing w:after="0" w:line="240" w:lineRule="auto"/>
              <w:jc w:val="center"/>
            </w:pPr>
            <w:r>
              <w:t>Funds Requested</w:t>
            </w:r>
          </w:p>
        </w:tc>
        <w:tc>
          <w:tcPr>
            <w:tcW w:w="2016" w:type="dxa"/>
          </w:tcPr>
          <w:p w14:paraId="3A4D9A6D" w14:textId="77777777" w:rsidR="00A761E8" w:rsidRPr="00454ED4" w:rsidRDefault="00A761E8" w:rsidP="00A761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bCs/>
                <w:color w:val="000000"/>
                <w:szCs w:val="20"/>
              </w:rPr>
            </w:pPr>
            <w:r w:rsidRPr="00454ED4">
              <w:rPr>
                <w:rFonts w:ascii="Verdana" w:eastAsia="Times New Roman" w:hAnsi="Verdana" w:cs="Calibri"/>
                <w:bCs/>
                <w:color w:val="000000"/>
                <w:szCs w:val="20"/>
              </w:rPr>
              <w:t>$/MT CO</w:t>
            </w:r>
            <w:r w:rsidRPr="00454ED4">
              <w:rPr>
                <w:rFonts w:ascii="Verdana" w:eastAsia="Times New Roman" w:hAnsi="Verdana" w:cs="Calibri"/>
                <w:bCs/>
                <w:color w:val="000000"/>
                <w:szCs w:val="20"/>
                <w:vertAlign w:val="subscript"/>
              </w:rPr>
              <w:t>2</w:t>
            </w:r>
            <w:r w:rsidRPr="00454ED4">
              <w:rPr>
                <w:rFonts w:ascii="Verdana" w:eastAsia="Times New Roman" w:hAnsi="Verdana" w:cs="Calibri"/>
                <w:bCs/>
                <w:color w:val="000000"/>
                <w:szCs w:val="20"/>
              </w:rPr>
              <w:t>e for</w:t>
            </w:r>
          </w:p>
          <w:p w14:paraId="4E2A112D" w14:textId="77777777" w:rsidR="00A761E8" w:rsidRPr="00454ED4" w:rsidRDefault="00A761E8" w:rsidP="00A761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bCs/>
                <w:color w:val="000000"/>
                <w:szCs w:val="20"/>
              </w:rPr>
            </w:pPr>
            <w:r w:rsidRPr="00454ED4">
              <w:rPr>
                <w:rFonts w:ascii="Verdana" w:eastAsia="Times New Roman" w:hAnsi="Verdana" w:cs="Calibri"/>
                <w:bCs/>
                <w:color w:val="000000"/>
                <w:szCs w:val="20"/>
              </w:rPr>
              <w:t>GHG Reductions</w:t>
            </w:r>
          </w:p>
          <w:p w14:paraId="1B106A3B" w14:textId="3EE1D36C" w:rsidR="00A01CF7" w:rsidRPr="00A45044" w:rsidRDefault="00A761E8" w:rsidP="00A761E8">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 w:val="0"/>
              </w:rPr>
            </w:pPr>
            <w:r w:rsidRPr="00454ED4">
              <w:rPr>
                <w:rFonts w:ascii="Verdana" w:eastAsia="Times New Roman" w:hAnsi="Verdana" w:cs="Calibri"/>
                <w:bCs/>
                <w:color w:val="000000"/>
                <w:szCs w:val="20"/>
              </w:rPr>
              <w:t>2025-2030</w:t>
            </w:r>
          </w:p>
        </w:tc>
        <w:tc>
          <w:tcPr>
            <w:tcW w:w="2016" w:type="dxa"/>
          </w:tcPr>
          <w:p w14:paraId="6B96AE58" w14:textId="77777777" w:rsidR="00A761E8" w:rsidRPr="00454ED4" w:rsidRDefault="00A761E8" w:rsidP="00A761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bCs/>
                <w:color w:val="000000"/>
                <w:szCs w:val="20"/>
              </w:rPr>
            </w:pPr>
            <w:r w:rsidRPr="00454ED4">
              <w:rPr>
                <w:rFonts w:ascii="Verdana" w:eastAsia="Times New Roman" w:hAnsi="Verdana" w:cs="Calibri"/>
                <w:bCs/>
                <w:color w:val="000000"/>
                <w:szCs w:val="20"/>
              </w:rPr>
              <w:t>$/MT CO</w:t>
            </w:r>
            <w:r w:rsidRPr="00454ED4">
              <w:rPr>
                <w:rFonts w:ascii="Verdana" w:eastAsia="Times New Roman" w:hAnsi="Verdana" w:cs="Calibri"/>
                <w:bCs/>
                <w:color w:val="000000"/>
                <w:szCs w:val="20"/>
                <w:vertAlign w:val="subscript"/>
              </w:rPr>
              <w:t>2</w:t>
            </w:r>
            <w:r w:rsidRPr="00454ED4">
              <w:rPr>
                <w:rFonts w:ascii="Verdana" w:eastAsia="Times New Roman" w:hAnsi="Verdana" w:cs="Calibri"/>
                <w:bCs/>
                <w:color w:val="000000"/>
                <w:szCs w:val="20"/>
              </w:rPr>
              <w:t>e for</w:t>
            </w:r>
          </w:p>
          <w:p w14:paraId="0EAB699F" w14:textId="77777777" w:rsidR="00A761E8" w:rsidRPr="00454ED4" w:rsidRDefault="00A761E8" w:rsidP="00A761E8">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bCs/>
                <w:color w:val="000000"/>
                <w:szCs w:val="20"/>
              </w:rPr>
            </w:pPr>
            <w:r w:rsidRPr="00454ED4">
              <w:rPr>
                <w:rFonts w:ascii="Verdana" w:eastAsia="Times New Roman" w:hAnsi="Verdana" w:cs="Calibri"/>
                <w:bCs/>
                <w:color w:val="000000"/>
                <w:szCs w:val="20"/>
              </w:rPr>
              <w:t>GHG Reductions</w:t>
            </w:r>
          </w:p>
          <w:p w14:paraId="5FC80C15" w14:textId="3AB4A75F" w:rsidR="00A01CF7" w:rsidRDefault="00A761E8" w:rsidP="00A761E8">
            <w:pPr>
              <w:pStyle w:val="BodyText"/>
              <w:spacing w:after="0" w:line="240" w:lineRule="auto"/>
              <w:jc w:val="center"/>
              <w:cnfStyle w:val="100000000000" w:firstRow="1" w:lastRow="0" w:firstColumn="0" w:lastColumn="0" w:oddVBand="0" w:evenVBand="0" w:oddHBand="0" w:evenHBand="0" w:firstRowFirstColumn="0" w:firstRowLastColumn="0" w:lastRowFirstColumn="0" w:lastRowLastColumn="0"/>
              <w:rPr>
                <w:bCs/>
              </w:rPr>
            </w:pPr>
            <w:r w:rsidRPr="00454ED4">
              <w:rPr>
                <w:rFonts w:ascii="Verdana" w:eastAsia="Times New Roman" w:hAnsi="Verdana" w:cs="Calibri"/>
                <w:bCs/>
                <w:color w:val="000000"/>
                <w:szCs w:val="20"/>
              </w:rPr>
              <w:t>2025-20</w:t>
            </w:r>
            <w:r>
              <w:rPr>
                <w:rFonts w:ascii="Verdana" w:eastAsia="Times New Roman" w:hAnsi="Verdana" w:cs="Calibri"/>
                <w:bCs/>
                <w:color w:val="000000"/>
                <w:szCs w:val="20"/>
              </w:rPr>
              <w:t>50</w:t>
            </w:r>
          </w:p>
        </w:tc>
      </w:tr>
      <w:tr w:rsidR="00104155" w14:paraId="2F4500FC" w14:textId="77777777" w:rsidTr="0010415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52" w:type="dxa"/>
            <w:vAlign w:val="center"/>
          </w:tcPr>
          <w:p w14:paraId="1AB8A594" w14:textId="52CE02B8" w:rsidR="00104155" w:rsidRDefault="00104155" w:rsidP="00104155">
            <w:pPr>
              <w:pStyle w:val="BodyText"/>
              <w:spacing w:after="0" w:line="240" w:lineRule="auto"/>
            </w:pPr>
            <w:r>
              <w:t>Program Total ($</w:t>
            </w:r>
            <w:r w:rsidR="0035357B">
              <w:t>20</w:t>
            </w:r>
            <w:r>
              <w:t>,</w:t>
            </w:r>
            <w:r w:rsidR="0035357B">
              <w:t>000</w:t>
            </w:r>
            <w:r>
              <w:t>,000)</w:t>
            </w:r>
          </w:p>
        </w:tc>
        <w:tc>
          <w:tcPr>
            <w:tcW w:w="2016" w:type="dxa"/>
            <w:vAlign w:val="center"/>
          </w:tcPr>
          <w:p w14:paraId="38B4DA56" w14:textId="43BDBD8E" w:rsidR="00104155" w:rsidRDefault="0035357B" w:rsidP="00104155">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w:t>
            </w:r>
            <w:r w:rsidR="00F32904">
              <w:t>92</w:t>
            </w:r>
          </w:p>
        </w:tc>
        <w:tc>
          <w:tcPr>
            <w:tcW w:w="2016" w:type="dxa"/>
            <w:vAlign w:val="center"/>
          </w:tcPr>
          <w:p w14:paraId="0D28D83B" w14:textId="1024FB4A" w:rsidR="00104155" w:rsidRDefault="0035357B" w:rsidP="00104155">
            <w:pPr>
              <w:pStyle w:val="BodyText"/>
              <w:spacing w:after="0" w:line="240" w:lineRule="auto"/>
              <w:jc w:val="center"/>
              <w:cnfStyle w:val="000000100000" w:firstRow="0" w:lastRow="0" w:firstColumn="0" w:lastColumn="0" w:oddVBand="0" w:evenVBand="0" w:oddHBand="1" w:evenHBand="0" w:firstRowFirstColumn="0" w:firstRowLastColumn="0" w:lastRowFirstColumn="0" w:lastRowLastColumn="0"/>
            </w:pPr>
            <w:r>
              <w:t>$16</w:t>
            </w:r>
          </w:p>
        </w:tc>
      </w:tr>
      <w:tr w:rsidR="00104155" w14:paraId="43537071" w14:textId="77777777" w:rsidTr="00104155">
        <w:trPr>
          <w:jc w:val="center"/>
        </w:trPr>
        <w:tc>
          <w:tcPr>
            <w:cnfStyle w:val="001000000000" w:firstRow="0" w:lastRow="0" w:firstColumn="1" w:lastColumn="0" w:oddVBand="0" w:evenVBand="0" w:oddHBand="0" w:evenHBand="0" w:firstRowFirstColumn="0" w:firstRowLastColumn="0" w:lastRowFirstColumn="0" w:lastRowLastColumn="0"/>
            <w:tcW w:w="4752" w:type="dxa"/>
            <w:vAlign w:val="center"/>
          </w:tcPr>
          <w:p w14:paraId="05438231" w14:textId="252F30A6" w:rsidR="00104155" w:rsidRDefault="00104155" w:rsidP="00104155">
            <w:pPr>
              <w:pStyle w:val="BodyText"/>
              <w:spacing w:after="0" w:line="240" w:lineRule="auto"/>
            </w:pPr>
            <w:r>
              <w:t>For GHG Reduction Measures ($</w:t>
            </w:r>
            <w:r w:rsidR="0035357B">
              <w:t>19</w:t>
            </w:r>
            <w:r>
              <w:t>,</w:t>
            </w:r>
            <w:r w:rsidR="0035357B">
              <w:t>0</w:t>
            </w:r>
            <w:r>
              <w:t>00,000)</w:t>
            </w:r>
          </w:p>
        </w:tc>
        <w:tc>
          <w:tcPr>
            <w:tcW w:w="2016" w:type="dxa"/>
            <w:vAlign w:val="center"/>
          </w:tcPr>
          <w:p w14:paraId="09E63F96" w14:textId="5EC195CF" w:rsidR="00104155" w:rsidRDefault="0035357B" w:rsidP="00104155">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w:t>
            </w:r>
            <w:r w:rsidR="00F32904">
              <w:t>87</w:t>
            </w:r>
          </w:p>
        </w:tc>
        <w:tc>
          <w:tcPr>
            <w:tcW w:w="2016" w:type="dxa"/>
            <w:vAlign w:val="center"/>
          </w:tcPr>
          <w:p w14:paraId="6122104B" w14:textId="35444D17" w:rsidR="00104155" w:rsidRDefault="0035357B" w:rsidP="00104155">
            <w:pPr>
              <w:pStyle w:val="BodyText"/>
              <w:spacing w:after="0" w:line="240" w:lineRule="auto"/>
              <w:jc w:val="center"/>
              <w:cnfStyle w:val="000000000000" w:firstRow="0" w:lastRow="0" w:firstColumn="0" w:lastColumn="0" w:oddVBand="0" w:evenVBand="0" w:oddHBand="0" w:evenHBand="0" w:firstRowFirstColumn="0" w:firstRowLastColumn="0" w:lastRowFirstColumn="0" w:lastRowLastColumn="0"/>
            </w:pPr>
            <w:r>
              <w:t>$16</w:t>
            </w:r>
          </w:p>
        </w:tc>
      </w:tr>
    </w:tbl>
    <w:p w14:paraId="1DB5FB8D" w14:textId="77777777" w:rsidR="009F4524" w:rsidRDefault="009F4524" w:rsidP="009F4524">
      <w:pPr>
        <w:pStyle w:val="BodyText"/>
      </w:pPr>
    </w:p>
    <w:p w14:paraId="0C3E374D" w14:textId="77777777" w:rsidR="00E649D4" w:rsidRDefault="00E649D4" w:rsidP="00CC5E3B">
      <w:pPr>
        <w:pStyle w:val="BodyText"/>
      </w:pPr>
    </w:p>
    <w:p w14:paraId="1F23D453" w14:textId="77777777" w:rsidR="00E649D4" w:rsidRDefault="00E649D4" w:rsidP="00CC5E3B">
      <w:pPr>
        <w:pStyle w:val="BodyText"/>
      </w:pPr>
    </w:p>
    <w:p w14:paraId="61DB1AC5" w14:textId="46F0271B" w:rsidR="000D7410" w:rsidRPr="00DD0425" w:rsidRDefault="000D7410" w:rsidP="00DD0425">
      <w:pPr>
        <w:spacing w:after="0" w:line="240" w:lineRule="auto"/>
        <w:rPr>
          <w:rFonts w:asciiTheme="majorHAnsi" w:hAnsiTheme="majorHAnsi" w:cs="Times New Roman (Body CS)"/>
          <w:caps/>
          <w:color w:val="018219" w:themeColor="accent1"/>
          <w:spacing w:val="8"/>
          <w:sz w:val="28"/>
        </w:rPr>
      </w:pPr>
    </w:p>
    <w:sectPr w:rsidR="000D7410" w:rsidRPr="00DD0425" w:rsidSect="00473875">
      <w:footerReference w:type="default" r:id="rId15"/>
      <w:footerReference w:type="first" r:id="rId16"/>
      <w:pgSz w:w="12240" w:h="15840" w:code="1"/>
      <w:pgMar w:top="1134" w:right="1134" w:bottom="1134" w:left="1134" w:header="567" w:footer="374" w:gutter="0"/>
      <w:pgNumType w:start="1"/>
      <w:cols w:sep="1" w:space="3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9037F" w14:textId="77777777" w:rsidR="00473875" w:rsidRDefault="00473875" w:rsidP="00A95726">
      <w:pPr>
        <w:spacing w:after="0" w:line="240" w:lineRule="auto"/>
      </w:pPr>
      <w:r>
        <w:separator/>
      </w:r>
    </w:p>
    <w:p w14:paraId="6367E98A" w14:textId="77777777" w:rsidR="00473875" w:rsidRDefault="00473875"/>
    <w:p w14:paraId="24773B23" w14:textId="77777777" w:rsidR="00473875" w:rsidRDefault="00473875"/>
    <w:p w14:paraId="0D2465B1" w14:textId="77777777" w:rsidR="00473875" w:rsidRDefault="00473875"/>
  </w:endnote>
  <w:endnote w:type="continuationSeparator" w:id="0">
    <w:p w14:paraId="5435DAC9" w14:textId="77777777" w:rsidR="00473875" w:rsidRDefault="00473875" w:rsidP="00A95726">
      <w:pPr>
        <w:spacing w:after="0" w:line="240" w:lineRule="auto"/>
      </w:pPr>
      <w:r>
        <w:continuationSeparator/>
      </w:r>
    </w:p>
    <w:p w14:paraId="311735B9" w14:textId="77777777" w:rsidR="00473875" w:rsidRDefault="00473875"/>
    <w:p w14:paraId="6274D8D7" w14:textId="77777777" w:rsidR="00473875" w:rsidRDefault="00473875"/>
    <w:p w14:paraId="37AF99C1" w14:textId="77777777" w:rsidR="00473875" w:rsidRDefault="00473875"/>
  </w:endnote>
  <w:endnote w:type="continuationNotice" w:id="1">
    <w:p w14:paraId="3116CCD0" w14:textId="77777777" w:rsidR="00473875" w:rsidRDefault="004738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749868"/>
      <w:docPartObj>
        <w:docPartGallery w:val="Page Numbers (Bottom of Page)"/>
        <w:docPartUnique/>
      </w:docPartObj>
    </w:sdtPr>
    <w:sdtEndPr>
      <w:rPr>
        <w:noProof/>
      </w:rPr>
    </w:sdtEndPr>
    <w:sdtContent>
      <w:p w14:paraId="38A13DF9" w14:textId="085793CA" w:rsidR="00ED6A41" w:rsidRDefault="00ED6A4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9778FAE" w14:textId="77777777" w:rsidR="00582666" w:rsidRPr="00582666" w:rsidRDefault="00582666" w:rsidP="00582666">
    <w:pPr>
      <w:pStyle w:val="Footer"/>
      <w:spacing w:before="0" w:after="0"/>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221584"/>
      <w:docPartObj>
        <w:docPartGallery w:val="Page Numbers (Bottom of Page)"/>
        <w:docPartUnique/>
      </w:docPartObj>
    </w:sdtPr>
    <w:sdtEndPr>
      <w:rPr>
        <w:noProof/>
      </w:rPr>
    </w:sdtEndPr>
    <w:sdtContent>
      <w:p w14:paraId="40CAEFCB" w14:textId="1EB0697D" w:rsidR="0074222D" w:rsidRDefault="0074222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F812D1C" w14:textId="77777777" w:rsidR="00C72EC3" w:rsidRPr="00582666" w:rsidRDefault="00C72EC3" w:rsidP="00582666">
    <w:pPr>
      <w:pStyle w:val="Footer"/>
      <w:spacing w:before="0" w:after="0"/>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92D9A" w14:textId="77777777" w:rsidR="00473875" w:rsidRPr="00A92AF9" w:rsidRDefault="00473875" w:rsidP="00F17BF0">
      <w:pPr>
        <w:spacing w:after="0" w:line="240" w:lineRule="auto"/>
      </w:pPr>
      <w:r>
        <w:separator/>
      </w:r>
    </w:p>
  </w:footnote>
  <w:footnote w:type="continuationSeparator" w:id="0">
    <w:p w14:paraId="38058805" w14:textId="77777777" w:rsidR="00473875" w:rsidRPr="00A92AF9" w:rsidRDefault="00473875" w:rsidP="00A92AF9">
      <w:pPr>
        <w:pStyle w:val="Footer"/>
        <w:ind w:left="0"/>
      </w:pPr>
    </w:p>
    <w:p w14:paraId="473FFDAF" w14:textId="77777777" w:rsidR="00473875" w:rsidRDefault="00473875"/>
  </w:footnote>
  <w:footnote w:type="continuationNotice" w:id="1">
    <w:p w14:paraId="3812F593" w14:textId="77777777" w:rsidR="00473875" w:rsidRPr="00A92AF9" w:rsidRDefault="00473875" w:rsidP="00A92AF9">
      <w:pPr>
        <w:pStyle w:val="Footer"/>
        <w:ind w:left="0"/>
      </w:pPr>
    </w:p>
    <w:p w14:paraId="4A63E922" w14:textId="77777777" w:rsidR="00473875" w:rsidRDefault="00473875"/>
  </w:footnote>
  <w:footnote w:id="2">
    <w:p w14:paraId="66CB8B66" w14:textId="359BA2CD" w:rsidR="00C07BE3" w:rsidRPr="00D44449" w:rsidRDefault="00C07BE3">
      <w:pPr>
        <w:pStyle w:val="FootnoteText"/>
        <w:rPr>
          <w:sz w:val="16"/>
          <w:szCs w:val="16"/>
        </w:rPr>
      </w:pPr>
      <w:r w:rsidRPr="00D44449">
        <w:rPr>
          <w:rStyle w:val="FootnoteReference"/>
          <w:sz w:val="16"/>
          <w:szCs w:val="16"/>
        </w:rPr>
        <w:footnoteRef/>
      </w:r>
      <w:r w:rsidRPr="00D44449">
        <w:rPr>
          <w:sz w:val="16"/>
          <w:szCs w:val="16"/>
        </w:rPr>
        <w:t xml:space="preserve"> </w:t>
      </w:r>
      <w:r w:rsidR="00437C44">
        <w:rPr>
          <w:sz w:val="16"/>
          <w:szCs w:val="16"/>
        </w:rPr>
        <w:t xml:space="preserve">North </w:t>
      </w:r>
      <w:r w:rsidR="00E558B9">
        <w:rPr>
          <w:sz w:val="16"/>
          <w:szCs w:val="16"/>
        </w:rPr>
        <w:t>Dakota</w:t>
      </w:r>
      <w:r w:rsidR="00437C44">
        <w:rPr>
          <w:sz w:val="16"/>
          <w:szCs w:val="16"/>
        </w:rPr>
        <w:t xml:space="preserve"> Department of Commerce. </w:t>
      </w:r>
      <w:r w:rsidR="00FE5B59">
        <w:rPr>
          <w:sz w:val="16"/>
          <w:szCs w:val="16"/>
        </w:rPr>
        <w:t xml:space="preserve">“Energy Conservation Grants.” Accessed March 2024. </w:t>
      </w:r>
      <w:r w:rsidR="00E558B9">
        <w:rPr>
          <w:sz w:val="16"/>
          <w:szCs w:val="16"/>
        </w:rPr>
        <w:t xml:space="preserve">Retrieved from: </w:t>
      </w:r>
      <w:hyperlink r:id="rId1" w:history="1">
        <w:r w:rsidR="00E558B9" w:rsidRPr="00C5043A">
          <w:rPr>
            <w:rStyle w:val="Hyperlink"/>
            <w:sz w:val="16"/>
            <w:szCs w:val="16"/>
          </w:rPr>
          <w:t>https://www.commerce.nd.gov/community-services/state-energy-programs/energy-conservation-grant</w:t>
        </w:r>
      </w:hyperlink>
    </w:p>
  </w:footnote>
  <w:footnote w:id="3">
    <w:p w14:paraId="234D0BF0" w14:textId="2EC15FCD" w:rsidR="00C759E3" w:rsidRPr="00D44449" w:rsidRDefault="00C759E3" w:rsidP="00C759E3">
      <w:pPr>
        <w:pStyle w:val="FootnoteText"/>
        <w:rPr>
          <w:sz w:val="16"/>
          <w:szCs w:val="16"/>
        </w:rPr>
      </w:pPr>
      <w:r w:rsidRPr="00D44449">
        <w:rPr>
          <w:rStyle w:val="FootnoteReference"/>
          <w:sz w:val="16"/>
          <w:szCs w:val="16"/>
        </w:rPr>
        <w:footnoteRef/>
      </w:r>
      <w:r w:rsidRPr="00D44449">
        <w:rPr>
          <w:sz w:val="16"/>
          <w:szCs w:val="16"/>
        </w:rPr>
        <w:t xml:space="preserve"> </w:t>
      </w:r>
      <w:r w:rsidR="001405E5">
        <w:rPr>
          <w:sz w:val="16"/>
          <w:szCs w:val="16"/>
        </w:rPr>
        <w:t xml:space="preserve">U.S. </w:t>
      </w:r>
      <w:r w:rsidR="002A5D5B">
        <w:rPr>
          <w:sz w:val="16"/>
          <w:szCs w:val="16"/>
        </w:rPr>
        <w:t>B</w:t>
      </w:r>
      <w:r w:rsidR="001405E5">
        <w:rPr>
          <w:sz w:val="16"/>
          <w:szCs w:val="16"/>
        </w:rPr>
        <w:t>ureau of Labor Stati</w:t>
      </w:r>
      <w:r w:rsidR="00252E47">
        <w:rPr>
          <w:sz w:val="16"/>
          <w:szCs w:val="16"/>
        </w:rPr>
        <w:t xml:space="preserve">stics. 2024. “Consumer Price Index.” Accessed March 2024. Retrieved from: </w:t>
      </w:r>
      <w:hyperlink r:id="rId2" w:history="1">
        <w:r w:rsidR="00252E47" w:rsidRPr="0046756B">
          <w:rPr>
            <w:rStyle w:val="Hyperlink"/>
          </w:rPr>
          <w:t>https://www.bls.gov/cpi/</w:t>
        </w:r>
      </w:hyperlink>
    </w:p>
  </w:footnote>
  <w:footnote w:id="4">
    <w:p w14:paraId="418C334F" w14:textId="3BBA874D" w:rsidR="00F41DD7" w:rsidRPr="00D44449" w:rsidRDefault="00F41DD7" w:rsidP="00F41DD7">
      <w:pPr>
        <w:pStyle w:val="FootnoteText"/>
        <w:rPr>
          <w:sz w:val="16"/>
          <w:szCs w:val="16"/>
        </w:rPr>
      </w:pPr>
      <w:r w:rsidRPr="00D44449">
        <w:rPr>
          <w:rStyle w:val="FootnoteReference"/>
          <w:sz w:val="16"/>
          <w:szCs w:val="16"/>
        </w:rPr>
        <w:footnoteRef/>
      </w:r>
      <w:r w:rsidRPr="00D44449">
        <w:rPr>
          <w:sz w:val="16"/>
          <w:szCs w:val="16"/>
        </w:rPr>
        <w:t xml:space="preserve"> </w:t>
      </w:r>
      <w:r w:rsidR="003D0AE9">
        <w:rPr>
          <w:sz w:val="16"/>
          <w:szCs w:val="16"/>
        </w:rPr>
        <w:t>Wang</w:t>
      </w:r>
      <w:r w:rsidR="0028415D">
        <w:rPr>
          <w:sz w:val="16"/>
          <w:szCs w:val="16"/>
        </w:rPr>
        <w:t xml:space="preserve">, Michael. 13 April 2021. </w:t>
      </w:r>
      <w:r w:rsidR="00011F3D">
        <w:rPr>
          <w:sz w:val="16"/>
          <w:szCs w:val="16"/>
        </w:rPr>
        <w:t>“</w:t>
      </w:r>
      <w:r w:rsidRPr="00D44449">
        <w:rPr>
          <w:sz w:val="16"/>
          <w:szCs w:val="16"/>
        </w:rPr>
        <w:t>Life-cycle Analysis of Vehicle/Fuel Systems Using the GREET Mod</w:t>
      </w:r>
      <w:r w:rsidR="003D54AA">
        <w:rPr>
          <w:sz w:val="16"/>
          <w:szCs w:val="16"/>
        </w:rPr>
        <w:t xml:space="preserve">el.” </w:t>
      </w:r>
      <w:r w:rsidR="003D54AA">
        <w:rPr>
          <w:i/>
          <w:iCs/>
          <w:sz w:val="16"/>
          <w:szCs w:val="16"/>
        </w:rPr>
        <w:t xml:space="preserve">Argonne National </w:t>
      </w:r>
      <w:r w:rsidR="00F9470F">
        <w:rPr>
          <w:i/>
          <w:iCs/>
          <w:sz w:val="16"/>
          <w:szCs w:val="16"/>
        </w:rPr>
        <w:t>Laboratory</w:t>
      </w:r>
      <w:r w:rsidR="009E758B">
        <w:rPr>
          <w:i/>
          <w:iCs/>
          <w:sz w:val="16"/>
          <w:szCs w:val="16"/>
        </w:rPr>
        <w:t xml:space="preserve">. </w:t>
      </w:r>
      <w:r w:rsidR="009E758B">
        <w:rPr>
          <w:sz w:val="16"/>
          <w:szCs w:val="16"/>
        </w:rPr>
        <w:t>Accessed March 2024. Retrieved from:</w:t>
      </w:r>
      <w:r w:rsidRPr="00D44449">
        <w:rPr>
          <w:sz w:val="16"/>
          <w:szCs w:val="16"/>
        </w:rPr>
        <w:t xml:space="preserve"> </w:t>
      </w:r>
      <w:hyperlink r:id="rId3" w:history="1">
        <w:r w:rsidRPr="00D44449">
          <w:rPr>
            <w:rStyle w:val="Hyperlink"/>
            <w:sz w:val="16"/>
            <w:szCs w:val="16"/>
          </w:rPr>
          <w:t>https://www.itf-oecd.org/sites/default/files/docs/analysis-vehicle-fuel-systems-anl.pdf</w:t>
        </w:r>
      </w:hyperlink>
    </w:p>
  </w:footnote>
  <w:footnote w:id="5">
    <w:p w14:paraId="62EBBB87" w14:textId="7DE56D62" w:rsidR="009C032E" w:rsidRPr="00D44449" w:rsidRDefault="009C032E" w:rsidP="009C032E">
      <w:pPr>
        <w:pStyle w:val="FootnoteText"/>
        <w:rPr>
          <w:sz w:val="16"/>
          <w:szCs w:val="16"/>
        </w:rPr>
      </w:pPr>
      <w:r w:rsidRPr="00D44449">
        <w:rPr>
          <w:rStyle w:val="FootnoteReference"/>
          <w:sz w:val="16"/>
          <w:szCs w:val="16"/>
        </w:rPr>
        <w:footnoteRef/>
      </w:r>
      <w:r w:rsidRPr="00D44449">
        <w:rPr>
          <w:sz w:val="16"/>
          <w:szCs w:val="16"/>
        </w:rPr>
        <w:t xml:space="preserve"> </w:t>
      </w:r>
      <w:r w:rsidR="004479BF">
        <w:rPr>
          <w:sz w:val="16"/>
          <w:szCs w:val="16"/>
        </w:rPr>
        <w:t xml:space="preserve">US </w:t>
      </w:r>
      <w:r w:rsidR="00A450B7">
        <w:rPr>
          <w:sz w:val="16"/>
          <w:szCs w:val="16"/>
        </w:rPr>
        <w:t xml:space="preserve">EPA Center for </w:t>
      </w:r>
      <w:r w:rsidR="005B2496">
        <w:rPr>
          <w:sz w:val="16"/>
          <w:szCs w:val="16"/>
        </w:rPr>
        <w:t>Corporate Climate Leadership</w:t>
      </w:r>
      <w:r w:rsidR="00B16482">
        <w:rPr>
          <w:sz w:val="16"/>
          <w:szCs w:val="16"/>
        </w:rPr>
        <w:t xml:space="preserve">. 12 September 2023. “Emission Factors for Greenhouse Gas Inventories.” Accessed March 2024. Retrieved from: </w:t>
      </w:r>
      <w:hyperlink r:id="rId4" w:history="1">
        <w:r w:rsidR="00B16482" w:rsidRPr="0046756B">
          <w:rPr>
            <w:rStyle w:val="Hyperlink"/>
          </w:rPr>
          <w:t>https://www.epa.gov/system/files/documents/2023-03/ghg_emission_factors_hub.pdf</w:t>
        </w:r>
      </w:hyperlink>
    </w:p>
  </w:footnote>
  <w:footnote w:id="6">
    <w:p w14:paraId="3E89AEB9" w14:textId="65A255B1" w:rsidR="00FD6A5A" w:rsidRPr="00D44449" w:rsidRDefault="00FD6A5A" w:rsidP="00FD6A5A">
      <w:pPr>
        <w:pStyle w:val="FootnoteText"/>
        <w:rPr>
          <w:sz w:val="16"/>
          <w:szCs w:val="16"/>
        </w:rPr>
      </w:pPr>
      <w:r w:rsidRPr="00D44449">
        <w:rPr>
          <w:rStyle w:val="FootnoteReference"/>
          <w:sz w:val="16"/>
          <w:szCs w:val="16"/>
        </w:rPr>
        <w:footnoteRef/>
      </w:r>
      <w:r w:rsidRPr="00D44449">
        <w:rPr>
          <w:sz w:val="16"/>
          <w:szCs w:val="16"/>
        </w:rPr>
        <w:t xml:space="preserve"> </w:t>
      </w:r>
      <w:r w:rsidR="00B16482">
        <w:rPr>
          <w:sz w:val="16"/>
          <w:szCs w:val="16"/>
        </w:rPr>
        <w:t xml:space="preserve">US EPA Center for Corporate Climate Leadership. 12 September 2023. “Emission Factors for Greenhouse Gas Inventories.” Accessed March 2024. Retrieved from: </w:t>
      </w:r>
      <w:hyperlink r:id="rId5" w:history="1">
        <w:r w:rsidR="00B16482" w:rsidRPr="002526FC">
          <w:rPr>
            <w:rStyle w:val="Hyperlink"/>
            <w:sz w:val="16"/>
            <w:szCs w:val="16"/>
          </w:rPr>
          <w:t>https://www.epa.gov/system/files/documents/2023-03/ghg_emission_factors_hub.pdf</w:t>
        </w:r>
      </w:hyperlink>
    </w:p>
  </w:footnote>
  <w:footnote w:id="7">
    <w:p w14:paraId="3E0AFE2F" w14:textId="6103D1AE" w:rsidR="004C7A45" w:rsidRPr="00D44449" w:rsidRDefault="004C7A45">
      <w:pPr>
        <w:pStyle w:val="FootnoteText"/>
        <w:rPr>
          <w:sz w:val="16"/>
          <w:szCs w:val="16"/>
        </w:rPr>
      </w:pPr>
      <w:r w:rsidRPr="00D44449">
        <w:rPr>
          <w:rStyle w:val="FootnoteReference"/>
          <w:sz w:val="16"/>
          <w:szCs w:val="16"/>
        </w:rPr>
        <w:footnoteRef/>
      </w:r>
      <w:r w:rsidRPr="00D44449">
        <w:rPr>
          <w:sz w:val="16"/>
          <w:szCs w:val="16"/>
        </w:rPr>
        <w:t xml:space="preserve"> </w:t>
      </w:r>
      <w:r w:rsidR="008460CA">
        <w:rPr>
          <w:sz w:val="16"/>
          <w:szCs w:val="16"/>
        </w:rPr>
        <w:t xml:space="preserve">US Energy </w:t>
      </w:r>
      <w:r w:rsidR="009D2CDD">
        <w:rPr>
          <w:sz w:val="16"/>
          <w:szCs w:val="16"/>
        </w:rPr>
        <w:t>Information</w:t>
      </w:r>
      <w:r w:rsidR="008460CA">
        <w:rPr>
          <w:sz w:val="16"/>
          <w:szCs w:val="16"/>
        </w:rPr>
        <w:t xml:space="preserve"> </w:t>
      </w:r>
      <w:r w:rsidR="009D2CDD">
        <w:rPr>
          <w:sz w:val="16"/>
          <w:szCs w:val="16"/>
        </w:rPr>
        <w:t>Administration (EIA)</w:t>
      </w:r>
      <w:r w:rsidR="00A975F9">
        <w:rPr>
          <w:sz w:val="16"/>
          <w:szCs w:val="16"/>
        </w:rPr>
        <w:t>. 16 March 2023. “Annual Energy Outlook 2023.” Accessed March 2024. Retrieved from:</w:t>
      </w:r>
      <w:r w:rsidR="009D2CDD">
        <w:rPr>
          <w:sz w:val="16"/>
          <w:szCs w:val="16"/>
        </w:rPr>
        <w:t xml:space="preserve"> </w:t>
      </w:r>
      <w:hyperlink r:id="rId6" w:history="1">
        <w:r w:rsidR="00A975F9">
          <w:rPr>
            <w:rStyle w:val="Hyperlink"/>
            <w:sz w:val="16"/>
            <w:szCs w:val="16"/>
          </w:rPr>
          <w:t>https://www.eia.gov/outlooks/aeo/tables_ref.php</w:t>
        </w:r>
      </w:hyperlink>
    </w:p>
  </w:footnote>
  <w:footnote w:id="8">
    <w:p w14:paraId="2EE863ED" w14:textId="6A8FE463" w:rsidR="0005495B" w:rsidRPr="00D44449" w:rsidRDefault="0005495B">
      <w:pPr>
        <w:pStyle w:val="FootnoteText"/>
        <w:rPr>
          <w:sz w:val="16"/>
          <w:szCs w:val="16"/>
        </w:rPr>
      </w:pPr>
      <w:r w:rsidRPr="00D44449">
        <w:rPr>
          <w:rStyle w:val="FootnoteReference"/>
          <w:sz w:val="16"/>
          <w:szCs w:val="16"/>
        </w:rPr>
        <w:footnoteRef/>
      </w:r>
      <w:r w:rsidRPr="00D44449">
        <w:rPr>
          <w:sz w:val="16"/>
          <w:szCs w:val="16"/>
        </w:rPr>
        <w:t xml:space="preserve"> </w:t>
      </w:r>
      <w:r w:rsidR="00C02DFD">
        <w:rPr>
          <w:sz w:val="16"/>
          <w:szCs w:val="16"/>
        </w:rPr>
        <w:t xml:space="preserve">US EIA. “Electricity Market Module Regions.” </w:t>
      </w:r>
      <w:r w:rsidR="00282C22">
        <w:rPr>
          <w:sz w:val="16"/>
          <w:szCs w:val="16"/>
        </w:rPr>
        <w:t xml:space="preserve">Accessed March 2024. Retrieved from: </w:t>
      </w:r>
      <w:hyperlink r:id="rId7" w:history="1">
        <w:r w:rsidR="00282C22" w:rsidRPr="00282C22">
          <w:rPr>
            <w:rStyle w:val="Hyperlink"/>
            <w:sz w:val="16"/>
            <w:szCs w:val="16"/>
          </w:rPr>
          <w:t>https://www.eia.gov/outlooks/aeo/pdf/nerc_map.pdf</w:t>
        </w:r>
      </w:hyperlink>
    </w:p>
  </w:footnote>
  <w:footnote w:id="9">
    <w:p w14:paraId="548A8F46" w14:textId="176A6EFF" w:rsidR="00A970D0" w:rsidRPr="00D44449" w:rsidRDefault="00A970D0" w:rsidP="00A970D0">
      <w:pPr>
        <w:pStyle w:val="FootnoteText"/>
        <w:rPr>
          <w:sz w:val="16"/>
          <w:szCs w:val="16"/>
        </w:rPr>
      </w:pPr>
      <w:r w:rsidRPr="0004686D">
        <w:rPr>
          <w:rStyle w:val="FootnoteReference"/>
          <w:sz w:val="16"/>
          <w:szCs w:val="16"/>
        </w:rPr>
        <w:footnoteRef/>
      </w:r>
      <w:r w:rsidRPr="0004686D">
        <w:rPr>
          <w:sz w:val="16"/>
          <w:szCs w:val="16"/>
        </w:rPr>
        <w:t xml:space="preserve"> </w:t>
      </w:r>
      <w:r w:rsidR="0004686D" w:rsidRPr="0004686D">
        <w:rPr>
          <w:sz w:val="16"/>
          <w:szCs w:val="16"/>
        </w:rPr>
        <w:t xml:space="preserve">US Department of Energy, </w:t>
      </w:r>
      <w:r w:rsidR="002A5D5B" w:rsidRPr="0004686D">
        <w:rPr>
          <w:sz w:val="16"/>
          <w:szCs w:val="16"/>
        </w:rPr>
        <w:t>Office of Energy Efficiency &amp; Renewable Energy.</w:t>
      </w:r>
      <w:r w:rsidR="0004686D" w:rsidRPr="0004686D">
        <w:rPr>
          <w:sz w:val="16"/>
          <w:szCs w:val="16"/>
        </w:rPr>
        <w:t xml:space="preserve"> “GREET.” Accessed March 2024. Retrieved from:</w:t>
      </w:r>
      <w:r w:rsidR="002A5D5B" w:rsidRPr="0004686D">
        <w:rPr>
          <w:sz w:val="16"/>
          <w:szCs w:val="16"/>
        </w:rPr>
        <w:t xml:space="preserve"> </w:t>
      </w:r>
      <w:hyperlink r:id="rId8" w:history="1">
        <w:r w:rsidR="0004686D" w:rsidRPr="0046756B">
          <w:rPr>
            <w:sz w:val="16"/>
            <w:szCs w:val="16"/>
            <w:u w:val="single"/>
          </w:rPr>
          <w:t>https://www.energy.gov/eere/greet</w:t>
        </w:r>
      </w:hyperlink>
    </w:p>
  </w:footnote>
  <w:footnote w:id="10">
    <w:p w14:paraId="05AF9551" w14:textId="6930E1D5" w:rsidR="00722F26" w:rsidRPr="00D44449" w:rsidRDefault="00722F26">
      <w:pPr>
        <w:pStyle w:val="FootnoteText"/>
        <w:rPr>
          <w:sz w:val="16"/>
          <w:szCs w:val="16"/>
        </w:rPr>
      </w:pPr>
      <w:r w:rsidRPr="00D44449">
        <w:rPr>
          <w:rStyle w:val="FootnoteReference"/>
          <w:sz w:val="16"/>
          <w:szCs w:val="16"/>
        </w:rPr>
        <w:footnoteRef/>
      </w:r>
      <w:r w:rsidRPr="00D44449">
        <w:rPr>
          <w:sz w:val="16"/>
          <w:szCs w:val="16"/>
        </w:rPr>
        <w:t xml:space="preserve"> </w:t>
      </w:r>
      <w:r w:rsidR="00A14D34">
        <w:rPr>
          <w:sz w:val="16"/>
          <w:szCs w:val="16"/>
        </w:rPr>
        <w:t xml:space="preserve">Intergovernmental Panel on Climate Change. </w:t>
      </w:r>
      <w:r w:rsidR="00D97B6F">
        <w:rPr>
          <w:sz w:val="16"/>
          <w:szCs w:val="16"/>
        </w:rPr>
        <w:t>201</w:t>
      </w:r>
      <w:r w:rsidR="008C4289">
        <w:rPr>
          <w:sz w:val="16"/>
          <w:szCs w:val="16"/>
        </w:rPr>
        <w:t>6</w:t>
      </w:r>
      <w:r w:rsidR="00D97B6F">
        <w:rPr>
          <w:sz w:val="16"/>
          <w:szCs w:val="16"/>
        </w:rPr>
        <w:t xml:space="preserve">. “Global Warming Potential Values.” </w:t>
      </w:r>
      <w:r w:rsidR="008C4289">
        <w:rPr>
          <w:sz w:val="16"/>
          <w:szCs w:val="16"/>
        </w:rPr>
        <w:t xml:space="preserve">Accessed March 2024. Retrieved from: </w:t>
      </w:r>
      <w:hyperlink r:id="rId9" w:history="1">
        <w:r w:rsidR="008C4289" w:rsidRPr="008C4289">
          <w:rPr>
            <w:rStyle w:val="Hyperlink"/>
            <w:sz w:val="16"/>
            <w:szCs w:val="16"/>
          </w:rPr>
          <w:t>https://ghgprotocol.org/sites/default/files/ghgp/Global-Warming-Potential-Values%20%28Feb%2016%202016%29_1.pdf</w:t>
        </w:r>
      </w:hyperlink>
    </w:p>
  </w:footnote>
  <w:footnote w:id="11">
    <w:p w14:paraId="049FB173" w14:textId="1354A73C" w:rsidR="005E6CA2" w:rsidRPr="00D44449" w:rsidRDefault="005E6CA2" w:rsidP="005E6CA2">
      <w:pPr>
        <w:pStyle w:val="FootnoteText"/>
        <w:rPr>
          <w:sz w:val="16"/>
          <w:szCs w:val="16"/>
        </w:rPr>
      </w:pPr>
      <w:r w:rsidRPr="00D44449">
        <w:rPr>
          <w:rStyle w:val="FootnoteReference"/>
          <w:sz w:val="16"/>
          <w:szCs w:val="16"/>
        </w:rPr>
        <w:footnoteRef/>
      </w:r>
      <w:r w:rsidRPr="00D44449">
        <w:rPr>
          <w:sz w:val="16"/>
          <w:szCs w:val="16"/>
        </w:rPr>
        <w:t xml:space="preserve"> </w:t>
      </w:r>
      <w:r w:rsidR="008C4289">
        <w:rPr>
          <w:sz w:val="16"/>
          <w:szCs w:val="16"/>
        </w:rPr>
        <w:t xml:space="preserve">US EPA Center for Corporate Climate Leadership. 12 September 2023. “Emission Factors for Greenhouse Gas Inventories.” Accessed March 2024. Retrieved from: </w:t>
      </w:r>
      <w:hyperlink r:id="rId10" w:history="1">
        <w:r w:rsidR="008C4289" w:rsidRPr="002526FC">
          <w:rPr>
            <w:rStyle w:val="Hyperlink"/>
            <w:sz w:val="16"/>
            <w:szCs w:val="16"/>
          </w:rPr>
          <w:t>https://www.epa.gov/system/files/documents/2023-03/ghg_emission_factors_hub.pdf</w:t>
        </w:r>
      </w:hyperlink>
    </w:p>
  </w:footnote>
  <w:footnote w:id="12">
    <w:p w14:paraId="5056A9C8" w14:textId="31A07021" w:rsidR="005652CB" w:rsidRDefault="005652CB" w:rsidP="005652CB">
      <w:pPr>
        <w:pStyle w:val="FootnoteText"/>
      </w:pPr>
      <w:r w:rsidRPr="00D44449">
        <w:rPr>
          <w:rStyle w:val="FootnoteReference"/>
          <w:sz w:val="16"/>
          <w:szCs w:val="16"/>
        </w:rPr>
        <w:footnoteRef/>
      </w:r>
      <w:r w:rsidRPr="00D44449">
        <w:rPr>
          <w:sz w:val="16"/>
          <w:szCs w:val="16"/>
        </w:rPr>
        <w:t xml:space="preserve"> </w:t>
      </w:r>
      <w:r w:rsidR="008C4289">
        <w:rPr>
          <w:sz w:val="16"/>
          <w:szCs w:val="16"/>
        </w:rPr>
        <w:t xml:space="preserve">US EPA Center for Corporate Climate Leadership. 12 September 2023. “Emission Factors for Greenhouse Gas Inventories.” Accessed March 2024. Retrieved from: </w:t>
      </w:r>
      <w:hyperlink r:id="rId11" w:history="1">
        <w:r w:rsidR="008C4289" w:rsidRPr="002526FC">
          <w:rPr>
            <w:rStyle w:val="Hyperlink"/>
            <w:sz w:val="16"/>
            <w:szCs w:val="16"/>
          </w:rPr>
          <w:t>https://www.epa.gov/system/files/documents/2023-03/ghg_emission_factors_hub.pdf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5E62"/>
    <w:multiLevelType w:val="multilevel"/>
    <w:tmpl w:val="4FE0B6D8"/>
    <w:styleLink w:val="CurrentList18"/>
    <w:lvl w:ilvl="0">
      <w:start w:val="1"/>
      <w:numFmt w:val="bullet"/>
      <w:lvlText w:val="•"/>
      <w:lvlJc w:val="left"/>
      <w:pPr>
        <w:ind w:left="397" w:hanging="397"/>
      </w:pPr>
      <w:rPr>
        <w:rFonts w:ascii="Verdana" w:hAnsi="Verdana" w:hint="default"/>
      </w:rPr>
    </w:lvl>
    <w:lvl w:ilvl="1">
      <w:start w:val="1"/>
      <w:numFmt w:val="bullet"/>
      <w:lvlText w:val="°"/>
      <w:lvlJc w:val="left"/>
      <w:pPr>
        <w:ind w:left="794" w:hanging="397"/>
      </w:pPr>
      <w:rPr>
        <w:rFonts w:ascii="Verdana" w:hAnsi="Verdana" w:hint="default"/>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19312DC"/>
    <w:multiLevelType w:val="multilevel"/>
    <w:tmpl w:val="C33C66A4"/>
    <w:styleLink w:val="CurrentList6"/>
    <w:lvl w:ilvl="0">
      <w:start w:val="1"/>
      <w:numFmt w:val="bullet"/>
      <w:lvlText w:val="•"/>
      <w:lvlJc w:val="left"/>
      <w:pPr>
        <w:ind w:left="397" w:hanging="397"/>
      </w:pPr>
      <w:rPr>
        <w:rFonts w:ascii="Verdana" w:hAnsi="Verdana" w:hint="default"/>
      </w:rPr>
    </w:lvl>
    <w:lvl w:ilvl="1">
      <w:start w:val="1"/>
      <w:numFmt w:val="bullet"/>
      <w:lvlText w:val="o"/>
      <w:lvlJc w:val="left"/>
      <w:pPr>
        <w:ind w:left="757" w:hanging="360"/>
      </w:pPr>
      <w:rPr>
        <w:rFonts w:ascii="Courier New" w:hAnsi="Courier New" w:cs="Courier New" w:hint="default"/>
      </w:rPr>
    </w:lvl>
    <w:lvl w:ilvl="2">
      <w:start w:val="1"/>
      <w:numFmt w:val="bullet"/>
      <w:lvlText w:val="-"/>
      <w:lvlJc w:val="left"/>
      <w:pPr>
        <w:ind w:left="1191" w:hanging="397"/>
      </w:pPr>
      <w:rPr>
        <w:rFonts w:ascii="Georgia" w:hAnsi="Georgia" w:hint="default"/>
      </w:rPr>
    </w:lvl>
    <w:lvl w:ilvl="3">
      <w:start w:val="1"/>
      <w:numFmt w:val="bullet"/>
      <w:lvlText w:val=""/>
      <w:lvlJc w:val="left"/>
      <w:pPr>
        <w:ind w:left="1551"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5291FAE"/>
    <w:multiLevelType w:val="hybridMultilevel"/>
    <w:tmpl w:val="33F4A48C"/>
    <w:name w:val="ERM List 132"/>
    <w:lvl w:ilvl="0" w:tplc="845AE436">
      <w:start w:val="1"/>
      <w:numFmt w:val="lowerRoman"/>
      <w:lvlText w:val="%1."/>
      <w:lvlJc w:val="right"/>
      <w:pPr>
        <w:ind w:left="2024" w:hanging="360"/>
      </w:pPr>
    </w:lvl>
    <w:lvl w:ilvl="1" w:tplc="08090019" w:tentative="1">
      <w:start w:val="1"/>
      <w:numFmt w:val="lowerLetter"/>
      <w:lvlText w:val="%2."/>
      <w:lvlJc w:val="left"/>
      <w:pPr>
        <w:ind w:left="2744" w:hanging="360"/>
      </w:pPr>
    </w:lvl>
    <w:lvl w:ilvl="2" w:tplc="0809001B" w:tentative="1">
      <w:start w:val="1"/>
      <w:numFmt w:val="lowerRoman"/>
      <w:lvlText w:val="%3."/>
      <w:lvlJc w:val="right"/>
      <w:pPr>
        <w:ind w:left="3464" w:hanging="180"/>
      </w:pPr>
    </w:lvl>
    <w:lvl w:ilvl="3" w:tplc="0809000F" w:tentative="1">
      <w:start w:val="1"/>
      <w:numFmt w:val="decimal"/>
      <w:lvlText w:val="%4."/>
      <w:lvlJc w:val="left"/>
      <w:pPr>
        <w:ind w:left="4184" w:hanging="360"/>
      </w:pPr>
    </w:lvl>
    <w:lvl w:ilvl="4" w:tplc="08090019" w:tentative="1">
      <w:start w:val="1"/>
      <w:numFmt w:val="lowerLetter"/>
      <w:lvlText w:val="%5."/>
      <w:lvlJc w:val="left"/>
      <w:pPr>
        <w:ind w:left="4904" w:hanging="360"/>
      </w:pPr>
    </w:lvl>
    <w:lvl w:ilvl="5" w:tplc="0809001B" w:tentative="1">
      <w:start w:val="1"/>
      <w:numFmt w:val="lowerRoman"/>
      <w:lvlText w:val="%6."/>
      <w:lvlJc w:val="right"/>
      <w:pPr>
        <w:ind w:left="5624" w:hanging="180"/>
      </w:pPr>
    </w:lvl>
    <w:lvl w:ilvl="6" w:tplc="0809000F" w:tentative="1">
      <w:start w:val="1"/>
      <w:numFmt w:val="decimal"/>
      <w:lvlText w:val="%7."/>
      <w:lvlJc w:val="left"/>
      <w:pPr>
        <w:ind w:left="6344" w:hanging="360"/>
      </w:pPr>
    </w:lvl>
    <w:lvl w:ilvl="7" w:tplc="08090019" w:tentative="1">
      <w:start w:val="1"/>
      <w:numFmt w:val="lowerLetter"/>
      <w:lvlText w:val="%8."/>
      <w:lvlJc w:val="left"/>
      <w:pPr>
        <w:ind w:left="7064" w:hanging="360"/>
      </w:pPr>
    </w:lvl>
    <w:lvl w:ilvl="8" w:tplc="0809001B" w:tentative="1">
      <w:start w:val="1"/>
      <w:numFmt w:val="lowerRoman"/>
      <w:lvlText w:val="%9."/>
      <w:lvlJc w:val="right"/>
      <w:pPr>
        <w:ind w:left="7784" w:hanging="180"/>
      </w:pPr>
    </w:lvl>
  </w:abstractNum>
  <w:abstractNum w:abstractNumId="3" w15:restartNumberingAfterBreak="0">
    <w:nsid w:val="05BE6ED0"/>
    <w:multiLevelType w:val="multilevel"/>
    <w:tmpl w:val="61F80418"/>
    <w:styleLink w:val="CurrentList21"/>
    <w:lvl w:ilvl="0">
      <w:start w:val="1"/>
      <w:numFmt w:val="bullet"/>
      <w:lvlText w:val="•"/>
      <w:lvlJc w:val="left"/>
      <w:pPr>
        <w:ind w:left="360" w:hanging="360"/>
      </w:pPr>
      <w:rPr>
        <w:rFonts w:ascii="Verdana" w:hAnsi="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775467A"/>
    <w:multiLevelType w:val="multilevel"/>
    <w:tmpl w:val="A6B058D2"/>
    <w:styleLink w:val="CurrentList15"/>
    <w:lvl w:ilvl="0">
      <w:start w:val="1"/>
      <w:numFmt w:val="decimal"/>
      <w:lvlText w:val="%1."/>
      <w:lvlJc w:val="left"/>
      <w:pPr>
        <w:ind w:left="397" w:hanging="397"/>
      </w:pPr>
      <w:rPr>
        <w:rFonts w:hint="default"/>
      </w:rPr>
    </w:lvl>
    <w:lvl w:ilvl="1">
      <w:start w:val="1"/>
      <w:numFmt w:val="lowerLetter"/>
      <w:lvlText w:val="%2."/>
      <w:lvlJc w:val="left"/>
      <w:pPr>
        <w:ind w:left="397" w:firstLine="0"/>
      </w:pPr>
      <w:rPr>
        <w:rFonts w:hint="default"/>
      </w:rPr>
    </w:lvl>
    <w:lvl w:ilvl="2">
      <w:start w:val="1"/>
      <w:numFmt w:val="lowerRoman"/>
      <w:lvlText w:val="%3."/>
      <w:lvlJc w:val="left"/>
      <w:pPr>
        <w:tabs>
          <w:tab w:val="num" w:pos="1440"/>
        </w:tabs>
        <w:ind w:left="1191" w:hanging="397"/>
      </w:pPr>
      <w:rPr>
        <w:rFonts w:hint="default"/>
      </w:rPr>
    </w:lvl>
    <w:lvl w:ilvl="3">
      <w:start w:val="1"/>
      <w:numFmt w:val="upperLetter"/>
      <w:lvlText w:val="%4."/>
      <w:lvlJc w:val="left"/>
      <w:pPr>
        <w:tabs>
          <w:tab w:val="num" w:pos="2268"/>
        </w:tabs>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5" w15:restartNumberingAfterBreak="0">
    <w:nsid w:val="08333BB0"/>
    <w:multiLevelType w:val="multilevel"/>
    <w:tmpl w:val="85AE0302"/>
    <w:styleLink w:val="CurrentList11"/>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ind w:left="794" w:hanging="397"/>
      </w:pPr>
      <w:rPr>
        <w:rFonts w:ascii="Verdana" w:hAnsi="Verdana" w:hint="default"/>
      </w:rPr>
    </w:lvl>
    <w:lvl w:ilvl="3">
      <w:start w:val="1"/>
      <w:numFmt w:val="bullet"/>
      <w:lvlText w:val=""/>
      <w:lvlJc w:val="left"/>
      <w:pPr>
        <w:ind w:left="2517" w:hanging="35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0843203A"/>
    <w:multiLevelType w:val="hybridMultilevel"/>
    <w:tmpl w:val="EC481F0A"/>
    <w:lvl w:ilvl="0" w:tplc="84681364">
      <w:start w:val="1"/>
      <w:numFmt w:val="decimal"/>
      <w:pStyle w:val="Tablenumb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FB44C1"/>
    <w:multiLevelType w:val="multilevel"/>
    <w:tmpl w:val="02D29574"/>
    <w:styleLink w:val="CurrentList19"/>
    <w:lvl w:ilvl="0">
      <w:start w:val="1"/>
      <w:numFmt w:val="bullet"/>
      <w:lvlText w:val="•"/>
      <w:lvlJc w:val="left"/>
      <w:pPr>
        <w:ind w:left="397" w:hanging="397"/>
      </w:pPr>
      <w:rPr>
        <w:rFonts w:ascii="Verdana" w:hAnsi="Verdana" w:hint="default"/>
      </w:rPr>
    </w:lvl>
    <w:lvl w:ilvl="1">
      <w:start w:val="1"/>
      <w:numFmt w:val="bullet"/>
      <w:lvlText w:val="°"/>
      <w:lvlJc w:val="left"/>
      <w:pPr>
        <w:ind w:left="794" w:hanging="397"/>
      </w:pPr>
      <w:rPr>
        <w:rFonts w:ascii="Verdana" w:hAnsi="Verdana" w:hint="default"/>
        <w:position w:val="-4"/>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14FE1556"/>
    <w:multiLevelType w:val="multilevel"/>
    <w:tmpl w:val="5B4A7C48"/>
    <w:styleLink w:val="CurrentList10"/>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tabs>
          <w:tab w:val="num" w:pos="1440"/>
        </w:tabs>
        <w:ind w:left="1775" w:hanging="335"/>
      </w:pPr>
      <w:rPr>
        <w:rFonts w:ascii="Verdana" w:hAnsi="Verdana" w:hint="default"/>
      </w:rPr>
    </w:lvl>
    <w:lvl w:ilvl="3">
      <w:start w:val="1"/>
      <w:numFmt w:val="bullet"/>
      <w:lvlText w:val=""/>
      <w:lvlJc w:val="left"/>
      <w:pPr>
        <w:ind w:left="2517" w:hanging="35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1DBA223C"/>
    <w:multiLevelType w:val="multilevel"/>
    <w:tmpl w:val="D76266BA"/>
    <w:styleLink w:val="CurrentList7"/>
    <w:lvl w:ilvl="0">
      <w:start w:val="1"/>
      <w:numFmt w:val="bullet"/>
      <w:lvlText w:val="•"/>
      <w:lvlJc w:val="left"/>
      <w:pPr>
        <w:ind w:left="357" w:hanging="357"/>
      </w:pPr>
      <w:rPr>
        <w:rFonts w:ascii="Verdana" w:hAnsi="Verdana" w:hint="default"/>
      </w:rPr>
    </w:lvl>
    <w:lvl w:ilvl="1">
      <w:start w:val="1"/>
      <w:numFmt w:val="bullet"/>
      <w:lvlText w:val="°"/>
      <w:lvlJc w:val="left"/>
      <w:pPr>
        <w:ind w:left="1077" w:hanging="357"/>
      </w:pPr>
      <w:rPr>
        <w:rFonts w:ascii="Verdana" w:hAnsi="Verdana" w:hint="default"/>
      </w:rPr>
    </w:lvl>
    <w:lvl w:ilvl="2">
      <w:start w:val="1"/>
      <w:numFmt w:val="bullet"/>
      <w:lvlText w:val="–"/>
      <w:lvlJc w:val="left"/>
      <w:pPr>
        <w:tabs>
          <w:tab w:val="num" w:pos="1440"/>
        </w:tabs>
        <w:ind w:left="1775" w:hanging="335"/>
      </w:pPr>
      <w:rPr>
        <w:rFonts w:ascii="Verdana" w:hAnsi="Verdana" w:hint="default"/>
      </w:rPr>
    </w:lvl>
    <w:lvl w:ilvl="3">
      <w:start w:val="1"/>
      <w:numFmt w:val="bullet"/>
      <w:lvlText w:val=""/>
      <w:lvlJc w:val="left"/>
      <w:pPr>
        <w:ind w:left="2517" w:hanging="35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273A22DE"/>
    <w:multiLevelType w:val="multilevel"/>
    <w:tmpl w:val="D70682CC"/>
    <w:styleLink w:val="CurrentList4"/>
    <w:lvl w:ilvl="0">
      <w:start w:val="1"/>
      <w:numFmt w:val="upperLetter"/>
      <w:lvlText w:val="Appendix %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8D5C56"/>
    <w:multiLevelType w:val="multilevel"/>
    <w:tmpl w:val="216C9504"/>
    <w:name w:val="ERM Bullet 1"/>
    <w:lvl w:ilvl="0">
      <w:start w:val="1"/>
      <w:numFmt w:val="bullet"/>
      <w:pStyle w:val="Bullet"/>
      <w:lvlText w:val="•"/>
      <w:lvlJc w:val="left"/>
      <w:pPr>
        <w:ind w:left="397" w:hanging="397"/>
      </w:pPr>
      <w:rPr>
        <w:rFonts w:ascii="Verdana" w:hAnsi="Verdana" w:hint="default"/>
      </w:rPr>
    </w:lvl>
    <w:lvl w:ilvl="1">
      <w:start w:val="1"/>
      <w:numFmt w:val="bullet"/>
      <w:lvlText w:val="°"/>
      <w:lvlJc w:val="left"/>
      <w:pPr>
        <w:ind w:left="794" w:hanging="397"/>
      </w:pPr>
      <w:rPr>
        <w:rFonts w:ascii="Verdana" w:hAnsi="Verdana" w:hint="default"/>
        <w:position w:val="-5"/>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42BD1C86"/>
    <w:multiLevelType w:val="multilevel"/>
    <w:tmpl w:val="1CDA5A88"/>
    <w:styleLink w:val="CurrentList24"/>
    <w:lvl w:ilvl="0">
      <w:start w:val="1"/>
      <w:numFmt w:val="upperLetter"/>
      <w:lvlText w:val="Appendix %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C77868"/>
    <w:multiLevelType w:val="multilevel"/>
    <w:tmpl w:val="193C7126"/>
    <w:styleLink w:val="CurrentList9"/>
    <w:lvl w:ilvl="0">
      <w:start w:val="1"/>
      <w:numFmt w:val="bullet"/>
      <w:lvlText w:val="•"/>
      <w:lvlJc w:val="left"/>
      <w:pPr>
        <w:ind w:left="357" w:hanging="357"/>
      </w:pPr>
      <w:rPr>
        <w:rFonts w:ascii="Verdana" w:hAnsi="Verdana" w:hint="default"/>
      </w:rPr>
    </w:lvl>
    <w:lvl w:ilvl="1">
      <w:start w:val="1"/>
      <w:numFmt w:val="bullet"/>
      <w:lvlText w:val="°"/>
      <w:lvlJc w:val="left"/>
      <w:pPr>
        <w:ind w:left="397" w:hanging="397"/>
      </w:pPr>
      <w:rPr>
        <w:rFonts w:ascii="Verdana" w:hAnsi="Verdana" w:hint="default"/>
      </w:rPr>
    </w:lvl>
    <w:lvl w:ilvl="2">
      <w:start w:val="1"/>
      <w:numFmt w:val="bullet"/>
      <w:lvlText w:val="–"/>
      <w:lvlJc w:val="left"/>
      <w:pPr>
        <w:tabs>
          <w:tab w:val="num" w:pos="1440"/>
        </w:tabs>
        <w:ind w:left="1775" w:hanging="335"/>
      </w:pPr>
      <w:rPr>
        <w:rFonts w:ascii="Verdana" w:hAnsi="Verdana" w:hint="default"/>
      </w:rPr>
    </w:lvl>
    <w:lvl w:ilvl="3">
      <w:start w:val="1"/>
      <w:numFmt w:val="bullet"/>
      <w:lvlText w:val=""/>
      <w:lvlJc w:val="left"/>
      <w:pPr>
        <w:ind w:left="2517" w:hanging="35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48327C62"/>
    <w:multiLevelType w:val="multilevel"/>
    <w:tmpl w:val="B2585DEC"/>
    <w:styleLink w:val="CurrentList16"/>
    <w:lvl w:ilvl="0">
      <w:start w:val="1"/>
      <w:numFmt w:val="decimal"/>
      <w:lvlText w:val="%1."/>
      <w:lvlJc w:val="left"/>
      <w:pPr>
        <w:ind w:left="397" w:hanging="397"/>
      </w:pPr>
      <w:rPr>
        <w:rFonts w:hint="default"/>
      </w:rPr>
    </w:lvl>
    <w:lvl w:ilvl="1">
      <w:start w:val="1"/>
      <w:numFmt w:val="lowerLetter"/>
      <w:lvlText w:val="%2."/>
      <w:lvlJc w:val="left"/>
      <w:pPr>
        <w:ind w:left="397" w:firstLine="0"/>
      </w:pPr>
      <w:rPr>
        <w:rFonts w:hint="default"/>
      </w:rPr>
    </w:lvl>
    <w:lvl w:ilvl="2">
      <w:start w:val="1"/>
      <w:numFmt w:val="lowerRoman"/>
      <w:lvlText w:val="%3."/>
      <w:lvlJc w:val="left"/>
      <w:pPr>
        <w:ind w:left="1191" w:hanging="454"/>
      </w:pPr>
      <w:rPr>
        <w:rFonts w:hint="default"/>
      </w:rPr>
    </w:lvl>
    <w:lvl w:ilvl="3">
      <w:start w:val="1"/>
      <w:numFmt w:val="upperLetter"/>
      <w:lvlText w:val="%4."/>
      <w:lvlJc w:val="left"/>
      <w:pPr>
        <w:tabs>
          <w:tab w:val="num" w:pos="2268"/>
        </w:tabs>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15" w15:restartNumberingAfterBreak="0">
    <w:nsid w:val="486E6AE9"/>
    <w:multiLevelType w:val="multilevel"/>
    <w:tmpl w:val="216C9504"/>
    <w:styleLink w:val="CurrentList20"/>
    <w:lvl w:ilvl="0">
      <w:start w:val="1"/>
      <w:numFmt w:val="bullet"/>
      <w:lvlText w:val="•"/>
      <w:lvlJc w:val="left"/>
      <w:pPr>
        <w:ind w:left="397" w:hanging="397"/>
      </w:pPr>
      <w:rPr>
        <w:rFonts w:ascii="Verdana" w:hAnsi="Verdana" w:hint="default"/>
      </w:rPr>
    </w:lvl>
    <w:lvl w:ilvl="1">
      <w:start w:val="1"/>
      <w:numFmt w:val="bullet"/>
      <w:lvlText w:val="°"/>
      <w:lvlJc w:val="left"/>
      <w:pPr>
        <w:ind w:left="794" w:hanging="397"/>
      </w:pPr>
      <w:rPr>
        <w:rFonts w:ascii="Verdana" w:hAnsi="Verdana" w:hint="default"/>
        <w:position w:val="-5"/>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51F9002E"/>
    <w:multiLevelType w:val="hybridMultilevel"/>
    <w:tmpl w:val="8F423E3A"/>
    <w:name w:val="ERM List 12"/>
    <w:lvl w:ilvl="0" w:tplc="AC06CF0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CE4FFD"/>
    <w:multiLevelType w:val="hybridMultilevel"/>
    <w:tmpl w:val="C1E874F8"/>
    <w:lvl w:ilvl="0" w:tplc="3104CCC0">
      <w:start w:val="1"/>
      <w:numFmt w:val="upperLetter"/>
      <w:pStyle w:val="AppendixHeading"/>
      <w:lvlText w:val="Appendix %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A4633F"/>
    <w:multiLevelType w:val="multilevel"/>
    <w:tmpl w:val="F79A75A2"/>
    <w:styleLink w:val="CurrentList3"/>
    <w:lvl w:ilvl="0">
      <w:start w:val="1"/>
      <w:numFmt w:val="bullet"/>
      <w:lvlText w:val="•"/>
      <w:lvlJc w:val="left"/>
      <w:pPr>
        <w:tabs>
          <w:tab w:val="num" w:pos="1814"/>
        </w:tabs>
        <w:ind w:left="1247" w:hanging="391"/>
      </w:pPr>
      <w:rPr>
        <w:rFonts w:ascii="Georgia" w:hAnsi="Georgia" w:hint="default"/>
      </w:rPr>
    </w:lvl>
    <w:lvl w:ilvl="1">
      <w:start w:val="1"/>
      <w:numFmt w:val="bullet"/>
      <w:lvlText w:val="°"/>
      <w:lvlJc w:val="left"/>
      <w:pPr>
        <w:ind w:left="1644" w:hanging="397"/>
      </w:pPr>
      <w:rPr>
        <w:rFonts w:ascii="Georgia" w:hAnsi="Georgia" w:hint="default"/>
        <w:sz w:val="16"/>
      </w:rPr>
    </w:lvl>
    <w:lvl w:ilvl="2">
      <w:start w:val="1"/>
      <w:numFmt w:val="bullet"/>
      <w:lvlText w:val="-"/>
      <w:lvlJc w:val="left"/>
      <w:pPr>
        <w:ind w:left="2041" w:hanging="397"/>
      </w:pPr>
      <w:rPr>
        <w:rFonts w:ascii="Georgia" w:hAnsi="Georgia"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bullet"/>
      <w:lvlText w:val=""/>
      <w:lvlJc w:val="left"/>
      <w:pPr>
        <w:ind w:left="1190" w:hanging="170"/>
      </w:pPr>
      <w:rPr>
        <w:rFonts w:ascii="Symbol" w:hAnsi="Symbol" w:hint="default"/>
      </w:rPr>
    </w:lvl>
    <w:lvl w:ilvl="7">
      <w:start w:val="1"/>
      <w:numFmt w:val="none"/>
      <w:lvlText w:val=""/>
      <w:lvlJc w:val="left"/>
      <w:pPr>
        <w:ind w:left="1360" w:hanging="170"/>
      </w:pPr>
      <w:rPr>
        <w:rFonts w:hint="default"/>
      </w:rPr>
    </w:lvl>
    <w:lvl w:ilvl="8">
      <w:start w:val="1"/>
      <w:numFmt w:val="bullet"/>
      <w:lvlText w:val=""/>
      <w:lvlJc w:val="left"/>
      <w:pPr>
        <w:ind w:left="1530" w:hanging="170"/>
      </w:pPr>
      <w:rPr>
        <w:rFonts w:ascii="Wingdings" w:hAnsi="Wingdings" w:hint="default"/>
      </w:rPr>
    </w:lvl>
  </w:abstractNum>
  <w:abstractNum w:abstractNumId="19" w15:restartNumberingAfterBreak="0">
    <w:nsid w:val="59513422"/>
    <w:multiLevelType w:val="multilevel"/>
    <w:tmpl w:val="CF429D00"/>
    <w:styleLink w:val="CurrentList13"/>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firstLine="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5AB356E5"/>
    <w:multiLevelType w:val="multilevel"/>
    <w:tmpl w:val="6DD86C66"/>
    <w:styleLink w:val="CurrentList5"/>
    <w:lvl w:ilvl="0">
      <w:start w:val="1"/>
      <w:numFmt w:val="upperLetter"/>
      <w:lvlText w:val="Appendix %1."/>
      <w:lvlJc w:val="left"/>
      <w:pPr>
        <w:ind w:left="397" w:hanging="39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B02400"/>
    <w:multiLevelType w:val="multilevel"/>
    <w:tmpl w:val="98BC08D2"/>
    <w:styleLink w:val="CurrentList12"/>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ind w:left="1191" w:hanging="397"/>
      </w:pPr>
      <w:rPr>
        <w:rFonts w:ascii="Verdana" w:hAnsi="Verdana" w:hint="default"/>
      </w:rPr>
    </w:lvl>
    <w:lvl w:ilvl="3">
      <w:start w:val="1"/>
      <w:numFmt w:val="bullet"/>
      <w:lvlText w:val=""/>
      <w:lvlJc w:val="left"/>
      <w:pPr>
        <w:ind w:left="2517" w:hanging="35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15:restartNumberingAfterBreak="0">
    <w:nsid w:val="5DDA36BA"/>
    <w:multiLevelType w:val="hybridMultilevel"/>
    <w:tmpl w:val="C352DE10"/>
    <w:lvl w:ilvl="0" w:tplc="861AF6C2">
      <w:start w:val="1"/>
      <w:numFmt w:val="bullet"/>
      <w:pStyle w:val="TableBullet2"/>
      <w:lvlText w:val="°"/>
      <w:lvlJc w:val="left"/>
      <w:pPr>
        <w:ind w:left="360" w:hanging="360"/>
      </w:pPr>
      <w:rPr>
        <w:rFonts w:ascii="Verdana" w:hAnsi="Verdana" w:hint="default"/>
        <w:position w:val="-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FAA3B5F"/>
    <w:multiLevelType w:val="multilevel"/>
    <w:tmpl w:val="3A982AAC"/>
    <w:styleLink w:val="CurrentList14"/>
    <w:lvl w:ilvl="0">
      <w:start w:val="1"/>
      <w:numFmt w:val="decimal"/>
      <w:lvlText w:val="%1."/>
      <w:lvlJc w:val="left"/>
      <w:pPr>
        <w:ind w:left="357" w:hanging="357"/>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tabs>
          <w:tab w:val="num" w:pos="1440"/>
        </w:tabs>
        <w:ind w:left="1797" w:hanging="357"/>
      </w:pPr>
      <w:rPr>
        <w:rFonts w:hint="default"/>
      </w:rPr>
    </w:lvl>
    <w:lvl w:ilvl="3">
      <w:start w:val="1"/>
      <w:numFmt w:val="upperLetter"/>
      <w:lvlText w:val="%4."/>
      <w:lvlJc w:val="left"/>
      <w:pPr>
        <w:tabs>
          <w:tab w:val="num" w:pos="2268"/>
        </w:tabs>
        <w:ind w:left="2495" w:hanging="357"/>
      </w:pPr>
      <w:rPr>
        <w:rFonts w:hint="default"/>
      </w:rPr>
    </w:lvl>
    <w:lvl w:ilvl="4">
      <w:start w:val="1"/>
      <w:numFmt w:val="upperRoman"/>
      <w:lvlText w:val="%5."/>
      <w:lvlJc w:val="left"/>
      <w:pPr>
        <w:ind w:left="3175" w:hanging="35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24" w15:restartNumberingAfterBreak="0">
    <w:nsid w:val="641668F4"/>
    <w:multiLevelType w:val="multilevel"/>
    <w:tmpl w:val="496AE266"/>
    <w:styleLink w:val="CurrentList1"/>
    <w:lvl w:ilvl="0">
      <w:start w:val="1"/>
      <w:numFmt w:val="bullet"/>
      <w:lvlText w:val="·"/>
      <w:lvlJc w:val="left"/>
      <w:pPr>
        <w:tabs>
          <w:tab w:val="num" w:pos="1814"/>
        </w:tabs>
        <w:ind w:left="1247" w:hanging="391"/>
      </w:pPr>
      <w:rPr>
        <w:rFonts w:ascii="Georgia" w:hAnsi="Georgia" w:hint="default"/>
      </w:rPr>
    </w:lvl>
    <w:lvl w:ilvl="1">
      <w:start w:val="1"/>
      <w:numFmt w:val="bullet"/>
      <w:lvlText w:val="◦"/>
      <w:lvlJc w:val="left"/>
      <w:pPr>
        <w:tabs>
          <w:tab w:val="num" w:pos="1814"/>
        </w:tabs>
        <w:ind w:left="1644" w:hanging="397"/>
      </w:pPr>
      <w:rPr>
        <w:rFonts w:ascii="Georgia" w:hAnsi="Georgia" w:hint="default"/>
        <w:sz w:val="16"/>
      </w:rPr>
    </w:lvl>
    <w:lvl w:ilvl="2">
      <w:start w:val="1"/>
      <w:numFmt w:val="bullet"/>
      <w:lvlText w:val="-"/>
      <w:lvlJc w:val="left"/>
      <w:pPr>
        <w:ind w:left="2041" w:hanging="397"/>
      </w:pPr>
      <w:rPr>
        <w:rFonts w:ascii="Georgia" w:hAnsi="Georgia"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bullet"/>
      <w:lvlText w:val=""/>
      <w:lvlJc w:val="left"/>
      <w:pPr>
        <w:ind w:left="1190" w:hanging="170"/>
      </w:pPr>
      <w:rPr>
        <w:rFonts w:ascii="Symbol" w:hAnsi="Symbol" w:hint="default"/>
      </w:rPr>
    </w:lvl>
    <w:lvl w:ilvl="7">
      <w:start w:val="1"/>
      <w:numFmt w:val="none"/>
      <w:lvlText w:val=""/>
      <w:lvlJc w:val="left"/>
      <w:pPr>
        <w:ind w:left="1360" w:hanging="170"/>
      </w:pPr>
      <w:rPr>
        <w:rFonts w:hint="default"/>
      </w:rPr>
    </w:lvl>
    <w:lvl w:ilvl="8">
      <w:start w:val="1"/>
      <w:numFmt w:val="bullet"/>
      <w:lvlText w:val=""/>
      <w:lvlJc w:val="left"/>
      <w:pPr>
        <w:ind w:left="1530" w:hanging="170"/>
      </w:pPr>
      <w:rPr>
        <w:rFonts w:ascii="Wingdings" w:hAnsi="Wingdings" w:hint="default"/>
      </w:rPr>
    </w:lvl>
  </w:abstractNum>
  <w:abstractNum w:abstractNumId="25" w15:restartNumberingAfterBreak="0">
    <w:nsid w:val="694A789A"/>
    <w:multiLevelType w:val="hybridMultilevel"/>
    <w:tmpl w:val="494677CE"/>
    <w:lvl w:ilvl="0" w:tplc="A8C87274">
      <w:start w:val="1"/>
      <w:numFmt w:val="bullet"/>
      <w:pStyle w:val="TableBullet1"/>
      <w:lvlText w:val="•"/>
      <w:lvlJc w:val="left"/>
      <w:pPr>
        <w:ind w:left="36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5C1734"/>
    <w:multiLevelType w:val="multilevel"/>
    <w:tmpl w:val="3F6ED5FA"/>
    <w:name w:val="ERM List 3"/>
    <w:lvl w:ilvl="0">
      <w:start w:val="1"/>
      <w:numFmt w:val="decimal"/>
      <w:pStyle w:val="NumberedText"/>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lowerRoman"/>
      <w:lvlText w:val="%3."/>
      <w:lvlJc w:val="left"/>
      <w:pPr>
        <w:ind w:left="1191" w:hanging="397"/>
      </w:pPr>
      <w:rPr>
        <w:rFonts w:hint="default"/>
      </w:rPr>
    </w:lvl>
    <w:lvl w:ilvl="3">
      <w:start w:val="1"/>
      <w:numFmt w:val="upperLetter"/>
      <w:lvlText w:val="%4."/>
      <w:lvlJc w:val="left"/>
      <w:pPr>
        <w:tabs>
          <w:tab w:val="num" w:pos="2268"/>
        </w:tabs>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27" w15:restartNumberingAfterBreak="0">
    <w:nsid w:val="6EA27BB7"/>
    <w:multiLevelType w:val="multilevel"/>
    <w:tmpl w:val="494677CE"/>
    <w:styleLink w:val="CurrentList23"/>
    <w:lvl w:ilvl="0">
      <w:start w:val="1"/>
      <w:numFmt w:val="bullet"/>
      <w:lvlText w:val="•"/>
      <w:lvlJc w:val="left"/>
      <w:pPr>
        <w:ind w:left="360" w:hanging="360"/>
      </w:pPr>
      <w:rPr>
        <w:rFonts w:ascii="Verdana" w:hAnsi="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71A47737"/>
    <w:multiLevelType w:val="multilevel"/>
    <w:tmpl w:val="55CE4272"/>
    <w:name w:val="ERM List 2"/>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lowerRoman"/>
      <w:lvlText w:val="%3."/>
      <w:lvlJc w:val="left"/>
      <w:pPr>
        <w:ind w:left="1191" w:hanging="397"/>
      </w:pPr>
      <w:rPr>
        <w:rFonts w:hint="default"/>
      </w:rPr>
    </w:lvl>
    <w:lvl w:ilvl="3">
      <w:start w:val="1"/>
      <w:numFmt w:val="upperLetter"/>
      <w:lvlText w:val="%4."/>
      <w:lvlJc w:val="left"/>
      <w:pPr>
        <w:ind w:left="1588" w:hanging="397"/>
      </w:pPr>
      <w:rPr>
        <w:rFonts w:hint="default"/>
      </w:rPr>
    </w:lvl>
    <w:lvl w:ilvl="4">
      <w:start w:val="1"/>
      <w:numFmt w:val="upperRoman"/>
      <w:lvlText w:val="%5."/>
      <w:lvlJc w:val="left"/>
      <w:pPr>
        <w:ind w:left="1985" w:hanging="397"/>
      </w:pPr>
      <w:rPr>
        <w:rFonts w:hint="default"/>
      </w:rPr>
    </w:lvl>
    <w:lvl w:ilvl="5">
      <w:start w:val="1"/>
      <w:numFmt w:val="none"/>
      <w:lvlText w:val=""/>
      <w:lvlJc w:val="righ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right"/>
      <w:pPr>
        <w:ind w:left="0" w:firstLine="0"/>
      </w:pPr>
      <w:rPr>
        <w:rFonts w:hint="default"/>
      </w:rPr>
    </w:lvl>
  </w:abstractNum>
  <w:abstractNum w:abstractNumId="29" w15:restartNumberingAfterBreak="0">
    <w:nsid w:val="755209F7"/>
    <w:multiLevelType w:val="multilevel"/>
    <w:tmpl w:val="2880360C"/>
    <w:styleLink w:val="CurrentList17"/>
    <w:lvl w:ilvl="0">
      <w:start w:val="1"/>
      <w:numFmt w:val="bullet"/>
      <w:lvlText w:val="•"/>
      <w:lvlJc w:val="left"/>
      <w:pPr>
        <w:ind w:left="397" w:hanging="397"/>
      </w:pPr>
      <w:rPr>
        <w:rFonts w:ascii="Verdana" w:hAnsi="Verdana" w:hint="default"/>
      </w:rPr>
    </w:lvl>
    <w:lvl w:ilvl="1">
      <w:start w:val="1"/>
      <w:numFmt w:val="bullet"/>
      <w:lvlText w:val="°"/>
      <w:lvlJc w:val="left"/>
      <w:pPr>
        <w:ind w:left="397" w:firstLine="0"/>
      </w:pPr>
      <w:rPr>
        <w:rFonts w:ascii="Verdana" w:hAnsi="Verdana" w:hint="default"/>
      </w:rPr>
    </w:lvl>
    <w:lvl w:ilvl="2">
      <w:start w:val="1"/>
      <w:numFmt w:val="bullet"/>
      <w:lvlText w:val="–"/>
      <w:lvlJc w:val="left"/>
      <w:pPr>
        <w:ind w:left="1191" w:hanging="397"/>
      </w:pPr>
      <w:rPr>
        <w:rFonts w:ascii="Verdana" w:hAnsi="Verdana" w:hint="default"/>
      </w:rPr>
    </w:lvl>
    <w:lvl w:ilvl="3">
      <w:start w:val="1"/>
      <w:numFmt w:val="bullet"/>
      <w:lvlText w:val=""/>
      <w:lvlJc w:val="left"/>
      <w:pPr>
        <w:ind w:left="1588" w:hanging="39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0" w15:restartNumberingAfterBreak="0">
    <w:nsid w:val="75784DC9"/>
    <w:multiLevelType w:val="multilevel"/>
    <w:tmpl w:val="59743F9A"/>
    <w:styleLink w:val="CurrentList22"/>
    <w:lvl w:ilvl="0">
      <w:start w:val="1"/>
      <w:numFmt w:val="bullet"/>
      <w:lvlText w:val="°"/>
      <w:lvlJc w:val="left"/>
      <w:pPr>
        <w:ind w:left="360" w:hanging="360"/>
      </w:pPr>
      <w:rPr>
        <w:rFonts w:ascii="Verdana" w:hAnsi="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78D39D0"/>
    <w:multiLevelType w:val="multilevel"/>
    <w:tmpl w:val="496AE266"/>
    <w:styleLink w:val="CurrentList2"/>
    <w:lvl w:ilvl="0">
      <w:start w:val="1"/>
      <w:numFmt w:val="bullet"/>
      <w:lvlText w:val="·"/>
      <w:lvlJc w:val="left"/>
      <w:pPr>
        <w:tabs>
          <w:tab w:val="num" w:pos="1814"/>
        </w:tabs>
        <w:ind w:left="1247" w:hanging="391"/>
      </w:pPr>
      <w:rPr>
        <w:rFonts w:ascii="Georgia" w:hAnsi="Georgia" w:hint="default"/>
      </w:rPr>
    </w:lvl>
    <w:lvl w:ilvl="1">
      <w:start w:val="1"/>
      <w:numFmt w:val="bullet"/>
      <w:lvlText w:val="◦"/>
      <w:lvlJc w:val="left"/>
      <w:pPr>
        <w:tabs>
          <w:tab w:val="num" w:pos="1814"/>
        </w:tabs>
        <w:ind w:left="1644" w:hanging="397"/>
      </w:pPr>
      <w:rPr>
        <w:rFonts w:ascii="Georgia" w:hAnsi="Georgia" w:hint="default"/>
        <w:sz w:val="16"/>
      </w:rPr>
    </w:lvl>
    <w:lvl w:ilvl="2">
      <w:start w:val="1"/>
      <w:numFmt w:val="bullet"/>
      <w:lvlText w:val="-"/>
      <w:lvlJc w:val="left"/>
      <w:pPr>
        <w:ind w:left="2041" w:hanging="397"/>
      </w:pPr>
      <w:rPr>
        <w:rFonts w:ascii="Georgia" w:hAnsi="Georgia"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bullet"/>
      <w:lvlText w:val=""/>
      <w:lvlJc w:val="left"/>
      <w:pPr>
        <w:ind w:left="1190" w:hanging="170"/>
      </w:pPr>
      <w:rPr>
        <w:rFonts w:ascii="Symbol" w:hAnsi="Symbol" w:hint="default"/>
      </w:rPr>
    </w:lvl>
    <w:lvl w:ilvl="7">
      <w:start w:val="1"/>
      <w:numFmt w:val="none"/>
      <w:lvlText w:val=""/>
      <w:lvlJc w:val="left"/>
      <w:pPr>
        <w:ind w:left="1360" w:hanging="170"/>
      </w:pPr>
      <w:rPr>
        <w:rFonts w:hint="default"/>
      </w:rPr>
    </w:lvl>
    <w:lvl w:ilvl="8">
      <w:start w:val="1"/>
      <w:numFmt w:val="bullet"/>
      <w:lvlText w:val=""/>
      <w:lvlJc w:val="left"/>
      <w:pPr>
        <w:ind w:left="1530" w:hanging="170"/>
      </w:pPr>
      <w:rPr>
        <w:rFonts w:ascii="Wingdings" w:hAnsi="Wingdings" w:hint="default"/>
      </w:rPr>
    </w:lvl>
  </w:abstractNum>
  <w:abstractNum w:abstractNumId="32" w15:restartNumberingAfterBreak="0">
    <w:nsid w:val="781E575C"/>
    <w:multiLevelType w:val="multilevel"/>
    <w:tmpl w:val="A7BEB4DC"/>
    <w:name w:val="ERM List 1"/>
    <w:lvl w:ilvl="0">
      <w:start w:val="1"/>
      <w:numFmt w:val="decimal"/>
      <w:pStyle w:val="Heading1"/>
      <w:lvlText w:val="%1."/>
      <w:lvlJc w:val="left"/>
      <w:pPr>
        <w:ind w:left="397" w:hanging="397"/>
      </w:pPr>
      <w:rPr>
        <w:rFonts w:hint="default"/>
      </w:rPr>
    </w:lvl>
    <w:lvl w:ilvl="1">
      <w:start w:val="1"/>
      <w:numFmt w:val="decimal"/>
      <w:pStyle w:val="Heading2"/>
      <w:lvlText w:val="%1.%2"/>
      <w:lvlJc w:val="left"/>
      <w:pPr>
        <w:tabs>
          <w:tab w:val="num" w:pos="431"/>
        </w:tabs>
        <w:ind w:left="624" w:hanging="624"/>
      </w:pPr>
      <w:rPr>
        <w:rFonts w:hint="default"/>
      </w:rPr>
    </w:lvl>
    <w:lvl w:ilvl="2">
      <w:start w:val="1"/>
      <w:numFmt w:val="decimal"/>
      <w:pStyle w:val="Heading3"/>
      <w:lvlText w:val="%1.%2.%3"/>
      <w:lvlJc w:val="left"/>
      <w:pPr>
        <w:ind w:left="737" w:hanging="737"/>
      </w:pPr>
      <w:rPr>
        <w:rFonts w:hint="default"/>
      </w:rPr>
    </w:lvl>
    <w:lvl w:ilvl="3">
      <w:start w:val="1"/>
      <w:numFmt w:val="decimal"/>
      <w:pStyle w:val="Heading4"/>
      <w:lvlText w:val="%1.%2.%3.%4"/>
      <w:lvlJc w:val="left"/>
      <w:pPr>
        <w:ind w:left="964" w:hanging="964"/>
      </w:pPr>
      <w:rPr>
        <w:rFonts w:hint="default"/>
      </w:rPr>
    </w:lvl>
    <w:lvl w:ilvl="4">
      <w:start w:val="1"/>
      <w:numFmt w:val="none"/>
      <w:pStyle w:val="Heading5"/>
      <w:lvlText w:val="%5"/>
      <w:lvlJc w:val="left"/>
      <w:pPr>
        <w:ind w:left="0" w:firstLine="0"/>
      </w:pPr>
      <w:rPr>
        <w:rFonts w:hint="default"/>
      </w:rPr>
    </w:lvl>
    <w:lvl w:ilvl="5">
      <w:start w:val="1"/>
      <w:numFmt w:val="none"/>
      <w:pStyle w:val="Heading6"/>
      <w:lvlText w:val="%6"/>
      <w:lvlJc w:val="left"/>
      <w:pPr>
        <w:ind w:left="0" w:firstLine="0"/>
      </w:pPr>
      <w:rPr>
        <w:rFonts w:hint="default"/>
      </w:rPr>
    </w:lvl>
    <w:lvl w:ilvl="6">
      <w:start w:val="1"/>
      <w:numFmt w:val="decimal"/>
      <w:pStyle w:val="ListNumber"/>
      <w:lvlText w:val="%7."/>
      <w:lvlJc w:val="left"/>
      <w:pPr>
        <w:ind w:left="357" w:hanging="357"/>
      </w:pPr>
      <w:rPr>
        <w:rFonts w:hint="default"/>
      </w:rPr>
    </w:lvl>
    <w:lvl w:ilvl="7">
      <w:start w:val="1"/>
      <w:numFmt w:val="lowerLetter"/>
      <w:pStyle w:val="ListNumberAlpha"/>
      <w:lvlText w:val="%8."/>
      <w:lvlJc w:val="left"/>
      <w:pPr>
        <w:tabs>
          <w:tab w:val="num" w:pos="720"/>
        </w:tabs>
        <w:ind w:left="1077" w:hanging="357"/>
      </w:pPr>
      <w:rPr>
        <w:rFonts w:hint="default"/>
      </w:rPr>
    </w:lvl>
    <w:lvl w:ilvl="8">
      <w:start w:val="1"/>
      <w:numFmt w:val="lowerRoman"/>
      <w:pStyle w:val="ListNumberRoman"/>
      <w:lvlText w:val="%9."/>
      <w:lvlJc w:val="left"/>
      <w:pPr>
        <w:ind w:left="1440" w:hanging="363"/>
      </w:pPr>
      <w:rPr>
        <w:rFonts w:hint="default"/>
      </w:rPr>
    </w:lvl>
  </w:abstractNum>
  <w:abstractNum w:abstractNumId="33" w15:restartNumberingAfterBreak="0">
    <w:nsid w:val="7BDF5A4E"/>
    <w:multiLevelType w:val="multilevel"/>
    <w:tmpl w:val="2DF8EECA"/>
    <w:styleLink w:val="CurrentList8"/>
    <w:lvl w:ilvl="0">
      <w:start w:val="1"/>
      <w:numFmt w:val="bullet"/>
      <w:lvlText w:val="•"/>
      <w:lvlJc w:val="left"/>
      <w:pPr>
        <w:ind w:left="357" w:hanging="357"/>
      </w:pPr>
      <w:rPr>
        <w:rFonts w:ascii="Verdana" w:hAnsi="Verdana" w:hint="default"/>
      </w:rPr>
    </w:lvl>
    <w:lvl w:ilvl="1">
      <w:start w:val="1"/>
      <w:numFmt w:val="bullet"/>
      <w:lvlText w:val="°"/>
      <w:lvlJc w:val="left"/>
      <w:pPr>
        <w:ind w:left="397" w:firstLine="323"/>
      </w:pPr>
      <w:rPr>
        <w:rFonts w:ascii="Verdana" w:hAnsi="Verdana" w:hint="default"/>
      </w:rPr>
    </w:lvl>
    <w:lvl w:ilvl="2">
      <w:start w:val="1"/>
      <w:numFmt w:val="bullet"/>
      <w:lvlText w:val="–"/>
      <w:lvlJc w:val="left"/>
      <w:pPr>
        <w:tabs>
          <w:tab w:val="num" w:pos="1440"/>
        </w:tabs>
        <w:ind w:left="1775" w:hanging="335"/>
      </w:pPr>
      <w:rPr>
        <w:rFonts w:ascii="Verdana" w:hAnsi="Verdana" w:hint="default"/>
      </w:rPr>
    </w:lvl>
    <w:lvl w:ilvl="3">
      <w:start w:val="1"/>
      <w:numFmt w:val="bullet"/>
      <w:lvlText w:val=""/>
      <w:lvlJc w:val="left"/>
      <w:pPr>
        <w:ind w:left="2517" w:hanging="357"/>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028674721">
    <w:abstractNumId w:val="11"/>
  </w:num>
  <w:num w:numId="2" w16cid:durableId="1151561691">
    <w:abstractNumId w:val="32"/>
  </w:num>
  <w:num w:numId="3" w16cid:durableId="653410660">
    <w:abstractNumId w:val="25"/>
  </w:num>
  <w:num w:numId="4" w16cid:durableId="942568912">
    <w:abstractNumId w:val="24"/>
  </w:num>
  <w:num w:numId="5" w16cid:durableId="259877536">
    <w:abstractNumId w:val="31"/>
  </w:num>
  <w:num w:numId="6" w16cid:durableId="1067533658">
    <w:abstractNumId w:val="18"/>
  </w:num>
  <w:num w:numId="7" w16cid:durableId="1939555453">
    <w:abstractNumId w:val="26"/>
  </w:num>
  <w:num w:numId="8" w16cid:durableId="7631117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7854285">
    <w:abstractNumId w:val="32"/>
  </w:num>
  <w:num w:numId="10" w16cid:durableId="986544821">
    <w:abstractNumId w:val="17"/>
  </w:num>
  <w:num w:numId="11" w16cid:durableId="1603804744">
    <w:abstractNumId w:val="10"/>
  </w:num>
  <w:num w:numId="12" w16cid:durableId="1505318821">
    <w:abstractNumId w:val="20"/>
  </w:num>
  <w:num w:numId="13" w16cid:durableId="1133714243">
    <w:abstractNumId w:val="1"/>
  </w:num>
  <w:num w:numId="14" w16cid:durableId="174148902">
    <w:abstractNumId w:val="9"/>
  </w:num>
  <w:num w:numId="15" w16cid:durableId="594873068">
    <w:abstractNumId w:val="33"/>
  </w:num>
  <w:num w:numId="16" w16cid:durableId="201745488">
    <w:abstractNumId w:val="13"/>
  </w:num>
  <w:num w:numId="17" w16cid:durableId="969094268">
    <w:abstractNumId w:val="8"/>
  </w:num>
  <w:num w:numId="18" w16cid:durableId="240680916">
    <w:abstractNumId w:val="5"/>
  </w:num>
  <w:num w:numId="19" w16cid:durableId="1146631931">
    <w:abstractNumId w:val="21"/>
  </w:num>
  <w:num w:numId="20" w16cid:durableId="871385471">
    <w:abstractNumId w:val="19"/>
  </w:num>
  <w:num w:numId="21" w16cid:durableId="2110395124">
    <w:abstractNumId w:val="23"/>
  </w:num>
  <w:num w:numId="22" w16cid:durableId="1944414834">
    <w:abstractNumId w:val="4"/>
  </w:num>
  <w:num w:numId="23" w16cid:durableId="111479246">
    <w:abstractNumId w:val="14"/>
  </w:num>
  <w:num w:numId="24" w16cid:durableId="8214790">
    <w:abstractNumId w:val="29"/>
  </w:num>
  <w:num w:numId="25" w16cid:durableId="413431591">
    <w:abstractNumId w:val="0"/>
  </w:num>
  <w:num w:numId="26" w16cid:durableId="1968315780">
    <w:abstractNumId w:val="7"/>
  </w:num>
  <w:num w:numId="27" w16cid:durableId="904609896">
    <w:abstractNumId w:val="15"/>
  </w:num>
  <w:num w:numId="28" w16cid:durableId="1665628083">
    <w:abstractNumId w:val="3"/>
  </w:num>
  <w:num w:numId="29" w16cid:durableId="667446691">
    <w:abstractNumId w:val="22"/>
  </w:num>
  <w:num w:numId="30" w16cid:durableId="1534919223">
    <w:abstractNumId w:val="30"/>
  </w:num>
  <w:num w:numId="31" w16cid:durableId="2054235217">
    <w:abstractNumId w:val="27"/>
  </w:num>
  <w:num w:numId="32" w16cid:durableId="484249453">
    <w:abstractNumId w:val="6"/>
  </w:num>
  <w:num w:numId="33" w16cid:durableId="125974225">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53"/>
    <w:rsid w:val="00000C09"/>
    <w:rsid w:val="000011B1"/>
    <w:rsid w:val="000013A1"/>
    <w:rsid w:val="00005E76"/>
    <w:rsid w:val="00006B31"/>
    <w:rsid w:val="00011127"/>
    <w:rsid w:val="00011F3D"/>
    <w:rsid w:val="000148E0"/>
    <w:rsid w:val="00014F05"/>
    <w:rsid w:val="000152DF"/>
    <w:rsid w:val="00015B42"/>
    <w:rsid w:val="00015CB4"/>
    <w:rsid w:val="00016286"/>
    <w:rsid w:val="000162D0"/>
    <w:rsid w:val="00016DDF"/>
    <w:rsid w:val="0001735B"/>
    <w:rsid w:val="000173E2"/>
    <w:rsid w:val="00021B26"/>
    <w:rsid w:val="00022034"/>
    <w:rsid w:val="0002218A"/>
    <w:rsid w:val="000232A4"/>
    <w:rsid w:val="000234D9"/>
    <w:rsid w:val="00023EB7"/>
    <w:rsid w:val="00024AC3"/>
    <w:rsid w:val="00025FFB"/>
    <w:rsid w:val="00026567"/>
    <w:rsid w:val="00026710"/>
    <w:rsid w:val="00026867"/>
    <w:rsid w:val="00026BFD"/>
    <w:rsid w:val="00026DDE"/>
    <w:rsid w:val="000272E0"/>
    <w:rsid w:val="00030CB2"/>
    <w:rsid w:val="00031402"/>
    <w:rsid w:val="00031CCF"/>
    <w:rsid w:val="00033159"/>
    <w:rsid w:val="0003340D"/>
    <w:rsid w:val="00040B06"/>
    <w:rsid w:val="00040CEC"/>
    <w:rsid w:val="00041EA8"/>
    <w:rsid w:val="000420F8"/>
    <w:rsid w:val="0004235E"/>
    <w:rsid w:val="00043F56"/>
    <w:rsid w:val="00044613"/>
    <w:rsid w:val="0004533A"/>
    <w:rsid w:val="00045582"/>
    <w:rsid w:val="00045590"/>
    <w:rsid w:val="0004686D"/>
    <w:rsid w:val="0005176B"/>
    <w:rsid w:val="000533A1"/>
    <w:rsid w:val="000533AF"/>
    <w:rsid w:val="0005495B"/>
    <w:rsid w:val="0005591A"/>
    <w:rsid w:val="00056F95"/>
    <w:rsid w:val="0006041F"/>
    <w:rsid w:val="000625EC"/>
    <w:rsid w:val="00065F07"/>
    <w:rsid w:val="000674D5"/>
    <w:rsid w:val="0007268B"/>
    <w:rsid w:val="00074367"/>
    <w:rsid w:val="0007678E"/>
    <w:rsid w:val="000775AB"/>
    <w:rsid w:val="00080BC6"/>
    <w:rsid w:val="00080C48"/>
    <w:rsid w:val="00081468"/>
    <w:rsid w:val="000829A5"/>
    <w:rsid w:val="00082B7F"/>
    <w:rsid w:val="00085511"/>
    <w:rsid w:val="00087213"/>
    <w:rsid w:val="0009095C"/>
    <w:rsid w:val="00091486"/>
    <w:rsid w:val="00092354"/>
    <w:rsid w:val="000930C0"/>
    <w:rsid w:val="0009475A"/>
    <w:rsid w:val="00094E9C"/>
    <w:rsid w:val="00095915"/>
    <w:rsid w:val="00095AE2"/>
    <w:rsid w:val="000961F8"/>
    <w:rsid w:val="000A0132"/>
    <w:rsid w:val="000A16A8"/>
    <w:rsid w:val="000A2685"/>
    <w:rsid w:val="000A3038"/>
    <w:rsid w:val="000A4134"/>
    <w:rsid w:val="000A462E"/>
    <w:rsid w:val="000A5E4E"/>
    <w:rsid w:val="000A6CC6"/>
    <w:rsid w:val="000B0ACB"/>
    <w:rsid w:val="000B0EC1"/>
    <w:rsid w:val="000B3435"/>
    <w:rsid w:val="000B73AE"/>
    <w:rsid w:val="000C0021"/>
    <w:rsid w:val="000C03CB"/>
    <w:rsid w:val="000C2177"/>
    <w:rsid w:val="000C2CF1"/>
    <w:rsid w:val="000C4871"/>
    <w:rsid w:val="000C4C63"/>
    <w:rsid w:val="000C4F54"/>
    <w:rsid w:val="000C525D"/>
    <w:rsid w:val="000C5919"/>
    <w:rsid w:val="000D2FDF"/>
    <w:rsid w:val="000D3881"/>
    <w:rsid w:val="000D55FF"/>
    <w:rsid w:val="000D63A0"/>
    <w:rsid w:val="000D7106"/>
    <w:rsid w:val="000D7410"/>
    <w:rsid w:val="000D7895"/>
    <w:rsid w:val="000D7AFE"/>
    <w:rsid w:val="000E16B1"/>
    <w:rsid w:val="000E31C7"/>
    <w:rsid w:val="000E37D6"/>
    <w:rsid w:val="000E4699"/>
    <w:rsid w:val="000E6E6A"/>
    <w:rsid w:val="000E7295"/>
    <w:rsid w:val="000F0FC0"/>
    <w:rsid w:val="000F10B4"/>
    <w:rsid w:val="000F3AA2"/>
    <w:rsid w:val="000F3D0C"/>
    <w:rsid w:val="000F6049"/>
    <w:rsid w:val="000F70E1"/>
    <w:rsid w:val="001005A4"/>
    <w:rsid w:val="00100E61"/>
    <w:rsid w:val="00104155"/>
    <w:rsid w:val="0010495D"/>
    <w:rsid w:val="00106EBA"/>
    <w:rsid w:val="001073FA"/>
    <w:rsid w:val="00107FCE"/>
    <w:rsid w:val="00110816"/>
    <w:rsid w:val="0011220A"/>
    <w:rsid w:val="00112EE4"/>
    <w:rsid w:val="00113D9B"/>
    <w:rsid w:val="00114437"/>
    <w:rsid w:val="00114792"/>
    <w:rsid w:val="001155C3"/>
    <w:rsid w:val="00115B27"/>
    <w:rsid w:val="00117262"/>
    <w:rsid w:val="00117742"/>
    <w:rsid w:val="00117D0B"/>
    <w:rsid w:val="00117E63"/>
    <w:rsid w:val="00122337"/>
    <w:rsid w:val="00122F82"/>
    <w:rsid w:val="00124232"/>
    <w:rsid w:val="0012469F"/>
    <w:rsid w:val="00125729"/>
    <w:rsid w:val="00125A4B"/>
    <w:rsid w:val="00126500"/>
    <w:rsid w:val="00126966"/>
    <w:rsid w:val="00127587"/>
    <w:rsid w:val="001276BE"/>
    <w:rsid w:val="001305E6"/>
    <w:rsid w:val="0013150B"/>
    <w:rsid w:val="0013188A"/>
    <w:rsid w:val="0013212A"/>
    <w:rsid w:val="00132B08"/>
    <w:rsid w:val="001339EC"/>
    <w:rsid w:val="001355F5"/>
    <w:rsid w:val="00135655"/>
    <w:rsid w:val="001365A6"/>
    <w:rsid w:val="00140397"/>
    <w:rsid w:val="001405E5"/>
    <w:rsid w:val="00142513"/>
    <w:rsid w:val="00142AC8"/>
    <w:rsid w:val="001436B8"/>
    <w:rsid w:val="001448EC"/>
    <w:rsid w:val="0014511B"/>
    <w:rsid w:val="0014632B"/>
    <w:rsid w:val="00146719"/>
    <w:rsid w:val="001557E5"/>
    <w:rsid w:val="00155EB7"/>
    <w:rsid w:val="00156A48"/>
    <w:rsid w:val="00161099"/>
    <w:rsid w:val="00163F9E"/>
    <w:rsid w:val="00163FAA"/>
    <w:rsid w:val="00165EA2"/>
    <w:rsid w:val="00165EE5"/>
    <w:rsid w:val="00166F4A"/>
    <w:rsid w:val="00167C6A"/>
    <w:rsid w:val="00170E58"/>
    <w:rsid w:val="00170F26"/>
    <w:rsid w:val="00171543"/>
    <w:rsid w:val="0017255B"/>
    <w:rsid w:val="00172F62"/>
    <w:rsid w:val="00174594"/>
    <w:rsid w:val="001763AA"/>
    <w:rsid w:val="00176EB0"/>
    <w:rsid w:val="00183EE3"/>
    <w:rsid w:val="001871C7"/>
    <w:rsid w:val="00187767"/>
    <w:rsid w:val="001905B3"/>
    <w:rsid w:val="00190948"/>
    <w:rsid w:val="001918E3"/>
    <w:rsid w:val="00192F9B"/>
    <w:rsid w:val="00193FDA"/>
    <w:rsid w:val="0019482C"/>
    <w:rsid w:val="0019588D"/>
    <w:rsid w:val="00195D71"/>
    <w:rsid w:val="00195EE4"/>
    <w:rsid w:val="001A0CB8"/>
    <w:rsid w:val="001A0F21"/>
    <w:rsid w:val="001A24A2"/>
    <w:rsid w:val="001A4714"/>
    <w:rsid w:val="001A4D89"/>
    <w:rsid w:val="001A5718"/>
    <w:rsid w:val="001B1423"/>
    <w:rsid w:val="001B386C"/>
    <w:rsid w:val="001B4A8C"/>
    <w:rsid w:val="001B4E86"/>
    <w:rsid w:val="001B693C"/>
    <w:rsid w:val="001B6F71"/>
    <w:rsid w:val="001C2621"/>
    <w:rsid w:val="001C34D8"/>
    <w:rsid w:val="001C42FD"/>
    <w:rsid w:val="001C4D24"/>
    <w:rsid w:val="001D0F2A"/>
    <w:rsid w:val="001D2A11"/>
    <w:rsid w:val="001D2BE3"/>
    <w:rsid w:val="001D2C18"/>
    <w:rsid w:val="001D2C8E"/>
    <w:rsid w:val="001D40D8"/>
    <w:rsid w:val="001D5333"/>
    <w:rsid w:val="001D6AB5"/>
    <w:rsid w:val="001D6CA2"/>
    <w:rsid w:val="001E13E7"/>
    <w:rsid w:val="001E31D2"/>
    <w:rsid w:val="001E356C"/>
    <w:rsid w:val="001E6DCB"/>
    <w:rsid w:val="001E7552"/>
    <w:rsid w:val="001F0423"/>
    <w:rsid w:val="001F093C"/>
    <w:rsid w:val="001F1EE3"/>
    <w:rsid w:val="001F2878"/>
    <w:rsid w:val="001F420C"/>
    <w:rsid w:val="00200757"/>
    <w:rsid w:val="0020088D"/>
    <w:rsid w:val="002030E1"/>
    <w:rsid w:val="00204A34"/>
    <w:rsid w:val="00205CA4"/>
    <w:rsid w:val="00210165"/>
    <w:rsid w:val="002102BD"/>
    <w:rsid w:val="002104F9"/>
    <w:rsid w:val="00210A16"/>
    <w:rsid w:val="00210C01"/>
    <w:rsid w:val="00211E2A"/>
    <w:rsid w:val="0021271E"/>
    <w:rsid w:val="00212A0B"/>
    <w:rsid w:val="00213ED4"/>
    <w:rsid w:val="00215032"/>
    <w:rsid w:val="00216231"/>
    <w:rsid w:val="00216721"/>
    <w:rsid w:val="00217E1C"/>
    <w:rsid w:val="002217F7"/>
    <w:rsid w:val="00222176"/>
    <w:rsid w:val="002222E2"/>
    <w:rsid w:val="00223445"/>
    <w:rsid w:val="00225744"/>
    <w:rsid w:val="0022619F"/>
    <w:rsid w:val="00227C75"/>
    <w:rsid w:val="00230DCE"/>
    <w:rsid w:val="00230DD6"/>
    <w:rsid w:val="00230FD4"/>
    <w:rsid w:val="0023107A"/>
    <w:rsid w:val="00234616"/>
    <w:rsid w:val="00235B0F"/>
    <w:rsid w:val="00236E39"/>
    <w:rsid w:val="002409A5"/>
    <w:rsid w:val="00240C93"/>
    <w:rsid w:val="00243044"/>
    <w:rsid w:val="00243FB7"/>
    <w:rsid w:val="00245E4A"/>
    <w:rsid w:val="00245FA5"/>
    <w:rsid w:val="00250193"/>
    <w:rsid w:val="00251966"/>
    <w:rsid w:val="0025213B"/>
    <w:rsid w:val="00252E47"/>
    <w:rsid w:val="00254522"/>
    <w:rsid w:val="00254E45"/>
    <w:rsid w:val="002552BC"/>
    <w:rsid w:val="0025642E"/>
    <w:rsid w:val="0025715F"/>
    <w:rsid w:val="00261A74"/>
    <w:rsid w:val="00261B50"/>
    <w:rsid w:val="002626A3"/>
    <w:rsid w:val="00263677"/>
    <w:rsid w:val="00263F34"/>
    <w:rsid w:val="00264635"/>
    <w:rsid w:val="00264BF9"/>
    <w:rsid w:val="00267FC2"/>
    <w:rsid w:val="002724A3"/>
    <w:rsid w:val="00272985"/>
    <w:rsid w:val="00272D80"/>
    <w:rsid w:val="00274B48"/>
    <w:rsid w:val="00274FB9"/>
    <w:rsid w:val="002758A6"/>
    <w:rsid w:val="00277B44"/>
    <w:rsid w:val="00277C73"/>
    <w:rsid w:val="00280BA1"/>
    <w:rsid w:val="00280F2C"/>
    <w:rsid w:val="002825CF"/>
    <w:rsid w:val="00282C22"/>
    <w:rsid w:val="0028415D"/>
    <w:rsid w:val="0028511F"/>
    <w:rsid w:val="00287240"/>
    <w:rsid w:val="00287530"/>
    <w:rsid w:val="00292E79"/>
    <w:rsid w:val="00296222"/>
    <w:rsid w:val="00296495"/>
    <w:rsid w:val="002975C8"/>
    <w:rsid w:val="00297D35"/>
    <w:rsid w:val="002A293A"/>
    <w:rsid w:val="002A5D5B"/>
    <w:rsid w:val="002A7440"/>
    <w:rsid w:val="002B1DEF"/>
    <w:rsid w:val="002B2180"/>
    <w:rsid w:val="002B2348"/>
    <w:rsid w:val="002B273D"/>
    <w:rsid w:val="002B295E"/>
    <w:rsid w:val="002B4251"/>
    <w:rsid w:val="002B5998"/>
    <w:rsid w:val="002B5CA5"/>
    <w:rsid w:val="002B7BCC"/>
    <w:rsid w:val="002C0F0C"/>
    <w:rsid w:val="002C2BCC"/>
    <w:rsid w:val="002C35CF"/>
    <w:rsid w:val="002C3AE6"/>
    <w:rsid w:val="002C4F1F"/>
    <w:rsid w:val="002C593A"/>
    <w:rsid w:val="002C595C"/>
    <w:rsid w:val="002C5E0A"/>
    <w:rsid w:val="002C64CE"/>
    <w:rsid w:val="002C6CDD"/>
    <w:rsid w:val="002D0B0A"/>
    <w:rsid w:val="002D2E46"/>
    <w:rsid w:val="002D34F9"/>
    <w:rsid w:val="002D3CA0"/>
    <w:rsid w:val="002D5451"/>
    <w:rsid w:val="002D631C"/>
    <w:rsid w:val="002D7954"/>
    <w:rsid w:val="002E0FA8"/>
    <w:rsid w:val="002E1BA2"/>
    <w:rsid w:val="002E237F"/>
    <w:rsid w:val="002E26A3"/>
    <w:rsid w:val="002E44EB"/>
    <w:rsid w:val="002E586A"/>
    <w:rsid w:val="002E5C21"/>
    <w:rsid w:val="002E73DD"/>
    <w:rsid w:val="002E77A4"/>
    <w:rsid w:val="002E7A89"/>
    <w:rsid w:val="002F10F3"/>
    <w:rsid w:val="002F353A"/>
    <w:rsid w:val="002F386C"/>
    <w:rsid w:val="002F55E6"/>
    <w:rsid w:val="002F6BEA"/>
    <w:rsid w:val="002F76DB"/>
    <w:rsid w:val="00300311"/>
    <w:rsid w:val="00300B87"/>
    <w:rsid w:val="00301578"/>
    <w:rsid w:val="00301739"/>
    <w:rsid w:val="003019E9"/>
    <w:rsid w:val="00302038"/>
    <w:rsid w:val="00302C1E"/>
    <w:rsid w:val="00303694"/>
    <w:rsid w:val="00303FE0"/>
    <w:rsid w:val="003045C5"/>
    <w:rsid w:val="00306466"/>
    <w:rsid w:val="00307E63"/>
    <w:rsid w:val="00310652"/>
    <w:rsid w:val="00310B1E"/>
    <w:rsid w:val="00311A16"/>
    <w:rsid w:val="00312121"/>
    <w:rsid w:val="00312DCA"/>
    <w:rsid w:val="0031618E"/>
    <w:rsid w:val="00316824"/>
    <w:rsid w:val="00316A16"/>
    <w:rsid w:val="00316ED7"/>
    <w:rsid w:val="00317386"/>
    <w:rsid w:val="003200AE"/>
    <w:rsid w:val="00320ECA"/>
    <w:rsid w:val="00323607"/>
    <w:rsid w:val="0032389F"/>
    <w:rsid w:val="0032480E"/>
    <w:rsid w:val="00324EE7"/>
    <w:rsid w:val="00325DB1"/>
    <w:rsid w:val="00326233"/>
    <w:rsid w:val="003262E5"/>
    <w:rsid w:val="0033175F"/>
    <w:rsid w:val="003341B4"/>
    <w:rsid w:val="00334319"/>
    <w:rsid w:val="00334AAC"/>
    <w:rsid w:val="00334C97"/>
    <w:rsid w:val="00334D72"/>
    <w:rsid w:val="00335F8B"/>
    <w:rsid w:val="0033603E"/>
    <w:rsid w:val="00337E1C"/>
    <w:rsid w:val="00340E38"/>
    <w:rsid w:val="003413D3"/>
    <w:rsid w:val="0034471A"/>
    <w:rsid w:val="00344B7A"/>
    <w:rsid w:val="00344BBF"/>
    <w:rsid w:val="00344DB3"/>
    <w:rsid w:val="00345225"/>
    <w:rsid w:val="00345522"/>
    <w:rsid w:val="00345633"/>
    <w:rsid w:val="00350D05"/>
    <w:rsid w:val="00351B2A"/>
    <w:rsid w:val="00351C61"/>
    <w:rsid w:val="0035314B"/>
    <w:rsid w:val="0035357B"/>
    <w:rsid w:val="0035629B"/>
    <w:rsid w:val="00361840"/>
    <w:rsid w:val="00362DFF"/>
    <w:rsid w:val="00363E5A"/>
    <w:rsid w:val="003640BA"/>
    <w:rsid w:val="003662FF"/>
    <w:rsid w:val="00367388"/>
    <w:rsid w:val="00370CE4"/>
    <w:rsid w:val="00370D2F"/>
    <w:rsid w:val="0037101C"/>
    <w:rsid w:val="003753DA"/>
    <w:rsid w:val="00376381"/>
    <w:rsid w:val="0038162E"/>
    <w:rsid w:val="00382A8E"/>
    <w:rsid w:val="00384524"/>
    <w:rsid w:val="00385102"/>
    <w:rsid w:val="0039059A"/>
    <w:rsid w:val="00390A79"/>
    <w:rsid w:val="00391DA8"/>
    <w:rsid w:val="0039343C"/>
    <w:rsid w:val="003935CA"/>
    <w:rsid w:val="00396EEF"/>
    <w:rsid w:val="003A0552"/>
    <w:rsid w:val="003A13CB"/>
    <w:rsid w:val="003A1552"/>
    <w:rsid w:val="003A20E6"/>
    <w:rsid w:val="003A2BDA"/>
    <w:rsid w:val="003A2FAE"/>
    <w:rsid w:val="003A3855"/>
    <w:rsid w:val="003A3FFA"/>
    <w:rsid w:val="003A5E9F"/>
    <w:rsid w:val="003A6140"/>
    <w:rsid w:val="003B0124"/>
    <w:rsid w:val="003B0159"/>
    <w:rsid w:val="003B067F"/>
    <w:rsid w:val="003B2BFC"/>
    <w:rsid w:val="003B42B1"/>
    <w:rsid w:val="003B661D"/>
    <w:rsid w:val="003B799E"/>
    <w:rsid w:val="003C0A12"/>
    <w:rsid w:val="003C1DC0"/>
    <w:rsid w:val="003C4CD3"/>
    <w:rsid w:val="003D0AE9"/>
    <w:rsid w:val="003D24B4"/>
    <w:rsid w:val="003D28B6"/>
    <w:rsid w:val="003D28ED"/>
    <w:rsid w:val="003D2D67"/>
    <w:rsid w:val="003D34C1"/>
    <w:rsid w:val="003D3655"/>
    <w:rsid w:val="003D4113"/>
    <w:rsid w:val="003D41A5"/>
    <w:rsid w:val="003D4AF4"/>
    <w:rsid w:val="003D4CA4"/>
    <w:rsid w:val="003D54AA"/>
    <w:rsid w:val="003D6487"/>
    <w:rsid w:val="003D75BC"/>
    <w:rsid w:val="003D77D4"/>
    <w:rsid w:val="003E0F3F"/>
    <w:rsid w:val="003E2146"/>
    <w:rsid w:val="003E3477"/>
    <w:rsid w:val="003E4C89"/>
    <w:rsid w:val="003E4CC6"/>
    <w:rsid w:val="003E4CD5"/>
    <w:rsid w:val="003F20CC"/>
    <w:rsid w:val="003F4D59"/>
    <w:rsid w:val="003F4E6A"/>
    <w:rsid w:val="003F5443"/>
    <w:rsid w:val="003F7827"/>
    <w:rsid w:val="003F7F0B"/>
    <w:rsid w:val="0040029E"/>
    <w:rsid w:val="004028AC"/>
    <w:rsid w:val="00405C5B"/>
    <w:rsid w:val="0040792B"/>
    <w:rsid w:val="00410805"/>
    <w:rsid w:val="00410B0C"/>
    <w:rsid w:val="004112E5"/>
    <w:rsid w:val="0041297E"/>
    <w:rsid w:val="0041357D"/>
    <w:rsid w:val="00413F97"/>
    <w:rsid w:val="00416DEC"/>
    <w:rsid w:val="0041741E"/>
    <w:rsid w:val="004177EE"/>
    <w:rsid w:val="00420071"/>
    <w:rsid w:val="0042629B"/>
    <w:rsid w:val="00432968"/>
    <w:rsid w:val="004334EA"/>
    <w:rsid w:val="00434770"/>
    <w:rsid w:val="00437C44"/>
    <w:rsid w:val="004410B1"/>
    <w:rsid w:val="00442E3E"/>
    <w:rsid w:val="00443A78"/>
    <w:rsid w:val="00444161"/>
    <w:rsid w:val="004456E8"/>
    <w:rsid w:val="004468B6"/>
    <w:rsid w:val="0044732A"/>
    <w:rsid w:val="004477D1"/>
    <w:rsid w:val="004479BF"/>
    <w:rsid w:val="00452F58"/>
    <w:rsid w:val="00454518"/>
    <w:rsid w:val="004554A9"/>
    <w:rsid w:val="0046036C"/>
    <w:rsid w:val="0046154A"/>
    <w:rsid w:val="00464CD5"/>
    <w:rsid w:val="00464FC5"/>
    <w:rsid w:val="0046756B"/>
    <w:rsid w:val="004678F2"/>
    <w:rsid w:val="00467CDF"/>
    <w:rsid w:val="004708FB"/>
    <w:rsid w:val="00472120"/>
    <w:rsid w:val="00472D12"/>
    <w:rsid w:val="00473875"/>
    <w:rsid w:val="00473DB3"/>
    <w:rsid w:val="00475366"/>
    <w:rsid w:val="00475D93"/>
    <w:rsid w:val="00480305"/>
    <w:rsid w:val="00483031"/>
    <w:rsid w:val="00483E25"/>
    <w:rsid w:val="00486BBB"/>
    <w:rsid w:val="00487E49"/>
    <w:rsid w:val="004913EB"/>
    <w:rsid w:val="00491BF6"/>
    <w:rsid w:val="004928E7"/>
    <w:rsid w:val="00494827"/>
    <w:rsid w:val="00494E1E"/>
    <w:rsid w:val="00494F54"/>
    <w:rsid w:val="004963E3"/>
    <w:rsid w:val="00497AC3"/>
    <w:rsid w:val="004A10EE"/>
    <w:rsid w:val="004A292F"/>
    <w:rsid w:val="004A52B1"/>
    <w:rsid w:val="004B05B7"/>
    <w:rsid w:val="004B097D"/>
    <w:rsid w:val="004B0F90"/>
    <w:rsid w:val="004B6A23"/>
    <w:rsid w:val="004C1879"/>
    <w:rsid w:val="004C3EA4"/>
    <w:rsid w:val="004C55DA"/>
    <w:rsid w:val="004C71A1"/>
    <w:rsid w:val="004C76D1"/>
    <w:rsid w:val="004C7A45"/>
    <w:rsid w:val="004D5D38"/>
    <w:rsid w:val="004D6A0E"/>
    <w:rsid w:val="004E040A"/>
    <w:rsid w:val="004E0E21"/>
    <w:rsid w:val="004E25C7"/>
    <w:rsid w:val="004E28D8"/>
    <w:rsid w:val="004E3AAD"/>
    <w:rsid w:val="004E4F0D"/>
    <w:rsid w:val="004F1C5D"/>
    <w:rsid w:val="004F20A8"/>
    <w:rsid w:val="004F47AC"/>
    <w:rsid w:val="004F5522"/>
    <w:rsid w:val="0050078F"/>
    <w:rsid w:val="00500CB9"/>
    <w:rsid w:val="00501182"/>
    <w:rsid w:val="0050359F"/>
    <w:rsid w:val="005059C3"/>
    <w:rsid w:val="005075C8"/>
    <w:rsid w:val="00507878"/>
    <w:rsid w:val="00510909"/>
    <w:rsid w:val="00510A9B"/>
    <w:rsid w:val="00511E7B"/>
    <w:rsid w:val="005129E6"/>
    <w:rsid w:val="005139FF"/>
    <w:rsid w:val="00517B46"/>
    <w:rsid w:val="00521EE4"/>
    <w:rsid w:val="00522059"/>
    <w:rsid w:val="0052546D"/>
    <w:rsid w:val="00525491"/>
    <w:rsid w:val="005309DA"/>
    <w:rsid w:val="00530DD9"/>
    <w:rsid w:val="0053314C"/>
    <w:rsid w:val="00533668"/>
    <w:rsid w:val="005340EE"/>
    <w:rsid w:val="005353E0"/>
    <w:rsid w:val="00535A9C"/>
    <w:rsid w:val="00536934"/>
    <w:rsid w:val="005439DD"/>
    <w:rsid w:val="00544CD4"/>
    <w:rsid w:val="00545B30"/>
    <w:rsid w:val="00547724"/>
    <w:rsid w:val="00551909"/>
    <w:rsid w:val="00552EF2"/>
    <w:rsid w:val="00554CBB"/>
    <w:rsid w:val="0055500F"/>
    <w:rsid w:val="005563E7"/>
    <w:rsid w:val="00560B3B"/>
    <w:rsid w:val="00560E9C"/>
    <w:rsid w:val="00562D33"/>
    <w:rsid w:val="00563BD0"/>
    <w:rsid w:val="00564E25"/>
    <w:rsid w:val="005652CB"/>
    <w:rsid w:val="00572DFA"/>
    <w:rsid w:val="00573512"/>
    <w:rsid w:val="00574BBC"/>
    <w:rsid w:val="00574BC9"/>
    <w:rsid w:val="00577237"/>
    <w:rsid w:val="00577925"/>
    <w:rsid w:val="00577DD3"/>
    <w:rsid w:val="005801CD"/>
    <w:rsid w:val="00582252"/>
    <w:rsid w:val="00582666"/>
    <w:rsid w:val="00585F0D"/>
    <w:rsid w:val="0058665A"/>
    <w:rsid w:val="00587ABA"/>
    <w:rsid w:val="0059114A"/>
    <w:rsid w:val="00591357"/>
    <w:rsid w:val="00591B08"/>
    <w:rsid w:val="00591ED9"/>
    <w:rsid w:val="005934FF"/>
    <w:rsid w:val="00593DB6"/>
    <w:rsid w:val="00594BE0"/>
    <w:rsid w:val="00595077"/>
    <w:rsid w:val="005A1EF1"/>
    <w:rsid w:val="005A3DCD"/>
    <w:rsid w:val="005A3F3E"/>
    <w:rsid w:val="005A76E5"/>
    <w:rsid w:val="005B2496"/>
    <w:rsid w:val="005B3B50"/>
    <w:rsid w:val="005B50AF"/>
    <w:rsid w:val="005B563F"/>
    <w:rsid w:val="005B5A00"/>
    <w:rsid w:val="005B63B9"/>
    <w:rsid w:val="005B7E75"/>
    <w:rsid w:val="005C1872"/>
    <w:rsid w:val="005C1AB3"/>
    <w:rsid w:val="005C21F1"/>
    <w:rsid w:val="005C2FE4"/>
    <w:rsid w:val="005C46C8"/>
    <w:rsid w:val="005C542E"/>
    <w:rsid w:val="005C54A3"/>
    <w:rsid w:val="005C5B7A"/>
    <w:rsid w:val="005C74D5"/>
    <w:rsid w:val="005D0826"/>
    <w:rsid w:val="005D36D9"/>
    <w:rsid w:val="005D3860"/>
    <w:rsid w:val="005D3C91"/>
    <w:rsid w:val="005D3D1E"/>
    <w:rsid w:val="005D7B88"/>
    <w:rsid w:val="005E0993"/>
    <w:rsid w:val="005E214A"/>
    <w:rsid w:val="005E2B82"/>
    <w:rsid w:val="005E3458"/>
    <w:rsid w:val="005E3EE3"/>
    <w:rsid w:val="005E6CA2"/>
    <w:rsid w:val="005E707E"/>
    <w:rsid w:val="005E70CC"/>
    <w:rsid w:val="005F165D"/>
    <w:rsid w:val="005F2B37"/>
    <w:rsid w:val="005F31F5"/>
    <w:rsid w:val="005F3407"/>
    <w:rsid w:val="005F5061"/>
    <w:rsid w:val="005F6796"/>
    <w:rsid w:val="005F6C44"/>
    <w:rsid w:val="006002AA"/>
    <w:rsid w:val="00602A2D"/>
    <w:rsid w:val="006032BC"/>
    <w:rsid w:val="00605176"/>
    <w:rsid w:val="00605EE7"/>
    <w:rsid w:val="00610CE1"/>
    <w:rsid w:val="00611252"/>
    <w:rsid w:val="006112DE"/>
    <w:rsid w:val="006114D7"/>
    <w:rsid w:val="006118AB"/>
    <w:rsid w:val="00612832"/>
    <w:rsid w:val="006129E1"/>
    <w:rsid w:val="006144A1"/>
    <w:rsid w:val="006154AA"/>
    <w:rsid w:val="0061558E"/>
    <w:rsid w:val="00615770"/>
    <w:rsid w:val="006158FD"/>
    <w:rsid w:val="00616F9E"/>
    <w:rsid w:val="00617CBE"/>
    <w:rsid w:val="00623CFA"/>
    <w:rsid w:val="00624AF3"/>
    <w:rsid w:val="00631575"/>
    <w:rsid w:val="00631DAD"/>
    <w:rsid w:val="00634D8F"/>
    <w:rsid w:val="006360FA"/>
    <w:rsid w:val="006365E5"/>
    <w:rsid w:val="0063695A"/>
    <w:rsid w:val="00637B31"/>
    <w:rsid w:val="006405BD"/>
    <w:rsid w:val="00640BC7"/>
    <w:rsid w:val="00640F8A"/>
    <w:rsid w:val="00641044"/>
    <w:rsid w:val="00643463"/>
    <w:rsid w:val="00644C24"/>
    <w:rsid w:val="006468C6"/>
    <w:rsid w:val="00651967"/>
    <w:rsid w:val="00653D39"/>
    <w:rsid w:val="00654325"/>
    <w:rsid w:val="00655509"/>
    <w:rsid w:val="00655A59"/>
    <w:rsid w:val="00657606"/>
    <w:rsid w:val="00660922"/>
    <w:rsid w:val="006614F2"/>
    <w:rsid w:val="00661DD4"/>
    <w:rsid w:val="00663A3F"/>
    <w:rsid w:val="00663D4F"/>
    <w:rsid w:val="00664BC1"/>
    <w:rsid w:val="0066798D"/>
    <w:rsid w:val="00670330"/>
    <w:rsid w:val="00671FD3"/>
    <w:rsid w:val="00673852"/>
    <w:rsid w:val="00674EC0"/>
    <w:rsid w:val="0067555E"/>
    <w:rsid w:val="0067574E"/>
    <w:rsid w:val="00676E42"/>
    <w:rsid w:val="006848E9"/>
    <w:rsid w:val="006878DE"/>
    <w:rsid w:val="006917C1"/>
    <w:rsid w:val="0069464E"/>
    <w:rsid w:val="006960AA"/>
    <w:rsid w:val="00696893"/>
    <w:rsid w:val="00697064"/>
    <w:rsid w:val="006A074C"/>
    <w:rsid w:val="006A0B7F"/>
    <w:rsid w:val="006A23E0"/>
    <w:rsid w:val="006A2FE7"/>
    <w:rsid w:val="006A558B"/>
    <w:rsid w:val="006A57C3"/>
    <w:rsid w:val="006A7EB7"/>
    <w:rsid w:val="006B2A52"/>
    <w:rsid w:val="006B394A"/>
    <w:rsid w:val="006B41B9"/>
    <w:rsid w:val="006B4F4F"/>
    <w:rsid w:val="006B5604"/>
    <w:rsid w:val="006B6233"/>
    <w:rsid w:val="006B6D3F"/>
    <w:rsid w:val="006B7313"/>
    <w:rsid w:val="006B7393"/>
    <w:rsid w:val="006B7459"/>
    <w:rsid w:val="006B79DA"/>
    <w:rsid w:val="006C0997"/>
    <w:rsid w:val="006C0C1C"/>
    <w:rsid w:val="006C3DEA"/>
    <w:rsid w:val="006C5A81"/>
    <w:rsid w:val="006D1073"/>
    <w:rsid w:val="006D1DEE"/>
    <w:rsid w:val="006D2F2C"/>
    <w:rsid w:val="006D6AA9"/>
    <w:rsid w:val="006E02B8"/>
    <w:rsid w:val="006E0596"/>
    <w:rsid w:val="006E0DBD"/>
    <w:rsid w:val="006E13AC"/>
    <w:rsid w:val="006E1461"/>
    <w:rsid w:val="006E2140"/>
    <w:rsid w:val="006E23BD"/>
    <w:rsid w:val="006E36BA"/>
    <w:rsid w:val="006E39F3"/>
    <w:rsid w:val="006E450A"/>
    <w:rsid w:val="006E6353"/>
    <w:rsid w:val="006E673D"/>
    <w:rsid w:val="006F06B7"/>
    <w:rsid w:val="006F307E"/>
    <w:rsid w:val="006F3A72"/>
    <w:rsid w:val="006F585A"/>
    <w:rsid w:val="006F5F97"/>
    <w:rsid w:val="006F7790"/>
    <w:rsid w:val="00701962"/>
    <w:rsid w:val="0070228A"/>
    <w:rsid w:val="0070272F"/>
    <w:rsid w:val="0070311E"/>
    <w:rsid w:val="00703F2E"/>
    <w:rsid w:val="007057EA"/>
    <w:rsid w:val="00705CFE"/>
    <w:rsid w:val="00710E0C"/>
    <w:rsid w:val="00711865"/>
    <w:rsid w:val="0071253B"/>
    <w:rsid w:val="00713B24"/>
    <w:rsid w:val="007141E5"/>
    <w:rsid w:val="007142CE"/>
    <w:rsid w:val="00714DF0"/>
    <w:rsid w:val="00714E50"/>
    <w:rsid w:val="0071569E"/>
    <w:rsid w:val="0071589F"/>
    <w:rsid w:val="00716C66"/>
    <w:rsid w:val="007170FD"/>
    <w:rsid w:val="00722F26"/>
    <w:rsid w:val="0072325F"/>
    <w:rsid w:val="007239F8"/>
    <w:rsid w:val="00726977"/>
    <w:rsid w:val="00727A0E"/>
    <w:rsid w:val="0073214C"/>
    <w:rsid w:val="00734D97"/>
    <w:rsid w:val="0073532C"/>
    <w:rsid w:val="00735BD5"/>
    <w:rsid w:val="00735FC2"/>
    <w:rsid w:val="00736638"/>
    <w:rsid w:val="00736C45"/>
    <w:rsid w:val="00736C85"/>
    <w:rsid w:val="00737479"/>
    <w:rsid w:val="00741BC1"/>
    <w:rsid w:val="0074222D"/>
    <w:rsid w:val="0074468C"/>
    <w:rsid w:val="00744B89"/>
    <w:rsid w:val="00744C4D"/>
    <w:rsid w:val="00746B89"/>
    <w:rsid w:val="00750A85"/>
    <w:rsid w:val="0075117A"/>
    <w:rsid w:val="00751B6A"/>
    <w:rsid w:val="007522EC"/>
    <w:rsid w:val="00752AFD"/>
    <w:rsid w:val="00753821"/>
    <w:rsid w:val="00754793"/>
    <w:rsid w:val="007570C3"/>
    <w:rsid w:val="007570DC"/>
    <w:rsid w:val="00757DE2"/>
    <w:rsid w:val="00760771"/>
    <w:rsid w:val="00760A3F"/>
    <w:rsid w:val="0076236F"/>
    <w:rsid w:val="007624EB"/>
    <w:rsid w:val="007630E0"/>
    <w:rsid w:val="00764A17"/>
    <w:rsid w:val="00765118"/>
    <w:rsid w:val="0076574B"/>
    <w:rsid w:val="007666E2"/>
    <w:rsid w:val="007672E0"/>
    <w:rsid w:val="00771A36"/>
    <w:rsid w:val="0077214F"/>
    <w:rsid w:val="00772DC2"/>
    <w:rsid w:val="007731BA"/>
    <w:rsid w:val="00773EF8"/>
    <w:rsid w:val="00774CDF"/>
    <w:rsid w:val="007754FC"/>
    <w:rsid w:val="00776030"/>
    <w:rsid w:val="007779E2"/>
    <w:rsid w:val="00780173"/>
    <w:rsid w:val="00781432"/>
    <w:rsid w:val="00783505"/>
    <w:rsid w:val="00783F9C"/>
    <w:rsid w:val="007841B0"/>
    <w:rsid w:val="00785176"/>
    <w:rsid w:val="00785730"/>
    <w:rsid w:val="007861AC"/>
    <w:rsid w:val="007871DE"/>
    <w:rsid w:val="0078738D"/>
    <w:rsid w:val="00792E19"/>
    <w:rsid w:val="007938D1"/>
    <w:rsid w:val="00794449"/>
    <w:rsid w:val="007949F9"/>
    <w:rsid w:val="007956CE"/>
    <w:rsid w:val="007972A8"/>
    <w:rsid w:val="007A0399"/>
    <w:rsid w:val="007A2EB8"/>
    <w:rsid w:val="007A3A65"/>
    <w:rsid w:val="007A4125"/>
    <w:rsid w:val="007A61F2"/>
    <w:rsid w:val="007B0DB6"/>
    <w:rsid w:val="007B12EF"/>
    <w:rsid w:val="007B1553"/>
    <w:rsid w:val="007B1772"/>
    <w:rsid w:val="007B19EE"/>
    <w:rsid w:val="007B28C5"/>
    <w:rsid w:val="007B3351"/>
    <w:rsid w:val="007B4CBC"/>
    <w:rsid w:val="007B4EDE"/>
    <w:rsid w:val="007B61CE"/>
    <w:rsid w:val="007B6570"/>
    <w:rsid w:val="007B6DA6"/>
    <w:rsid w:val="007B7353"/>
    <w:rsid w:val="007B795D"/>
    <w:rsid w:val="007C032A"/>
    <w:rsid w:val="007C0F69"/>
    <w:rsid w:val="007C3E56"/>
    <w:rsid w:val="007C531A"/>
    <w:rsid w:val="007C6C41"/>
    <w:rsid w:val="007D047E"/>
    <w:rsid w:val="007D1430"/>
    <w:rsid w:val="007D3002"/>
    <w:rsid w:val="007D4984"/>
    <w:rsid w:val="007D60DD"/>
    <w:rsid w:val="007E2ADB"/>
    <w:rsid w:val="007E30B3"/>
    <w:rsid w:val="007E4309"/>
    <w:rsid w:val="007E4F0C"/>
    <w:rsid w:val="007E53BD"/>
    <w:rsid w:val="007E6CD8"/>
    <w:rsid w:val="007F0A54"/>
    <w:rsid w:val="007F249A"/>
    <w:rsid w:val="007F2DA1"/>
    <w:rsid w:val="007F646D"/>
    <w:rsid w:val="00801696"/>
    <w:rsid w:val="008048C4"/>
    <w:rsid w:val="00810BCE"/>
    <w:rsid w:val="0081118B"/>
    <w:rsid w:val="00811660"/>
    <w:rsid w:val="00814D0C"/>
    <w:rsid w:val="008166EB"/>
    <w:rsid w:val="00820361"/>
    <w:rsid w:val="00820B46"/>
    <w:rsid w:val="008223B7"/>
    <w:rsid w:val="00824A3E"/>
    <w:rsid w:val="0082667B"/>
    <w:rsid w:val="00827072"/>
    <w:rsid w:val="0083274A"/>
    <w:rsid w:val="00835B26"/>
    <w:rsid w:val="008403E2"/>
    <w:rsid w:val="00840B34"/>
    <w:rsid w:val="00841AA2"/>
    <w:rsid w:val="008422E9"/>
    <w:rsid w:val="00842C05"/>
    <w:rsid w:val="00842CDF"/>
    <w:rsid w:val="008430AF"/>
    <w:rsid w:val="00844E2D"/>
    <w:rsid w:val="008456F7"/>
    <w:rsid w:val="008460CA"/>
    <w:rsid w:val="00846D6C"/>
    <w:rsid w:val="008477CB"/>
    <w:rsid w:val="00853069"/>
    <w:rsid w:val="00854722"/>
    <w:rsid w:val="00855327"/>
    <w:rsid w:val="00856E01"/>
    <w:rsid w:val="008579DF"/>
    <w:rsid w:val="00857F85"/>
    <w:rsid w:val="0086228F"/>
    <w:rsid w:val="0086266D"/>
    <w:rsid w:val="00866334"/>
    <w:rsid w:val="00866709"/>
    <w:rsid w:val="00866877"/>
    <w:rsid w:val="00873E6C"/>
    <w:rsid w:val="00874E51"/>
    <w:rsid w:val="00875498"/>
    <w:rsid w:val="0087554D"/>
    <w:rsid w:val="00875A97"/>
    <w:rsid w:val="00876A53"/>
    <w:rsid w:val="00877977"/>
    <w:rsid w:val="008804B7"/>
    <w:rsid w:val="0088118F"/>
    <w:rsid w:val="00884114"/>
    <w:rsid w:val="00885FCF"/>
    <w:rsid w:val="00887E25"/>
    <w:rsid w:val="008906A2"/>
    <w:rsid w:val="00893AF8"/>
    <w:rsid w:val="00893B5A"/>
    <w:rsid w:val="00897311"/>
    <w:rsid w:val="008A0777"/>
    <w:rsid w:val="008A0CBE"/>
    <w:rsid w:val="008A32CA"/>
    <w:rsid w:val="008A3DAE"/>
    <w:rsid w:val="008A57DC"/>
    <w:rsid w:val="008A59A5"/>
    <w:rsid w:val="008A6117"/>
    <w:rsid w:val="008A759B"/>
    <w:rsid w:val="008A77BA"/>
    <w:rsid w:val="008A7AAC"/>
    <w:rsid w:val="008B0135"/>
    <w:rsid w:val="008B0355"/>
    <w:rsid w:val="008B039F"/>
    <w:rsid w:val="008B1D14"/>
    <w:rsid w:val="008B2986"/>
    <w:rsid w:val="008B3A6A"/>
    <w:rsid w:val="008B3BCA"/>
    <w:rsid w:val="008B4E7B"/>
    <w:rsid w:val="008B6206"/>
    <w:rsid w:val="008B64DB"/>
    <w:rsid w:val="008C1046"/>
    <w:rsid w:val="008C342A"/>
    <w:rsid w:val="008C3DA1"/>
    <w:rsid w:val="008C4289"/>
    <w:rsid w:val="008C4926"/>
    <w:rsid w:val="008C4FA8"/>
    <w:rsid w:val="008C5594"/>
    <w:rsid w:val="008C75DD"/>
    <w:rsid w:val="008D0ADD"/>
    <w:rsid w:val="008D23B0"/>
    <w:rsid w:val="008D36DE"/>
    <w:rsid w:val="008D6533"/>
    <w:rsid w:val="008E0AFE"/>
    <w:rsid w:val="008E10D0"/>
    <w:rsid w:val="008E2298"/>
    <w:rsid w:val="008E2729"/>
    <w:rsid w:val="008E4D7D"/>
    <w:rsid w:val="008E6680"/>
    <w:rsid w:val="008E74F5"/>
    <w:rsid w:val="008F06BF"/>
    <w:rsid w:val="008F265E"/>
    <w:rsid w:val="008F351C"/>
    <w:rsid w:val="008F3DA4"/>
    <w:rsid w:val="008F6A0F"/>
    <w:rsid w:val="008F70C1"/>
    <w:rsid w:val="00902926"/>
    <w:rsid w:val="00902E2E"/>
    <w:rsid w:val="0090479F"/>
    <w:rsid w:val="0090657B"/>
    <w:rsid w:val="00906D96"/>
    <w:rsid w:val="0090747A"/>
    <w:rsid w:val="009075C4"/>
    <w:rsid w:val="00907FB7"/>
    <w:rsid w:val="009102E0"/>
    <w:rsid w:val="00910C89"/>
    <w:rsid w:val="00911DF1"/>
    <w:rsid w:val="00912AAF"/>
    <w:rsid w:val="00912CA2"/>
    <w:rsid w:val="00912FC5"/>
    <w:rsid w:val="0091373A"/>
    <w:rsid w:val="00913F64"/>
    <w:rsid w:val="0091426F"/>
    <w:rsid w:val="009142E4"/>
    <w:rsid w:val="0091678D"/>
    <w:rsid w:val="00917F1C"/>
    <w:rsid w:val="0092069D"/>
    <w:rsid w:val="009213BD"/>
    <w:rsid w:val="00922486"/>
    <w:rsid w:val="0092515C"/>
    <w:rsid w:val="0092623C"/>
    <w:rsid w:val="009262D0"/>
    <w:rsid w:val="00926FA6"/>
    <w:rsid w:val="009313F2"/>
    <w:rsid w:val="00932F34"/>
    <w:rsid w:val="009345FC"/>
    <w:rsid w:val="00936F4C"/>
    <w:rsid w:val="00941C42"/>
    <w:rsid w:val="009429DC"/>
    <w:rsid w:val="00944051"/>
    <w:rsid w:val="00946715"/>
    <w:rsid w:val="00947B9F"/>
    <w:rsid w:val="009532DB"/>
    <w:rsid w:val="009533F8"/>
    <w:rsid w:val="009537F7"/>
    <w:rsid w:val="009551B3"/>
    <w:rsid w:val="00955548"/>
    <w:rsid w:val="00955E66"/>
    <w:rsid w:val="00957C34"/>
    <w:rsid w:val="00957D90"/>
    <w:rsid w:val="009621F6"/>
    <w:rsid w:val="0096273A"/>
    <w:rsid w:val="009637B8"/>
    <w:rsid w:val="00963C76"/>
    <w:rsid w:val="009643E8"/>
    <w:rsid w:val="00964536"/>
    <w:rsid w:val="00964C0D"/>
    <w:rsid w:val="009657D1"/>
    <w:rsid w:val="0096761D"/>
    <w:rsid w:val="00970592"/>
    <w:rsid w:val="00970800"/>
    <w:rsid w:val="00970A6A"/>
    <w:rsid w:val="00972B7D"/>
    <w:rsid w:val="00974609"/>
    <w:rsid w:val="00974B49"/>
    <w:rsid w:val="009750BC"/>
    <w:rsid w:val="00975917"/>
    <w:rsid w:val="009772E7"/>
    <w:rsid w:val="0098017C"/>
    <w:rsid w:val="00980FED"/>
    <w:rsid w:val="009822F4"/>
    <w:rsid w:val="00983793"/>
    <w:rsid w:val="0098465E"/>
    <w:rsid w:val="009851D0"/>
    <w:rsid w:val="00986C24"/>
    <w:rsid w:val="00987FDE"/>
    <w:rsid w:val="00992123"/>
    <w:rsid w:val="00994BAF"/>
    <w:rsid w:val="00995BA6"/>
    <w:rsid w:val="00996369"/>
    <w:rsid w:val="009978EE"/>
    <w:rsid w:val="00997D59"/>
    <w:rsid w:val="009A4930"/>
    <w:rsid w:val="009A499B"/>
    <w:rsid w:val="009B0D5B"/>
    <w:rsid w:val="009B0F42"/>
    <w:rsid w:val="009B0FCF"/>
    <w:rsid w:val="009B1747"/>
    <w:rsid w:val="009B44DE"/>
    <w:rsid w:val="009B4665"/>
    <w:rsid w:val="009B6511"/>
    <w:rsid w:val="009C032E"/>
    <w:rsid w:val="009C05E8"/>
    <w:rsid w:val="009C06D0"/>
    <w:rsid w:val="009C0F23"/>
    <w:rsid w:val="009C10D3"/>
    <w:rsid w:val="009C1F9A"/>
    <w:rsid w:val="009C2EAC"/>
    <w:rsid w:val="009C4278"/>
    <w:rsid w:val="009C4F44"/>
    <w:rsid w:val="009D122B"/>
    <w:rsid w:val="009D1581"/>
    <w:rsid w:val="009D1D19"/>
    <w:rsid w:val="009D29D1"/>
    <w:rsid w:val="009D2CDD"/>
    <w:rsid w:val="009D466D"/>
    <w:rsid w:val="009E0000"/>
    <w:rsid w:val="009E059B"/>
    <w:rsid w:val="009E08B1"/>
    <w:rsid w:val="009E1F01"/>
    <w:rsid w:val="009E2409"/>
    <w:rsid w:val="009E2EA4"/>
    <w:rsid w:val="009E32EB"/>
    <w:rsid w:val="009E659F"/>
    <w:rsid w:val="009E6DE7"/>
    <w:rsid w:val="009E758B"/>
    <w:rsid w:val="009F0F2C"/>
    <w:rsid w:val="009F2711"/>
    <w:rsid w:val="009F3678"/>
    <w:rsid w:val="009F4524"/>
    <w:rsid w:val="009F4C8B"/>
    <w:rsid w:val="009F536B"/>
    <w:rsid w:val="009F738B"/>
    <w:rsid w:val="00A00F0E"/>
    <w:rsid w:val="00A01CF7"/>
    <w:rsid w:val="00A02699"/>
    <w:rsid w:val="00A03D36"/>
    <w:rsid w:val="00A04433"/>
    <w:rsid w:val="00A04F0D"/>
    <w:rsid w:val="00A05B88"/>
    <w:rsid w:val="00A06709"/>
    <w:rsid w:val="00A1056D"/>
    <w:rsid w:val="00A10B48"/>
    <w:rsid w:val="00A126AB"/>
    <w:rsid w:val="00A13008"/>
    <w:rsid w:val="00A132E8"/>
    <w:rsid w:val="00A147EC"/>
    <w:rsid w:val="00A14946"/>
    <w:rsid w:val="00A14D34"/>
    <w:rsid w:val="00A1517C"/>
    <w:rsid w:val="00A1546D"/>
    <w:rsid w:val="00A1582E"/>
    <w:rsid w:val="00A16A58"/>
    <w:rsid w:val="00A20090"/>
    <w:rsid w:val="00A20710"/>
    <w:rsid w:val="00A21CBD"/>
    <w:rsid w:val="00A245D4"/>
    <w:rsid w:val="00A25A5C"/>
    <w:rsid w:val="00A31D42"/>
    <w:rsid w:val="00A334CB"/>
    <w:rsid w:val="00A3396A"/>
    <w:rsid w:val="00A33F14"/>
    <w:rsid w:val="00A3687F"/>
    <w:rsid w:val="00A42216"/>
    <w:rsid w:val="00A4414F"/>
    <w:rsid w:val="00A44ADA"/>
    <w:rsid w:val="00A44B4A"/>
    <w:rsid w:val="00A45044"/>
    <w:rsid w:val="00A450B7"/>
    <w:rsid w:val="00A47415"/>
    <w:rsid w:val="00A47E59"/>
    <w:rsid w:val="00A521BB"/>
    <w:rsid w:val="00A52CFF"/>
    <w:rsid w:val="00A536C6"/>
    <w:rsid w:val="00A541A8"/>
    <w:rsid w:val="00A550F8"/>
    <w:rsid w:val="00A5799A"/>
    <w:rsid w:val="00A615CD"/>
    <w:rsid w:val="00A64F68"/>
    <w:rsid w:val="00A70FA9"/>
    <w:rsid w:val="00A713D9"/>
    <w:rsid w:val="00A71C64"/>
    <w:rsid w:val="00A71D57"/>
    <w:rsid w:val="00A73BE9"/>
    <w:rsid w:val="00A75733"/>
    <w:rsid w:val="00A761E8"/>
    <w:rsid w:val="00A80895"/>
    <w:rsid w:val="00A81F9B"/>
    <w:rsid w:val="00A822CF"/>
    <w:rsid w:val="00A841DA"/>
    <w:rsid w:val="00A8574F"/>
    <w:rsid w:val="00A86FB6"/>
    <w:rsid w:val="00A8727B"/>
    <w:rsid w:val="00A8755B"/>
    <w:rsid w:val="00A90144"/>
    <w:rsid w:val="00A90A5A"/>
    <w:rsid w:val="00A90BDC"/>
    <w:rsid w:val="00A915A4"/>
    <w:rsid w:val="00A92083"/>
    <w:rsid w:val="00A92AF9"/>
    <w:rsid w:val="00A956C4"/>
    <w:rsid w:val="00A95726"/>
    <w:rsid w:val="00A96AA4"/>
    <w:rsid w:val="00A970D0"/>
    <w:rsid w:val="00A975F9"/>
    <w:rsid w:val="00AA0551"/>
    <w:rsid w:val="00AA22B2"/>
    <w:rsid w:val="00AA3456"/>
    <w:rsid w:val="00AA4379"/>
    <w:rsid w:val="00AA46B4"/>
    <w:rsid w:val="00AA49A1"/>
    <w:rsid w:val="00AA49C9"/>
    <w:rsid w:val="00AA52B5"/>
    <w:rsid w:val="00AA6573"/>
    <w:rsid w:val="00AA66E4"/>
    <w:rsid w:val="00AA7287"/>
    <w:rsid w:val="00AB157B"/>
    <w:rsid w:val="00AB18B8"/>
    <w:rsid w:val="00AB3EBF"/>
    <w:rsid w:val="00AB4793"/>
    <w:rsid w:val="00AB6728"/>
    <w:rsid w:val="00AB67F6"/>
    <w:rsid w:val="00AB6935"/>
    <w:rsid w:val="00AC0BF6"/>
    <w:rsid w:val="00AC1AA8"/>
    <w:rsid w:val="00AC3562"/>
    <w:rsid w:val="00AC3F13"/>
    <w:rsid w:val="00AC4724"/>
    <w:rsid w:val="00AC6FD5"/>
    <w:rsid w:val="00AC7063"/>
    <w:rsid w:val="00AD195A"/>
    <w:rsid w:val="00AD2156"/>
    <w:rsid w:val="00AD280F"/>
    <w:rsid w:val="00AD5863"/>
    <w:rsid w:val="00AD5F04"/>
    <w:rsid w:val="00AD7FDD"/>
    <w:rsid w:val="00AE178C"/>
    <w:rsid w:val="00AE22C3"/>
    <w:rsid w:val="00AE31BC"/>
    <w:rsid w:val="00AE3620"/>
    <w:rsid w:val="00AE73C3"/>
    <w:rsid w:val="00AF0993"/>
    <w:rsid w:val="00AF24C2"/>
    <w:rsid w:val="00AF3214"/>
    <w:rsid w:val="00AF49E2"/>
    <w:rsid w:val="00AF6584"/>
    <w:rsid w:val="00AF6E5C"/>
    <w:rsid w:val="00AF7C54"/>
    <w:rsid w:val="00B001AE"/>
    <w:rsid w:val="00B01312"/>
    <w:rsid w:val="00B01B39"/>
    <w:rsid w:val="00B02621"/>
    <w:rsid w:val="00B04FAA"/>
    <w:rsid w:val="00B07312"/>
    <w:rsid w:val="00B106C8"/>
    <w:rsid w:val="00B12797"/>
    <w:rsid w:val="00B15E83"/>
    <w:rsid w:val="00B16482"/>
    <w:rsid w:val="00B16BF2"/>
    <w:rsid w:val="00B200D4"/>
    <w:rsid w:val="00B20288"/>
    <w:rsid w:val="00B21A41"/>
    <w:rsid w:val="00B22037"/>
    <w:rsid w:val="00B229A0"/>
    <w:rsid w:val="00B2476A"/>
    <w:rsid w:val="00B25D9E"/>
    <w:rsid w:val="00B2646B"/>
    <w:rsid w:val="00B275EF"/>
    <w:rsid w:val="00B30DFE"/>
    <w:rsid w:val="00B30E28"/>
    <w:rsid w:val="00B3115C"/>
    <w:rsid w:val="00B3214B"/>
    <w:rsid w:val="00B32FF4"/>
    <w:rsid w:val="00B373D4"/>
    <w:rsid w:val="00B40786"/>
    <w:rsid w:val="00B40C7E"/>
    <w:rsid w:val="00B41CCD"/>
    <w:rsid w:val="00B42A80"/>
    <w:rsid w:val="00B449A4"/>
    <w:rsid w:val="00B4525C"/>
    <w:rsid w:val="00B4532B"/>
    <w:rsid w:val="00B45BAA"/>
    <w:rsid w:val="00B45C30"/>
    <w:rsid w:val="00B46400"/>
    <w:rsid w:val="00B50EFE"/>
    <w:rsid w:val="00B5103A"/>
    <w:rsid w:val="00B51832"/>
    <w:rsid w:val="00B5195F"/>
    <w:rsid w:val="00B524C7"/>
    <w:rsid w:val="00B52BC1"/>
    <w:rsid w:val="00B53139"/>
    <w:rsid w:val="00B540EB"/>
    <w:rsid w:val="00B54EBD"/>
    <w:rsid w:val="00B574D6"/>
    <w:rsid w:val="00B60EF4"/>
    <w:rsid w:val="00B629AC"/>
    <w:rsid w:val="00B630C1"/>
    <w:rsid w:val="00B63C8C"/>
    <w:rsid w:val="00B64279"/>
    <w:rsid w:val="00B6539E"/>
    <w:rsid w:val="00B660BA"/>
    <w:rsid w:val="00B6711C"/>
    <w:rsid w:val="00B67D21"/>
    <w:rsid w:val="00B71632"/>
    <w:rsid w:val="00B716ED"/>
    <w:rsid w:val="00B74AB3"/>
    <w:rsid w:val="00B7516A"/>
    <w:rsid w:val="00B76461"/>
    <w:rsid w:val="00B770B9"/>
    <w:rsid w:val="00B77C97"/>
    <w:rsid w:val="00B81B82"/>
    <w:rsid w:val="00B8374D"/>
    <w:rsid w:val="00B83DDA"/>
    <w:rsid w:val="00B85752"/>
    <w:rsid w:val="00B85CD8"/>
    <w:rsid w:val="00B9070B"/>
    <w:rsid w:val="00B90CC2"/>
    <w:rsid w:val="00B91F34"/>
    <w:rsid w:val="00B92877"/>
    <w:rsid w:val="00B9316E"/>
    <w:rsid w:val="00B93425"/>
    <w:rsid w:val="00B93B7C"/>
    <w:rsid w:val="00B955F2"/>
    <w:rsid w:val="00B95714"/>
    <w:rsid w:val="00B95C4D"/>
    <w:rsid w:val="00B9661C"/>
    <w:rsid w:val="00BA0726"/>
    <w:rsid w:val="00BA35CF"/>
    <w:rsid w:val="00BA6124"/>
    <w:rsid w:val="00BA612A"/>
    <w:rsid w:val="00BA6370"/>
    <w:rsid w:val="00BB01E5"/>
    <w:rsid w:val="00BB11EF"/>
    <w:rsid w:val="00BB4CB8"/>
    <w:rsid w:val="00BB55D7"/>
    <w:rsid w:val="00BB584E"/>
    <w:rsid w:val="00BB5A36"/>
    <w:rsid w:val="00BC1A3A"/>
    <w:rsid w:val="00BC2968"/>
    <w:rsid w:val="00BC30BA"/>
    <w:rsid w:val="00BC34B2"/>
    <w:rsid w:val="00BC3572"/>
    <w:rsid w:val="00BC67CE"/>
    <w:rsid w:val="00BC67F3"/>
    <w:rsid w:val="00BC688B"/>
    <w:rsid w:val="00BD04EB"/>
    <w:rsid w:val="00BD0E87"/>
    <w:rsid w:val="00BD134F"/>
    <w:rsid w:val="00BD384F"/>
    <w:rsid w:val="00BD5B88"/>
    <w:rsid w:val="00BD6275"/>
    <w:rsid w:val="00BD68BA"/>
    <w:rsid w:val="00BE189C"/>
    <w:rsid w:val="00BE2200"/>
    <w:rsid w:val="00BE30FC"/>
    <w:rsid w:val="00BE5700"/>
    <w:rsid w:val="00BE5CD3"/>
    <w:rsid w:val="00BE6E5E"/>
    <w:rsid w:val="00BF2CBD"/>
    <w:rsid w:val="00BF3869"/>
    <w:rsid w:val="00BF3A7C"/>
    <w:rsid w:val="00BF3CFC"/>
    <w:rsid w:val="00BF4D6F"/>
    <w:rsid w:val="00BF50A4"/>
    <w:rsid w:val="00BF603E"/>
    <w:rsid w:val="00C00E87"/>
    <w:rsid w:val="00C02DFD"/>
    <w:rsid w:val="00C0411D"/>
    <w:rsid w:val="00C04EFF"/>
    <w:rsid w:val="00C0780D"/>
    <w:rsid w:val="00C07BE3"/>
    <w:rsid w:val="00C1294F"/>
    <w:rsid w:val="00C134DA"/>
    <w:rsid w:val="00C13BF3"/>
    <w:rsid w:val="00C14841"/>
    <w:rsid w:val="00C15CCE"/>
    <w:rsid w:val="00C15E32"/>
    <w:rsid w:val="00C1670B"/>
    <w:rsid w:val="00C173F0"/>
    <w:rsid w:val="00C17F0A"/>
    <w:rsid w:val="00C2036F"/>
    <w:rsid w:val="00C2180A"/>
    <w:rsid w:val="00C22931"/>
    <w:rsid w:val="00C24104"/>
    <w:rsid w:val="00C2537D"/>
    <w:rsid w:val="00C256D4"/>
    <w:rsid w:val="00C25D51"/>
    <w:rsid w:val="00C25FC4"/>
    <w:rsid w:val="00C306DF"/>
    <w:rsid w:val="00C31027"/>
    <w:rsid w:val="00C3167F"/>
    <w:rsid w:val="00C319A2"/>
    <w:rsid w:val="00C354A9"/>
    <w:rsid w:val="00C3776C"/>
    <w:rsid w:val="00C42BEA"/>
    <w:rsid w:val="00C446E2"/>
    <w:rsid w:val="00C45804"/>
    <w:rsid w:val="00C47ED9"/>
    <w:rsid w:val="00C507FD"/>
    <w:rsid w:val="00C546CC"/>
    <w:rsid w:val="00C623D4"/>
    <w:rsid w:val="00C63FED"/>
    <w:rsid w:val="00C64938"/>
    <w:rsid w:val="00C65B09"/>
    <w:rsid w:val="00C65E63"/>
    <w:rsid w:val="00C66281"/>
    <w:rsid w:val="00C67547"/>
    <w:rsid w:val="00C70748"/>
    <w:rsid w:val="00C72A38"/>
    <w:rsid w:val="00C72EC3"/>
    <w:rsid w:val="00C741E4"/>
    <w:rsid w:val="00C74592"/>
    <w:rsid w:val="00C759E3"/>
    <w:rsid w:val="00C81DC4"/>
    <w:rsid w:val="00C827C3"/>
    <w:rsid w:val="00C830E1"/>
    <w:rsid w:val="00C8601B"/>
    <w:rsid w:val="00C86CD6"/>
    <w:rsid w:val="00C877BD"/>
    <w:rsid w:val="00C90166"/>
    <w:rsid w:val="00C90271"/>
    <w:rsid w:val="00C9079E"/>
    <w:rsid w:val="00C91D44"/>
    <w:rsid w:val="00C92821"/>
    <w:rsid w:val="00C93281"/>
    <w:rsid w:val="00C93EEE"/>
    <w:rsid w:val="00C9551F"/>
    <w:rsid w:val="00C971D9"/>
    <w:rsid w:val="00C9750B"/>
    <w:rsid w:val="00CA062F"/>
    <w:rsid w:val="00CA067E"/>
    <w:rsid w:val="00CA272A"/>
    <w:rsid w:val="00CA2D4B"/>
    <w:rsid w:val="00CA380D"/>
    <w:rsid w:val="00CA52D3"/>
    <w:rsid w:val="00CA7FCA"/>
    <w:rsid w:val="00CB0674"/>
    <w:rsid w:val="00CB1440"/>
    <w:rsid w:val="00CB1B76"/>
    <w:rsid w:val="00CB2496"/>
    <w:rsid w:val="00CB2665"/>
    <w:rsid w:val="00CB505A"/>
    <w:rsid w:val="00CC09C9"/>
    <w:rsid w:val="00CC13DC"/>
    <w:rsid w:val="00CC2A59"/>
    <w:rsid w:val="00CC3A3D"/>
    <w:rsid w:val="00CC4946"/>
    <w:rsid w:val="00CC4A12"/>
    <w:rsid w:val="00CC5E3B"/>
    <w:rsid w:val="00CC6D62"/>
    <w:rsid w:val="00CD167E"/>
    <w:rsid w:val="00CD2EC9"/>
    <w:rsid w:val="00CE00F8"/>
    <w:rsid w:val="00CE2893"/>
    <w:rsid w:val="00CE2926"/>
    <w:rsid w:val="00CE3ADC"/>
    <w:rsid w:val="00CE42C7"/>
    <w:rsid w:val="00CE49CC"/>
    <w:rsid w:val="00CE6618"/>
    <w:rsid w:val="00CE6D88"/>
    <w:rsid w:val="00CE716B"/>
    <w:rsid w:val="00CF0C0E"/>
    <w:rsid w:val="00CF1C00"/>
    <w:rsid w:val="00CF2429"/>
    <w:rsid w:val="00CF2436"/>
    <w:rsid w:val="00CF2E44"/>
    <w:rsid w:val="00CF34FE"/>
    <w:rsid w:val="00CF4EB4"/>
    <w:rsid w:val="00CF650E"/>
    <w:rsid w:val="00CF6691"/>
    <w:rsid w:val="00CF711D"/>
    <w:rsid w:val="00CF7C28"/>
    <w:rsid w:val="00D01EF7"/>
    <w:rsid w:val="00D03295"/>
    <w:rsid w:val="00D03DB1"/>
    <w:rsid w:val="00D045B3"/>
    <w:rsid w:val="00D0498F"/>
    <w:rsid w:val="00D10DE8"/>
    <w:rsid w:val="00D11B27"/>
    <w:rsid w:val="00D12065"/>
    <w:rsid w:val="00D128B3"/>
    <w:rsid w:val="00D12EF0"/>
    <w:rsid w:val="00D15285"/>
    <w:rsid w:val="00D17E63"/>
    <w:rsid w:val="00D204EF"/>
    <w:rsid w:val="00D22C90"/>
    <w:rsid w:val="00D232D7"/>
    <w:rsid w:val="00D23B0F"/>
    <w:rsid w:val="00D257D8"/>
    <w:rsid w:val="00D266FC"/>
    <w:rsid w:val="00D305A1"/>
    <w:rsid w:val="00D322AA"/>
    <w:rsid w:val="00D32947"/>
    <w:rsid w:val="00D332BE"/>
    <w:rsid w:val="00D34719"/>
    <w:rsid w:val="00D36BD0"/>
    <w:rsid w:val="00D417E9"/>
    <w:rsid w:val="00D43654"/>
    <w:rsid w:val="00D44221"/>
    <w:rsid w:val="00D44449"/>
    <w:rsid w:val="00D450D3"/>
    <w:rsid w:val="00D451F4"/>
    <w:rsid w:val="00D452FD"/>
    <w:rsid w:val="00D45CD8"/>
    <w:rsid w:val="00D51645"/>
    <w:rsid w:val="00D5525B"/>
    <w:rsid w:val="00D55C50"/>
    <w:rsid w:val="00D56278"/>
    <w:rsid w:val="00D56F6A"/>
    <w:rsid w:val="00D57022"/>
    <w:rsid w:val="00D61446"/>
    <w:rsid w:val="00D619E4"/>
    <w:rsid w:val="00D61D3A"/>
    <w:rsid w:val="00D633D7"/>
    <w:rsid w:val="00D6547E"/>
    <w:rsid w:val="00D656EF"/>
    <w:rsid w:val="00D662B7"/>
    <w:rsid w:val="00D66CA8"/>
    <w:rsid w:val="00D70430"/>
    <w:rsid w:val="00D747DB"/>
    <w:rsid w:val="00D8007D"/>
    <w:rsid w:val="00D80E44"/>
    <w:rsid w:val="00D838FA"/>
    <w:rsid w:val="00D8425D"/>
    <w:rsid w:val="00D8463B"/>
    <w:rsid w:val="00D85C91"/>
    <w:rsid w:val="00D91F7C"/>
    <w:rsid w:val="00D9347C"/>
    <w:rsid w:val="00D9408E"/>
    <w:rsid w:val="00D96491"/>
    <w:rsid w:val="00D97B6F"/>
    <w:rsid w:val="00DA20F7"/>
    <w:rsid w:val="00DA4A9F"/>
    <w:rsid w:val="00DA5312"/>
    <w:rsid w:val="00DA55C9"/>
    <w:rsid w:val="00DA5D24"/>
    <w:rsid w:val="00DA75CF"/>
    <w:rsid w:val="00DB000E"/>
    <w:rsid w:val="00DB21DA"/>
    <w:rsid w:val="00DB45AA"/>
    <w:rsid w:val="00DB4A8C"/>
    <w:rsid w:val="00DB54C1"/>
    <w:rsid w:val="00DB6A77"/>
    <w:rsid w:val="00DC084B"/>
    <w:rsid w:val="00DC09C0"/>
    <w:rsid w:val="00DC339F"/>
    <w:rsid w:val="00DC3A6F"/>
    <w:rsid w:val="00DC4082"/>
    <w:rsid w:val="00DC4427"/>
    <w:rsid w:val="00DC4462"/>
    <w:rsid w:val="00DC5851"/>
    <w:rsid w:val="00DC7DE0"/>
    <w:rsid w:val="00DD0014"/>
    <w:rsid w:val="00DD0425"/>
    <w:rsid w:val="00DD1441"/>
    <w:rsid w:val="00DD1BE0"/>
    <w:rsid w:val="00DD34AB"/>
    <w:rsid w:val="00DD37A9"/>
    <w:rsid w:val="00DD3A81"/>
    <w:rsid w:val="00DD3C69"/>
    <w:rsid w:val="00DD5014"/>
    <w:rsid w:val="00DE2779"/>
    <w:rsid w:val="00DE2F51"/>
    <w:rsid w:val="00DE536D"/>
    <w:rsid w:val="00DF0D99"/>
    <w:rsid w:val="00DF20B6"/>
    <w:rsid w:val="00DF2508"/>
    <w:rsid w:val="00DF2B1D"/>
    <w:rsid w:val="00DF56C3"/>
    <w:rsid w:val="00DF7411"/>
    <w:rsid w:val="00E00AE8"/>
    <w:rsid w:val="00E03939"/>
    <w:rsid w:val="00E03E7F"/>
    <w:rsid w:val="00E03F13"/>
    <w:rsid w:val="00E04606"/>
    <w:rsid w:val="00E057A7"/>
    <w:rsid w:val="00E0755F"/>
    <w:rsid w:val="00E112AB"/>
    <w:rsid w:val="00E12572"/>
    <w:rsid w:val="00E12770"/>
    <w:rsid w:val="00E1592E"/>
    <w:rsid w:val="00E16041"/>
    <w:rsid w:val="00E16814"/>
    <w:rsid w:val="00E201F0"/>
    <w:rsid w:val="00E20773"/>
    <w:rsid w:val="00E2135C"/>
    <w:rsid w:val="00E22AA6"/>
    <w:rsid w:val="00E231BA"/>
    <w:rsid w:val="00E24520"/>
    <w:rsid w:val="00E25FEF"/>
    <w:rsid w:val="00E266D6"/>
    <w:rsid w:val="00E26C9C"/>
    <w:rsid w:val="00E275DE"/>
    <w:rsid w:val="00E27A6D"/>
    <w:rsid w:val="00E30A2F"/>
    <w:rsid w:val="00E31A43"/>
    <w:rsid w:val="00E31EDE"/>
    <w:rsid w:val="00E32EFF"/>
    <w:rsid w:val="00E338A3"/>
    <w:rsid w:val="00E3476F"/>
    <w:rsid w:val="00E350B4"/>
    <w:rsid w:val="00E3555F"/>
    <w:rsid w:val="00E35D14"/>
    <w:rsid w:val="00E36C2E"/>
    <w:rsid w:val="00E41DCD"/>
    <w:rsid w:val="00E44834"/>
    <w:rsid w:val="00E47248"/>
    <w:rsid w:val="00E47A25"/>
    <w:rsid w:val="00E53C21"/>
    <w:rsid w:val="00E53CA3"/>
    <w:rsid w:val="00E558B9"/>
    <w:rsid w:val="00E56A1B"/>
    <w:rsid w:val="00E60303"/>
    <w:rsid w:val="00E60D9B"/>
    <w:rsid w:val="00E6216A"/>
    <w:rsid w:val="00E649D4"/>
    <w:rsid w:val="00E649E1"/>
    <w:rsid w:val="00E716D3"/>
    <w:rsid w:val="00E7350F"/>
    <w:rsid w:val="00E73F2B"/>
    <w:rsid w:val="00E73F60"/>
    <w:rsid w:val="00E77032"/>
    <w:rsid w:val="00E7781B"/>
    <w:rsid w:val="00E815DC"/>
    <w:rsid w:val="00E8362B"/>
    <w:rsid w:val="00E84D08"/>
    <w:rsid w:val="00E84DE5"/>
    <w:rsid w:val="00E851BC"/>
    <w:rsid w:val="00E9061C"/>
    <w:rsid w:val="00E906B9"/>
    <w:rsid w:val="00E924D0"/>
    <w:rsid w:val="00E93D9E"/>
    <w:rsid w:val="00E9666E"/>
    <w:rsid w:val="00EA0640"/>
    <w:rsid w:val="00EA09E1"/>
    <w:rsid w:val="00EA17E1"/>
    <w:rsid w:val="00EA17E4"/>
    <w:rsid w:val="00EA2316"/>
    <w:rsid w:val="00EA2566"/>
    <w:rsid w:val="00EA3C27"/>
    <w:rsid w:val="00EA59E8"/>
    <w:rsid w:val="00EA748C"/>
    <w:rsid w:val="00EB23EF"/>
    <w:rsid w:val="00EB28AE"/>
    <w:rsid w:val="00EB4BC4"/>
    <w:rsid w:val="00EB54C3"/>
    <w:rsid w:val="00EC0236"/>
    <w:rsid w:val="00EC1563"/>
    <w:rsid w:val="00EC21B2"/>
    <w:rsid w:val="00EC2B69"/>
    <w:rsid w:val="00EC63BC"/>
    <w:rsid w:val="00ED1783"/>
    <w:rsid w:val="00ED2C52"/>
    <w:rsid w:val="00ED3860"/>
    <w:rsid w:val="00ED4E26"/>
    <w:rsid w:val="00ED62AA"/>
    <w:rsid w:val="00ED6A41"/>
    <w:rsid w:val="00ED6AD3"/>
    <w:rsid w:val="00EE0317"/>
    <w:rsid w:val="00EE0427"/>
    <w:rsid w:val="00EE044B"/>
    <w:rsid w:val="00EE0463"/>
    <w:rsid w:val="00EE0706"/>
    <w:rsid w:val="00EE3E1D"/>
    <w:rsid w:val="00EE3E8C"/>
    <w:rsid w:val="00EE3F5A"/>
    <w:rsid w:val="00EE4735"/>
    <w:rsid w:val="00EE518A"/>
    <w:rsid w:val="00EE568D"/>
    <w:rsid w:val="00EE5A75"/>
    <w:rsid w:val="00EE6390"/>
    <w:rsid w:val="00EE71AF"/>
    <w:rsid w:val="00EE7DCE"/>
    <w:rsid w:val="00EF1BC9"/>
    <w:rsid w:val="00EF421F"/>
    <w:rsid w:val="00EF428E"/>
    <w:rsid w:val="00EF488F"/>
    <w:rsid w:val="00EF624A"/>
    <w:rsid w:val="00EF75C2"/>
    <w:rsid w:val="00F0344E"/>
    <w:rsid w:val="00F061C6"/>
    <w:rsid w:val="00F07D3B"/>
    <w:rsid w:val="00F10BB9"/>
    <w:rsid w:val="00F10CD0"/>
    <w:rsid w:val="00F11782"/>
    <w:rsid w:val="00F11CB0"/>
    <w:rsid w:val="00F12FDC"/>
    <w:rsid w:val="00F13275"/>
    <w:rsid w:val="00F13EDE"/>
    <w:rsid w:val="00F14537"/>
    <w:rsid w:val="00F1551F"/>
    <w:rsid w:val="00F17BF0"/>
    <w:rsid w:val="00F231F6"/>
    <w:rsid w:val="00F23FD5"/>
    <w:rsid w:val="00F27DCD"/>
    <w:rsid w:val="00F32904"/>
    <w:rsid w:val="00F32CAF"/>
    <w:rsid w:val="00F362AF"/>
    <w:rsid w:val="00F36B46"/>
    <w:rsid w:val="00F36F7D"/>
    <w:rsid w:val="00F4007C"/>
    <w:rsid w:val="00F40AF5"/>
    <w:rsid w:val="00F41DD7"/>
    <w:rsid w:val="00F43CA1"/>
    <w:rsid w:val="00F44CF5"/>
    <w:rsid w:val="00F44F4C"/>
    <w:rsid w:val="00F4541E"/>
    <w:rsid w:val="00F456A2"/>
    <w:rsid w:val="00F46780"/>
    <w:rsid w:val="00F47125"/>
    <w:rsid w:val="00F50801"/>
    <w:rsid w:val="00F50D65"/>
    <w:rsid w:val="00F520FE"/>
    <w:rsid w:val="00F52A23"/>
    <w:rsid w:val="00F52B13"/>
    <w:rsid w:val="00F532DA"/>
    <w:rsid w:val="00F541C2"/>
    <w:rsid w:val="00F5425F"/>
    <w:rsid w:val="00F5428B"/>
    <w:rsid w:val="00F5764E"/>
    <w:rsid w:val="00F57D45"/>
    <w:rsid w:val="00F60146"/>
    <w:rsid w:val="00F6057D"/>
    <w:rsid w:val="00F60ACB"/>
    <w:rsid w:val="00F60DD1"/>
    <w:rsid w:val="00F61E6F"/>
    <w:rsid w:val="00F6296F"/>
    <w:rsid w:val="00F65180"/>
    <w:rsid w:val="00F65E54"/>
    <w:rsid w:val="00F675AF"/>
    <w:rsid w:val="00F72B8A"/>
    <w:rsid w:val="00F81178"/>
    <w:rsid w:val="00F81C02"/>
    <w:rsid w:val="00F81E98"/>
    <w:rsid w:val="00F8313F"/>
    <w:rsid w:val="00F8576A"/>
    <w:rsid w:val="00F859D3"/>
    <w:rsid w:val="00F85B61"/>
    <w:rsid w:val="00F872FD"/>
    <w:rsid w:val="00F90770"/>
    <w:rsid w:val="00F9113E"/>
    <w:rsid w:val="00F921DA"/>
    <w:rsid w:val="00F9470F"/>
    <w:rsid w:val="00F95475"/>
    <w:rsid w:val="00F9590B"/>
    <w:rsid w:val="00F96C80"/>
    <w:rsid w:val="00F96F28"/>
    <w:rsid w:val="00FA0A06"/>
    <w:rsid w:val="00FA5B3A"/>
    <w:rsid w:val="00FA6935"/>
    <w:rsid w:val="00FA731E"/>
    <w:rsid w:val="00FA77AE"/>
    <w:rsid w:val="00FB09BC"/>
    <w:rsid w:val="00FB2D02"/>
    <w:rsid w:val="00FB63CF"/>
    <w:rsid w:val="00FB69B4"/>
    <w:rsid w:val="00FB7D97"/>
    <w:rsid w:val="00FC085C"/>
    <w:rsid w:val="00FC17AA"/>
    <w:rsid w:val="00FC1A20"/>
    <w:rsid w:val="00FC683E"/>
    <w:rsid w:val="00FD0820"/>
    <w:rsid w:val="00FD0964"/>
    <w:rsid w:val="00FD1445"/>
    <w:rsid w:val="00FD16A6"/>
    <w:rsid w:val="00FD1D52"/>
    <w:rsid w:val="00FD1E4D"/>
    <w:rsid w:val="00FD2632"/>
    <w:rsid w:val="00FD48DF"/>
    <w:rsid w:val="00FD4CDB"/>
    <w:rsid w:val="00FD6A27"/>
    <w:rsid w:val="00FD6A5A"/>
    <w:rsid w:val="00FD710C"/>
    <w:rsid w:val="00FE1C01"/>
    <w:rsid w:val="00FE1D90"/>
    <w:rsid w:val="00FE1E1E"/>
    <w:rsid w:val="00FE209D"/>
    <w:rsid w:val="00FE285E"/>
    <w:rsid w:val="00FE29A9"/>
    <w:rsid w:val="00FE324F"/>
    <w:rsid w:val="00FE3706"/>
    <w:rsid w:val="00FE4270"/>
    <w:rsid w:val="00FE464B"/>
    <w:rsid w:val="00FE5B59"/>
    <w:rsid w:val="00FE7B8C"/>
    <w:rsid w:val="00FF1AA9"/>
    <w:rsid w:val="00FF2B8F"/>
    <w:rsid w:val="00FF2BEF"/>
    <w:rsid w:val="00FF3AA7"/>
    <w:rsid w:val="00FF3EFD"/>
    <w:rsid w:val="00FF46C3"/>
    <w:rsid w:val="00FF56FC"/>
    <w:rsid w:val="00FF6513"/>
    <w:rsid w:val="00FF70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9303C"/>
  <w15:chartTrackingRefBased/>
  <w15:docId w15:val="{37881249-8457-4034-9E29-D23C3CD18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uiPriority="4" w:qFormat="1"/>
    <w:lsdException w:name="heading 7" w:uiPriority="4"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uiPriority="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unhideWhenUsed="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iPriority="0" w:qFormat="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semiHidden/>
    <w:qFormat/>
    <w:rsid w:val="00FD6A27"/>
    <w:pPr>
      <w:spacing w:after="130" w:line="300" w:lineRule="auto"/>
    </w:pPr>
    <w:rPr>
      <w:sz w:val="20"/>
      <w:lang w:val="en-US"/>
    </w:rPr>
  </w:style>
  <w:style w:type="paragraph" w:styleId="Heading1">
    <w:name w:val="heading 1"/>
    <w:basedOn w:val="BodyText"/>
    <w:next w:val="BodyText"/>
    <w:link w:val="Heading1Char"/>
    <w:uiPriority w:val="1"/>
    <w:qFormat/>
    <w:rsid w:val="00AA3456"/>
    <w:pPr>
      <w:keepNext/>
      <w:numPr>
        <w:numId w:val="9"/>
      </w:numPr>
      <w:spacing w:before="240" w:line="240" w:lineRule="auto"/>
      <w:ind w:left="794" w:hanging="794"/>
      <w:outlineLvl w:val="0"/>
    </w:pPr>
    <w:rPr>
      <w:rFonts w:asciiTheme="majorHAnsi" w:hAnsiTheme="majorHAnsi" w:cs="Times New Roman (Body CS)"/>
      <w:caps/>
      <w:color w:val="018219" w:themeColor="accent1"/>
      <w:spacing w:val="8"/>
      <w:sz w:val="28"/>
    </w:rPr>
  </w:style>
  <w:style w:type="paragraph" w:styleId="Heading2">
    <w:name w:val="heading 2"/>
    <w:basedOn w:val="BodyText"/>
    <w:next w:val="BodyText"/>
    <w:link w:val="Heading2Char"/>
    <w:uiPriority w:val="1"/>
    <w:qFormat/>
    <w:rsid w:val="00D61D3A"/>
    <w:pPr>
      <w:keepNext/>
      <w:numPr>
        <w:ilvl w:val="1"/>
        <w:numId w:val="9"/>
      </w:numPr>
      <w:tabs>
        <w:tab w:val="clear" w:pos="431"/>
      </w:tabs>
      <w:spacing w:before="240" w:line="240" w:lineRule="auto"/>
      <w:ind w:left="794" w:hanging="794"/>
      <w:outlineLvl w:val="1"/>
    </w:pPr>
    <w:rPr>
      <w:rFonts w:asciiTheme="majorHAnsi" w:hAnsiTheme="majorHAnsi" w:cs="Times New Roman (Body CS)"/>
      <w:caps/>
      <w:color w:val="018219" w:themeColor="accent1"/>
      <w:spacing w:val="8"/>
      <w:sz w:val="24"/>
    </w:rPr>
  </w:style>
  <w:style w:type="paragraph" w:styleId="Heading3">
    <w:name w:val="heading 3"/>
    <w:basedOn w:val="Heading2"/>
    <w:next w:val="BodyText"/>
    <w:link w:val="Heading3Char"/>
    <w:uiPriority w:val="1"/>
    <w:qFormat/>
    <w:rsid w:val="00946715"/>
    <w:pPr>
      <w:numPr>
        <w:ilvl w:val="2"/>
      </w:numPr>
      <w:ind w:left="794" w:hanging="794"/>
      <w:outlineLvl w:val="2"/>
    </w:pPr>
    <w:rPr>
      <w:sz w:val="22"/>
    </w:rPr>
  </w:style>
  <w:style w:type="paragraph" w:styleId="Heading4">
    <w:name w:val="heading 4"/>
    <w:basedOn w:val="Heading2"/>
    <w:next w:val="BodyText"/>
    <w:link w:val="Heading4Char"/>
    <w:uiPriority w:val="1"/>
    <w:qFormat/>
    <w:rsid w:val="003A3855"/>
    <w:pPr>
      <w:numPr>
        <w:ilvl w:val="3"/>
      </w:numPr>
      <w:ind w:left="794" w:hanging="794"/>
      <w:outlineLvl w:val="3"/>
    </w:pPr>
    <w:rPr>
      <w:spacing w:val="0"/>
      <w:sz w:val="20"/>
    </w:rPr>
  </w:style>
  <w:style w:type="paragraph" w:styleId="Heading5">
    <w:name w:val="heading 5"/>
    <w:next w:val="BodyText"/>
    <w:link w:val="Heading5Char"/>
    <w:uiPriority w:val="1"/>
    <w:qFormat/>
    <w:rsid w:val="00FB09BC"/>
    <w:pPr>
      <w:keepNext/>
      <w:numPr>
        <w:ilvl w:val="4"/>
        <w:numId w:val="9"/>
      </w:numPr>
      <w:spacing w:before="240" w:after="60" w:line="300" w:lineRule="auto"/>
      <w:outlineLvl w:val="4"/>
    </w:pPr>
    <w:rPr>
      <w:rFonts w:asciiTheme="majorHAnsi" w:hAnsiTheme="majorHAnsi"/>
      <w:b/>
      <w:iCs/>
      <w:sz w:val="20"/>
    </w:rPr>
  </w:style>
  <w:style w:type="paragraph" w:styleId="Heading6">
    <w:name w:val="heading 6"/>
    <w:next w:val="BodyText"/>
    <w:link w:val="Heading6Char"/>
    <w:uiPriority w:val="1"/>
    <w:qFormat/>
    <w:rsid w:val="00FB09BC"/>
    <w:pPr>
      <w:keepNext/>
      <w:numPr>
        <w:ilvl w:val="5"/>
        <w:numId w:val="9"/>
      </w:numPr>
      <w:spacing w:before="240" w:after="60" w:line="300" w:lineRule="auto"/>
      <w:outlineLvl w:val="5"/>
    </w:pPr>
    <w:rPr>
      <w:rFonts w:asciiTheme="majorHAnsi" w:hAnsiTheme="majorHAnsi"/>
      <w:b/>
      <w:i/>
      <w:sz w:val="20"/>
    </w:rPr>
  </w:style>
  <w:style w:type="paragraph" w:styleId="Heading7">
    <w:name w:val="heading 7"/>
    <w:next w:val="BodyText"/>
    <w:link w:val="Heading7Char"/>
    <w:uiPriority w:val="1"/>
    <w:qFormat/>
    <w:rsid w:val="00A92083"/>
    <w:pPr>
      <w:keepNext/>
      <w:spacing w:before="240" w:after="60" w:line="300" w:lineRule="auto"/>
      <w:outlineLvl w:val="6"/>
    </w:pPr>
    <w:rPr>
      <w:i/>
      <w:iCs/>
      <w:sz w:val="20"/>
    </w:rPr>
  </w:style>
  <w:style w:type="paragraph" w:styleId="Heading8">
    <w:name w:val="heading 8"/>
    <w:next w:val="Normal"/>
    <w:link w:val="Heading8Char"/>
    <w:uiPriority w:val="4"/>
    <w:semiHidden/>
    <w:qFormat/>
    <w:rsid w:val="006E23BD"/>
    <w:pPr>
      <w:spacing w:after="130" w:line="293" w:lineRule="auto"/>
      <w:outlineLvl w:val="7"/>
    </w:pPr>
    <w:rPr>
      <w:i/>
      <w:i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B097D"/>
    <w:pPr>
      <w:tabs>
        <w:tab w:val="right" w:pos="10773"/>
      </w:tabs>
      <w:spacing w:after="0" w:line="240" w:lineRule="auto"/>
    </w:pPr>
    <w:rPr>
      <w:rFonts w:cs="Times New Roman (Body CS)"/>
      <w:caps/>
      <w:color w:val="82887E" w:themeColor="accent6"/>
      <w:sz w:val="12"/>
    </w:rPr>
  </w:style>
  <w:style w:type="character" w:customStyle="1" w:styleId="HeaderChar">
    <w:name w:val="Header Char"/>
    <w:basedOn w:val="DefaultParagraphFont"/>
    <w:link w:val="Header"/>
    <w:uiPriority w:val="99"/>
    <w:semiHidden/>
    <w:rsid w:val="004B097D"/>
    <w:rPr>
      <w:rFonts w:cs="Times New Roman (Body CS)"/>
      <w:caps/>
      <w:color w:val="82887E" w:themeColor="accent6"/>
      <w:sz w:val="12"/>
      <w:lang w:val="en-US"/>
    </w:rPr>
  </w:style>
  <w:style w:type="paragraph" w:styleId="Footer">
    <w:name w:val="footer"/>
    <w:basedOn w:val="Normal"/>
    <w:link w:val="FooterChar"/>
    <w:uiPriority w:val="99"/>
    <w:rsid w:val="009345FC"/>
    <w:pPr>
      <w:tabs>
        <w:tab w:val="left" w:pos="3686"/>
        <w:tab w:val="left" w:pos="5432"/>
        <w:tab w:val="right" w:pos="9582"/>
      </w:tabs>
      <w:spacing w:before="200" w:after="280" w:line="200" w:lineRule="exact"/>
      <w:ind w:left="1622"/>
      <w:contextualSpacing/>
    </w:pPr>
    <w:rPr>
      <w:rFonts w:cs="Times New Roman (Body CS)"/>
      <w:color w:val="82887E" w:themeColor="accent6"/>
      <w:spacing w:val="6"/>
      <w:sz w:val="12"/>
    </w:rPr>
  </w:style>
  <w:style w:type="character" w:customStyle="1" w:styleId="FooterChar">
    <w:name w:val="Footer Char"/>
    <w:basedOn w:val="DefaultParagraphFont"/>
    <w:link w:val="Footer"/>
    <w:uiPriority w:val="99"/>
    <w:rsid w:val="009345FC"/>
    <w:rPr>
      <w:rFonts w:cs="Times New Roman (Body CS)"/>
      <w:color w:val="82887E" w:themeColor="accent6"/>
      <w:spacing w:val="6"/>
      <w:sz w:val="12"/>
      <w:lang w:val="en-US"/>
    </w:rPr>
  </w:style>
  <w:style w:type="character" w:styleId="PageNumber">
    <w:name w:val="page number"/>
    <w:basedOn w:val="DefaultParagraphFont"/>
    <w:uiPriority w:val="99"/>
    <w:semiHidden/>
    <w:rsid w:val="00C2537D"/>
    <w:rPr>
      <w:rFonts w:asciiTheme="minorHAnsi" w:hAnsiTheme="minorHAnsi"/>
      <w:color w:val="82887E" w:themeColor="accent6"/>
      <w:sz w:val="12"/>
    </w:rPr>
  </w:style>
  <w:style w:type="table" w:styleId="TableGrid">
    <w:name w:val="Table Grid"/>
    <w:basedOn w:val="TableNormal"/>
    <w:uiPriority w:val="39"/>
    <w:rsid w:val="00426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sid w:val="00D11B27"/>
    <w:rPr>
      <w:rFonts w:asciiTheme="majorHAnsi" w:hAnsiTheme="majorHAnsi" w:cs="Times New Roman (Body CS)"/>
      <w:caps/>
      <w:color w:val="018219" w:themeColor="accent1"/>
      <w:spacing w:val="8"/>
      <w:sz w:val="28"/>
      <w:lang w:val="en-US"/>
    </w:rPr>
  </w:style>
  <w:style w:type="paragraph" w:customStyle="1" w:styleId="Name">
    <w:name w:val="Name"/>
    <w:basedOn w:val="Normal"/>
    <w:uiPriority w:val="5"/>
    <w:semiHidden/>
    <w:qFormat/>
    <w:rsid w:val="00BE189C"/>
    <w:pPr>
      <w:framePr w:hSpace="181" w:wrap="around" w:vAnchor="page" w:hAnchor="page" w:x="568" w:y="3346"/>
      <w:spacing w:after="0"/>
      <w:suppressOverlap/>
    </w:pPr>
    <w:rPr>
      <w:b/>
    </w:rPr>
  </w:style>
  <w:style w:type="paragraph" w:customStyle="1" w:styleId="Address">
    <w:name w:val="Address"/>
    <w:basedOn w:val="Normal"/>
    <w:uiPriority w:val="3"/>
    <w:semiHidden/>
    <w:qFormat/>
    <w:rsid w:val="00BE189C"/>
    <w:pPr>
      <w:spacing w:after="0"/>
    </w:pPr>
  </w:style>
  <w:style w:type="character" w:customStyle="1" w:styleId="Heading2Char">
    <w:name w:val="Heading 2 Char"/>
    <w:basedOn w:val="DefaultParagraphFont"/>
    <w:link w:val="Heading2"/>
    <w:uiPriority w:val="1"/>
    <w:rsid w:val="00D11B27"/>
    <w:rPr>
      <w:rFonts w:asciiTheme="majorHAnsi" w:hAnsiTheme="majorHAnsi" w:cs="Times New Roman (Body CS)"/>
      <w:caps/>
      <w:color w:val="018219" w:themeColor="accent1"/>
      <w:spacing w:val="8"/>
      <w:lang w:val="en-US"/>
    </w:rPr>
  </w:style>
  <w:style w:type="paragraph" w:styleId="Date">
    <w:name w:val="Date"/>
    <w:basedOn w:val="CoverSubheading"/>
    <w:next w:val="Normal"/>
    <w:link w:val="DateChar"/>
    <w:uiPriority w:val="4"/>
    <w:semiHidden/>
    <w:rsid w:val="00AE178C"/>
    <w:pPr>
      <w:framePr w:wrap="around" w:y="4463"/>
    </w:pPr>
  </w:style>
  <w:style w:type="character" w:customStyle="1" w:styleId="DateChar">
    <w:name w:val="Date Char"/>
    <w:basedOn w:val="DefaultParagraphFont"/>
    <w:link w:val="Date"/>
    <w:uiPriority w:val="4"/>
    <w:semiHidden/>
    <w:rsid w:val="00AE178C"/>
    <w:rPr>
      <w:rFonts w:ascii="Verdana" w:hAnsi="Verdana"/>
      <w:sz w:val="18"/>
      <w:szCs w:val="16"/>
    </w:rPr>
  </w:style>
  <w:style w:type="paragraph" w:customStyle="1" w:styleId="Recipient">
    <w:name w:val="Recipient"/>
    <w:basedOn w:val="Tabletextleft"/>
    <w:uiPriority w:val="5"/>
    <w:semiHidden/>
    <w:qFormat/>
    <w:rsid w:val="00405C5B"/>
  </w:style>
  <w:style w:type="paragraph" w:customStyle="1" w:styleId="Reference">
    <w:name w:val="Reference"/>
    <w:basedOn w:val="CoverSubheading"/>
    <w:uiPriority w:val="6"/>
    <w:semiHidden/>
    <w:qFormat/>
    <w:rsid w:val="00AE178C"/>
    <w:pPr>
      <w:framePr w:wrap="around" w:y="4463"/>
    </w:pPr>
  </w:style>
  <w:style w:type="paragraph" w:styleId="HTMLAddress">
    <w:name w:val="HTML Address"/>
    <w:basedOn w:val="Normal"/>
    <w:link w:val="HTMLAddressChar"/>
    <w:uiPriority w:val="99"/>
    <w:semiHidden/>
    <w:rsid w:val="0066798D"/>
    <w:pPr>
      <w:spacing w:after="0" w:line="240" w:lineRule="auto"/>
    </w:pPr>
    <w:rPr>
      <w:i/>
      <w:iCs/>
    </w:rPr>
  </w:style>
  <w:style w:type="character" w:customStyle="1" w:styleId="HTMLAddressChar">
    <w:name w:val="HTML Address Char"/>
    <w:basedOn w:val="DefaultParagraphFont"/>
    <w:link w:val="HTMLAddress"/>
    <w:uiPriority w:val="99"/>
    <w:semiHidden/>
    <w:rsid w:val="0042629B"/>
    <w:rPr>
      <w:i/>
      <w:iCs/>
      <w:sz w:val="18"/>
    </w:rPr>
  </w:style>
  <w:style w:type="paragraph" w:styleId="EndnoteText">
    <w:name w:val="endnote text"/>
    <w:basedOn w:val="Normal"/>
    <w:link w:val="EndnoteTextChar"/>
    <w:uiPriority w:val="99"/>
    <w:semiHidden/>
    <w:rsid w:val="0066798D"/>
    <w:pPr>
      <w:spacing w:after="0" w:line="240" w:lineRule="auto"/>
    </w:pPr>
    <w:rPr>
      <w:szCs w:val="20"/>
    </w:rPr>
  </w:style>
  <w:style w:type="character" w:customStyle="1" w:styleId="EndnoteTextChar">
    <w:name w:val="Endnote Text Char"/>
    <w:basedOn w:val="DefaultParagraphFont"/>
    <w:link w:val="EndnoteText"/>
    <w:uiPriority w:val="99"/>
    <w:semiHidden/>
    <w:rsid w:val="0042629B"/>
    <w:rPr>
      <w:sz w:val="20"/>
      <w:szCs w:val="20"/>
    </w:rPr>
  </w:style>
  <w:style w:type="paragraph" w:styleId="Title">
    <w:name w:val="Title"/>
    <w:basedOn w:val="BodyText"/>
    <w:next w:val="BodyText"/>
    <w:link w:val="TitleChar"/>
    <w:uiPriority w:val="3"/>
    <w:qFormat/>
    <w:rsid w:val="00577237"/>
    <w:pPr>
      <w:spacing w:after="0" w:line="240" w:lineRule="auto"/>
    </w:pPr>
    <w:rPr>
      <w:rFonts w:ascii="Cambria" w:hAnsi="Cambria"/>
      <w:bCs/>
      <w:sz w:val="72"/>
      <w:szCs w:val="36"/>
    </w:rPr>
  </w:style>
  <w:style w:type="character" w:customStyle="1" w:styleId="TitleChar">
    <w:name w:val="Title Char"/>
    <w:basedOn w:val="DefaultParagraphFont"/>
    <w:link w:val="Title"/>
    <w:uiPriority w:val="3"/>
    <w:rsid w:val="00D11B27"/>
    <w:rPr>
      <w:rFonts w:ascii="Cambria" w:hAnsi="Cambria"/>
      <w:bCs/>
      <w:sz w:val="72"/>
      <w:szCs w:val="36"/>
      <w:lang w:val="en-US"/>
    </w:rPr>
  </w:style>
  <w:style w:type="character" w:customStyle="1" w:styleId="Heading4Char">
    <w:name w:val="Heading 4 Char"/>
    <w:basedOn w:val="DefaultParagraphFont"/>
    <w:link w:val="Heading4"/>
    <w:uiPriority w:val="1"/>
    <w:rsid w:val="00D11B27"/>
    <w:rPr>
      <w:rFonts w:asciiTheme="majorHAnsi" w:hAnsiTheme="majorHAnsi" w:cs="Times New Roman (Body CS)"/>
      <w:caps/>
      <w:color w:val="018219" w:themeColor="accent1"/>
      <w:sz w:val="20"/>
      <w:lang w:val="en-US"/>
    </w:rPr>
  </w:style>
  <w:style w:type="paragraph" w:customStyle="1" w:styleId="Introduction">
    <w:name w:val="Introduction"/>
    <w:basedOn w:val="Normal"/>
    <w:uiPriority w:val="5"/>
    <w:semiHidden/>
    <w:qFormat/>
    <w:rsid w:val="003D34C1"/>
    <w:pPr>
      <w:spacing w:before="90" w:after="0" w:line="274" w:lineRule="auto"/>
    </w:pPr>
    <w:rPr>
      <w:sz w:val="28"/>
      <w:szCs w:val="28"/>
    </w:rPr>
  </w:style>
  <w:style w:type="character" w:customStyle="1" w:styleId="Heading8Char">
    <w:name w:val="Heading 8 Char"/>
    <w:basedOn w:val="DefaultParagraphFont"/>
    <w:link w:val="Heading8"/>
    <w:uiPriority w:val="4"/>
    <w:semiHidden/>
    <w:rsid w:val="003E4C89"/>
    <w:rPr>
      <w:i/>
      <w:iCs/>
      <w:sz w:val="18"/>
    </w:rPr>
  </w:style>
  <w:style w:type="paragraph" w:customStyle="1" w:styleId="BasicParagraph">
    <w:name w:val="[Basic Paragraph]"/>
    <w:basedOn w:val="Normal"/>
    <w:uiPriority w:val="99"/>
    <w:semiHidden/>
    <w:rsid w:val="003D34C1"/>
    <w:pPr>
      <w:autoSpaceDE w:val="0"/>
      <w:autoSpaceDN w:val="0"/>
      <w:adjustRightInd w:val="0"/>
      <w:spacing w:after="0" w:line="288" w:lineRule="auto"/>
      <w:textAlignment w:val="center"/>
    </w:pPr>
    <w:rPr>
      <w:rFonts w:ascii="MinionPro-Regular" w:hAnsi="MinionPro-Regular" w:cs="MinionPro-Regular"/>
      <w:color w:val="000000"/>
      <w:kern w:val="0"/>
      <w:sz w:val="24"/>
    </w:rPr>
  </w:style>
  <w:style w:type="paragraph" w:styleId="NoSpacing">
    <w:name w:val="No Spacing"/>
    <w:basedOn w:val="BodyText"/>
    <w:uiPriority w:val="4"/>
    <w:semiHidden/>
    <w:qFormat/>
    <w:rsid w:val="00AE178C"/>
    <w:pPr>
      <w:spacing w:after="0"/>
    </w:pPr>
  </w:style>
  <w:style w:type="character" w:customStyle="1" w:styleId="Heading5Char">
    <w:name w:val="Heading 5 Char"/>
    <w:basedOn w:val="DefaultParagraphFont"/>
    <w:link w:val="Heading5"/>
    <w:uiPriority w:val="1"/>
    <w:rsid w:val="00D11B27"/>
    <w:rPr>
      <w:rFonts w:asciiTheme="majorHAnsi" w:hAnsiTheme="majorHAnsi"/>
      <w:b/>
      <w:iCs/>
      <w:sz w:val="20"/>
    </w:rPr>
  </w:style>
  <w:style w:type="paragraph" w:customStyle="1" w:styleId="CoverHeading">
    <w:name w:val="Cover Heading"/>
    <w:link w:val="CoverHeadingChar"/>
    <w:uiPriority w:val="4"/>
    <w:qFormat/>
    <w:rsid w:val="008F265E"/>
    <w:rPr>
      <w:rFonts w:asciiTheme="majorHAnsi" w:hAnsiTheme="majorHAnsi" w:cs="Times New Roman (Body CS)"/>
      <w:caps/>
      <w:color w:val="018219" w:themeColor="accent1"/>
      <w:sz w:val="18"/>
    </w:rPr>
  </w:style>
  <w:style w:type="character" w:customStyle="1" w:styleId="CoverHeadingChar">
    <w:name w:val="Cover Heading Char"/>
    <w:basedOn w:val="Heading1Char"/>
    <w:link w:val="CoverHeading"/>
    <w:uiPriority w:val="4"/>
    <w:rsid w:val="00D11B27"/>
    <w:rPr>
      <w:rFonts w:asciiTheme="majorHAnsi" w:hAnsiTheme="majorHAnsi" w:cs="Times New Roman (Body CS)"/>
      <w:caps/>
      <w:color w:val="018219" w:themeColor="accent1"/>
      <w:spacing w:val="8"/>
      <w:sz w:val="18"/>
      <w:lang w:val="en-US"/>
    </w:rPr>
  </w:style>
  <w:style w:type="paragraph" w:customStyle="1" w:styleId="Bullet">
    <w:name w:val="Bullet"/>
    <w:basedOn w:val="Normal"/>
    <w:qFormat/>
    <w:rsid w:val="00957C34"/>
    <w:pPr>
      <w:numPr>
        <w:numId w:val="1"/>
      </w:numPr>
      <w:spacing w:before="60" w:after="60"/>
    </w:pPr>
  </w:style>
  <w:style w:type="paragraph" w:styleId="Caption">
    <w:name w:val="caption"/>
    <w:basedOn w:val="Normal"/>
    <w:next w:val="Normal"/>
    <w:uiPriority w:val="35"/>
    <w:qFormat/>
    <w:rsid w:val="00E906B9"/>
    <w:pPr>
      <w:keepNext/>
      <w:tabs>
        <w:tab w:val="left" w:pos="1191"/>
      </w:tabs>
      <w:spacing w:after="120"/>
    </w:pPr>
    <w:rPr>
      <w:rFonts w:asciiTheme="majorHAnsi" w:hAnsiTheme="majorHAnsi" w:cs="Times New Roman (Body CS)"/>
      <w:caps/>
      <w:color w:val="018219" w:themeColor="accent1"/>
      <w:spacing w:val="4"/>
      <w:szCs w:val="16"/>
    </w:rPr>
  </w:style>
  <w:style w:type="paragraph" w:styleId="Subtitle">
    <w:name w:val="Subtitle"/>
    <w:next w:val="BodyText"/>
    <w:link w:val="SubtitleChar"/>
    <w:uiPriority w:val="3"/>
    <w:qFormat/>
    <w:rsid w:val="0067574E"/>
    <w:rPr>
      <w:rFonts w:ascii="Cambria" w:hAnsi="Cambria" w:cs="Times New Roman (Body CS)"/>
      <w:sz w:val="36"/>
    </w:rPr>
  </w:style>
  <w:style w:type="character" w:customStyle="1" w:styleId="SubtitleChar">
    <w:name w:val="Subtitle Char"/>
    <w:basedOn w:val="DefaultParagraphFont"/>
    <w:link w:val="Subtitle"/>
    <w:uiPriority w:val="3"/>
    <w:rsid w:val="00D11B27"/>
    <w:rPr>
      <w:rFonts w:ascii="Cambria" w:hAnsi="Cambria" w:cs="Times New Roman (Body CS)"/>
      <w:sz w:val="36"/>
    </w:rPr>
  </w:style>
  <w:style w:type="paragraph" w:customStyle="1" w:styleId="CoverSubheading">
    <w:name w:val="Cover Subheading"/>
    <w:uiPriority w:val="4"/>
    <w:qFormat/>
    <w:rsid w:val="000961F8"/>
    <w:pPr>
      <w:framePr w:hSpace="181" w:wrap="around" w:vAnchor="page" w:hAnchor="page" w:x="8931" w:y="5767"/>
      <w:spacing w:line="276" w:lineRule="auto"/>
      <w:suppressOverlap/>
    </w:pPr>
    <w:rPr>
      <w:rFonts w:asciiTheme="majorHAnsi" w:hAnsiTheme="majorHAnsi"/>
      <w:sz w:val="18"/>
      <w:szCs w:val="16"/>
    </w:rPr>
  </w:style>
  <w:style w:type="paragraph" w:customStyle="1" w:styleId="Tabletextleft">
    <w:name w:val="Table text left"/>
    <w:basedOn w:val="Normal"/>
    <w:uiPriority w:val="1"/>
    <w:qFormat/>
    <w:rsid w:val="00B3214B"/>
    <w:pPr>
      <w:spacing w:after="0" w:line="240" w:lineRule="auto"/>
    </w:pPr>
    <w:rPr>
      <w:rFonts w:cs="Times New Roman (Body CS)"/>
      <w:spacing w:val="4"/>
      <w:sz w:val="18"/>
    </w:rPr>
  </w:style>
  <w:style w:type="numbering" w:customStyle="1" w:styleId="CurrentList20">
    <w:name w:val="Current List20"/>
    <w:uiPriority w:val="99"/>
    <w:rsid w:val="00263F34"/>
    <w:pPr>
      <w:numPr>
        <w:numId w:val="27"/>
      </w:numPr>
    </w:pPr>
  </w:style>
  <w:style w:type="paragraph" w:customStyle="1" w:styleId="Tabletextcentered">
    <w:name w:val="Table text centered"/>
    <w:basedOn w:val="Tabletextleft"/>
    <w:uiPriority w:val="1"/>
    <w:qFormat/>
    <w:rsid w:val="001D40D8"/>
    <w:pPr>
      <w:jc w:val="center"/>
    </w:pPr>
  </w:style>
  <w:style w:type="paragraph" w:styleId="TOC1">
    <w:name w:val="toc 1"/>
    <w:basedOn w:val="Normal"/>
    <w:next w:val="Normal"/>
    <w:autoRedefine/>
    <w:uiPriority w:val="39"/>
    <w:rsid w:val="001A24A2"/>
    <w:pPr>
      <w:pBdr>
        <w:top w:val="single" w:sz="4" w:space="5" w:color="D2DED3"/>
        <w:bottom w:val="single" w:sz="4" w:space="5" w:color="D2DED3"/>
        <w:between w:val="single" w:sz="4" w:space="5" w:color="FFFFFF" w:themeColor="background1"/>
      </w:pBdr>
      <w:shd w:val="clear" w:color="auto" w:fill="D2DED3"/>
      <w:tabs>
        <w:tab w:val="right" w:pos="10194"/>
      </w:tabs>
      <w:spacing w:before="120" w:after="0" w:line="240" w:lineRule="auto"/>
      <w:ind w:left="567" w:hanging="567"/>
    </w:pPr>
    <w:rPr>
      <w:rFonts w:asciiTheme="majorHAnsi" w:hAnsiTheme="majorHAnsi" w:cs="Times New Roman (Body CS)"/>
      <w:caps/>
      <w:noProof/>
      <w:spacing w:val="8"/>
    </w:rPr>
  </w:style>
  <w:style w:type="paragraph" w:styleId="TOC2">
    <w:name w:val="toc 2"/>
    <w:basedOn w:val="TOC1"/>
    <w:next w:val="Normal"/>
    <w:autoRedefine/>
    <w:uiPriority w:val="39"/>
    <w:rsid w:val="00FB2D02"/>
    <w:pPr>
      <w:pBdr>
        <w:top w:val="none" w:sz="0" w:space="0" w:color="auto"/>
        <w:bottom w:val="single" w:sz="4" w:space="4" w:color="B7B2AA" w:themeColor="accent5"/>
        <w:between w:val="single" w:sz="4" w:space="4" w:color="B7B2AA" w:themeColor="accent5"/>
      </w:pBdr>
      <w:shd w:val="clear" w:color="auto" w:fill="auto"/>
      <w:spacing w:before="0"/>
    </w:pPr>
    <w:rPr>
      <w:sz w:val="18"/>
    </w:rPr>
  </w:style>
  <w:style w:type="paragraph" w:styleId="TOCHeading">
    <w:name w:val="TOC Heading"/>
    <w:next w:val="Normal"/>
    <w:uiPriority w:val="39"/>
    <w:semiHidden/>
    <w:qFormat/>
    <w:rsid w:val="00EF428E"/>
    <w:pPr>
      <w:spacing w:after="280"/>
    </w:pPr>
    <w:rPr>
      <w:rFonts w:ascii="Verdana" w:hAnsi="Verdana" w:cs="Times New Roman (Body CS)"/>
      <w:caps/>
      <w:color w:val="018219" w:themeColor="accent1"/>
      <w:spacing w:val="8"/>
    </w:rPr>
  </w:style>
  <w:style w:type="paragraph" w:styleId="ListParagraph">
    <w:name w:val="List Paragraph"/>
    <w:basedOn w:val="Normal"/>
    <w:uiPriority w:val="34"/>
    <w:semiHidden/>
    <w:qFormat/>
    <w:rsid w:val="00B770B9"/>
    <w:pPr>
      <w:ind w:left="720"/>
      <w:contextualSpacing/>
    </w:pPr>
  </w:style>
  <w:style w:type="table" w:customStyle="1" w:styleId="ERMTable1">
    <w:name w:val="ERM Table 1"/>
    <w:basedOn w:val="TableNormal"/>
    <w:uiPriority w:val="99"/>
    <w:rsid w:val="001B4A8C"/>
    <w:rPr>
      <w:sz w:val="16"/>
    </w:rPr>
    <w:tblPr>
      <w:tblStyleRowBandSize w:val="1"/>
      <w:tblStyleColBandSize w:val="1"/>
      <w:tblBorders>
        <w:bottom w:val="single" w:sz="4" w:space="0" w:color="B7B2AA" w:themeColor="accent5"/>
        <w:insideH w:val="single" w:sz="4" w:space="0" w:color="B7B2AA" w:themeColor="accent5"/>
        <w:insideV w:val="single" w:sz="4" w:space="0" w:color="B7B2AA" w:themeColor="accent5"/>
      </w:tblBorders>
      <w:tblCellMar>
        <w:top w:w="85" w:type="dxa"/>
        <w:bottom w:w="85" w:type="dxa"/>
      </w:tblCellMar>
    </w:tblPr>
    <w:tblStylePr w:type="firstRow">
      <w:rPr>
        <w:b/>
      </w:rPr>
      <w:tblPr/>
      <w:tcPr>
        <w:tcBorders>
          <w:top w:val="nil"/>
          <w:left w:val="nil"/>
          <w:bottom w:val="single" w:sz="4" w:space="0" w:color="B7B2AA" w:themeColor="accent5"/>
          <w:right w:val="nil"/>
          <w:insideH w:val="nil"/>
          <w:insideV w:val="single" w:sz="4" w:space="0" w:color="B7B2AA" w:themeColor="accent5"/>
          <w:tl2br w:val="nil"/>
          <w:tr2bl w:val="nil"/>
        </w:tcBorders>
        <w:shd w:val="clear" w:color="auto" w:fill="D2DED3"/>
      </w:tcPr>
    </w:tblStylePr>
    <w:tblStylePr w:type="lastRow">
      <w:rPr>
        <w:b w:val="0"/>
      </w:rPr>
    </w:tblStylePr>
    <w:tblStylePr w:type="firstCol">
      <w:rPr>
        <w:b w:val="0"/>
        <w:caps w:val="0"/>
        <w:smallCaps w:val="0"/>
      </w:rPr>
    </w:tblStylePr>
    <w:tblStylePr w:type="band1Vert">
      <w:tblPr/>
      <w:tcPr>
        <w:tcBorders>
          <w:left w:val="nil"/>
          <w:right w:val="nil"/>
          <w:insideV w:val="nil"/>
        </w:tcBorders>
      </w:tcPr>
    </w:tblStylePr>
    <w:tblStylePr w:type="band2Vert">
      <w:tblPr/>
      <w:tcPr>
        <w:tcBorders>
          <w:left w:val="nil"/>
          <w:right w:val="nil"/>
          <w:insideV w:val="nil"/>
        </w:tcBorders>
      </w:tcPr>
    </w:tblStylePr>
    <w:tblStylePr w:type="band1Horz">
      <w:tblPr/>
      <w:tcPr>
        <w:tcBorders>
          <w:top w:val="nil"/>
          <w:left w:val="nil"/>
          <w:bottom w:val="single" w:sz="4" w:space="0" w:color="B7B2AA" w:themeColor="accent5"/>
          <w:right w:val="nil"/>
        </w:tcBorders>
      </w:tcPr>
    </w:tblStylePr>
  </w:style>
  <w:style w:type="paragraph" w:customStyle="1" w:styleId="Line">
    <w:name w:val="Line"/>
    <w:basedOn w:val="Normal"/>
    <w:uiPriority w:val="6"/>
    <w:semiHidden/>
    <w:qFormat/>
    <w:rsid w:val="00C2537D"/>
    <w:pPr>
      <w:pBdr>
        <w:top w:val="single" w:sz="4" w:space="1" w:color="82887E" w:themeColor="accent6"/>
      </w:pBdr>
      <w:spacing w:before="160" w:after="0" w:line="293" w:lineRule="auto"/>
    </w:pPr>
    <w:rPr>
      <w:sz w:val="12"/>
      <w:szCs w:val="12"/>
    </w:rPr>
  </w:style>
  <w:style w:type="paragraph" w:customStyle="1" w:styleId="ListNumberAlpha">
    <w:name w:val="List Number Alpha"/>
    <w:basedOn w:val="Normal"/>
    <w:link w:val="ListNumberAlphaChar"/>
    <w:uiPriority w:val="9"/>
    <w:semiHidden/>
    <w:qFormat/>
    <w:rsid w:val="00A10B48"/>
    <w:pPr>
      <w:numPr>
        <w:ilvl w:val="7"/>
        <w:numId w:val="9"/>
      </w:numPr>
      <w:spacing w:before="60" w:after="60"/>
    </w:pPr>
  </w:style>
  <w:style w:type="character" w:customStyle="1" w:styleId="Heading3Char">
    <w:name w:val="Heading 3 Char"/>
    <w:basedOn w:val="DefaultParagraphFont"/>
    <w:link w:val="Heading3"/>
    <w:uiPriority w:val="1"/>
    <w:rsid w:val="00D11B27"/>
    <w:rPr>
      <w:rFonts w:asciiTheme="majorHAnsi" w:hAnsiTheme="majorHAnsi" w:cs="Times New Roman (Body CS)"/>
      <w:caps/>
      <w:color w:val="018219" w:themeColor="accent1"/>
      <w:spacing w:val="8"/>
      <w:sz w:val="22"/>
      <w:lang w:val="en-US"/>
    </w:rPr>
  </w:style>
  <w:style w:type="paragraph" w:customStyle="1" w:styleId="NumberedText">
    <w:name w:val="Numbered Text"/>
    <w:qFormat/>
    <w:rsid w:val="008D6533"/>
    <w:pPr>
      <w:numPr>
        <w:numId w:val="7"/>
      </w:numPr>
      <w:spacing w:before="60" w:after="60" w:line="300" w:lineRule="auto"/>
    </w:pPr>
    <w:rPr>
      <w:rFonts w:cs="Times New Roman (Body CS)"/>
      <w:color w:val="1C1C1C" w:themeColor="text1"/>
      <w:sz w:val="20"/>
    </w:rPr>
  </w:style>
  <w:style w:type="paragraph" w:styleId="Index1">
    <w:name w:val="index 1"/>
    <w:basedOn w:val="Normal"/>
    <w:next w:val="Normal"/>
    <w:autoRedefine/>
    <w:uiPriority w:val="99"/>
    <w:semiHidden/>
    <w:rsid w:val="002C0F0C"/>
    <w:pPr>
      <w:spacing w:after="0" w:line="240" w:lineRule="auto"/>
      <w:ind w:left="180" w:hanging="180"/>
    </w:pPr>
  </w:style>
  <w:style w:type="paragraph" w:styleId="IndexHeading">
    <w:name w:val="index heading"/>
    <w:basedOn w:val="Normal"/>
    <w:next w:val="Index1"/>
    <w:uiPriority w:val="99"/>
    <w:semiHidden/>
    <w:rsid w:val="00263F34"/>
    <w:pPr>
      <w:spacing w:after="0" w:line="240" w:lineRule="auto"/>
    </w:pPr>
    <w:rPr>
      <w:rFonts w:asciiTheme="majorHAnsi" w:eastAsiaTheme="majorEastAsia" w:hAnsiTheme="majorHAnsi" w:cstheme="majorBidi"/>
      <w:b/>
      <w:bCs/>
      <w:caps/>
      <w:spacing w:val="8"/>
      <w:lang w:val="en-GB"/>
    </w:rPr>
  </w:style>
  <w:style w:type="paragraph" w:styleId="TableofFigures">
    <w:name w:val="table of figures"/>
    <w:basedOn w:val="TOC2"/>
    <w:next w:val="Normal"/>
    <w:uiPriority w:val="99"/>
    <w:rsid w:val="00B90CC2"/>
    <w:pPr>
      <w:keepNext/>
      <w:tabs>
        <w:tab w:val="left" w:pos="1871"/>
      </w:tabs>
      <w:ind w:left="1418" w:hanging="1418"/>
    </w:pPr>
    <w:rPr>
      <w:spacing w:val="6"/>
    </w:rPr>
  </w:style>
  <w:style w:type="paragraph" w:styleId="TableofAuthorities">
    <w:name w:val="table of authorities"/>
    <w:basedOn w:val="Normal"/>
    <w:next w:val="Normal"/>
    <w:uiPriority w:val="99"/>
    <w:semiHidden/>
    <w:rsid w:val="002C0F0C"/>
    <w:pPr>
      <w:spacing w:after="0"/>
      <w:ind w:left="180" w:hanging="180"/>
    </w:pPr>
    <w:rPr>
      <w:rFonts w:ascii="Verdana" w:hAnsi="Verdana"/>
      <w:spacing w:val="6"/>
      <w:sz w:val="16"/>
    </w:rPr>
  </w:style>
  <w:style w:type="paragraph" w:customStyle="1" w:styleId="AppendixContentsList">
    <w:name w:val="Appendix Contents List"/>
    <w:uiPriority w:val="20"/>
    <w:semiHidden/>
    <w:qFormat/>
    <w:rsid w:val="00245E4A"/>
    <w:pPr>
      <w:tabs>
        <w:tab w:val="left" w:pos="1418"/>
      </w:tabs>
      <w:spacing w:after="125"/>
    </w:pPr>
    <w:rPr>
      <w:rFonts w:ascii="Verdana" w:hAnsi="Verdana"/>
      <w:caps/>
      <w:spacing w:val="8"/>
      <w:sz w:val="20"/>
      <w:szCs w:val="16"/>
    </w:rPr>
  </w:style>
  <w:style w:type="paragraph" w:styleId="TOC3">
    <w:name w:val="toc 3"/>
    <w:basedOn w:val="AppendixContentsList"/>
    <w:next w:val="Normal"/>
    <w:autoRedefine/>
    <w:uiPriority w:val="39"/>
    <w:rsid w:val="00FD0964"/>
    <w:pPr>
      <w:tabs>
        <w:tab w:val="clear" w:pos="1418"/>
        <w:tab w:val="right" w:pos="10194"/>
      </w:tabs>
      <w:spacing w:before="60" w:after="60"/>
      <w:ind w:left="1418" w:hanging="851"/>
      <w:contextualSpacing/>
    </w:pPr>
    <w:rPr>
      <w:rFonts w:asciiTheme="minorHAnsi" w:hAnsiTheme="minorHAnsi" w:cs="Times New Roman (Body CS)"/>
      <w:caps w:val="0"/>
      <w:noProof/>
      <w:spacing w:val="0"/>
      <w:sz w:val="18"/>
    </w:rPr>
  </w:style>
  <w:style w:type="paragraph" w:customStyle="1" w:styleId="Documenttitle">
    <w:name w:val="Document title"/>
    <w:basedOn w:val="Tabletextleft"/>
    <w:uiPriority w:val="7"/>
    <w:semiHidden/>
    <w:qFormat/>
    <w:rsid w:val="00405C5B"/>
  </w:style>
  <w:style w:type="paragraph" w:customStyle="1" w:styleId="Version">
    <w:name w:val="Version"/>
    <w:basedOn w:val="Tabletextleft"/>
    <w:uiPriority w:val="6"/>
    <w:semiHidden/>
    <w:qFormat/>
    <w:rsid w:val="00AA52B5"/>
  </w:style>
  <w:style w:type="paragraph" w:customStyle="1" w:styleId="DocumentSubtitle">
    <w:name w:val="Document Subtitle"/>
    <w:basedOn w:val="Tabletextleft"/>
    <w:uiPriority w:val="11"/>
    <w:semiHidden/>
    <w:qFormat/>
    <w:rsid w:val="00C90271"/>
  </w:style>
  <w:style w:type="character" w:styleId="Hyperlink">
    <w:name w:val="Hyperlink"/>
    <w:basedOn w:val="DefaultParagraphFont"/>
    <w:uiPriority w:val="99"/>
    <w:rsid w:val="00B21A41"/>
    <w:rPr>
      <w:color w:val="1C1C1C" w:themeColor="hyperlink"/>
      <w:u w:val="single"/>
    </w:rPr>
  </w:style>
  <w:style w:type="paragraph" w:customStyle="1" w:styleId="AppendixHeading">
    <w:name w:val="Appendix Heading"/>
    <w:next w:val="BodyText"/>
    <w:uiPriority w:val="6"/>
    <w:qFormat/>
    <w:rsid w:val="00A536C6"/>
    <w:pPr>
      <w:numPr>
        <w:numId w:val="10"/>
      </w:numPr>
      <w:spacing w:before="480" w:after="240"/>
      <w:ind w:left="2835" w:hanging="2835"/>
    </w:pPr>
    <w:rPr>
      <w:rFonts w:asciiTheme="majorHAnsi" w:hAnsiTheme="majorHAnsi" w:cs="Times New Roman (Body CS)"/>
      <w:caps/>
      <w:color w:val="018219" w:themeColor="accent1"/>
      <w:spacing w:val="6"/>
      <w:sz w:val="32"/>
    </w:rPr>
  </w:style>
  <w:style w:type="paragraph" w:styleId="BlockText">
    <w:name w:val="Block Text"/>
    <w:basedOn w:val="Normal"/>
    <w:uiPriority w:val="99"/>
    <w:semiHidden/>
    <w:qFormat/>
    <w:rsid w:val="00B629AC"/>
    <w:pPr>
      <w:pBdr>
        <w:top w:val="single" w:sz="2" w:space="10" w:color="018219" w:themeColor="accent1"/>
        <w:left w:val="single" w:sz="2" w:space="10" w:color="018219" w:themeColor="accent1"/>
        <w:bottom w:val="single" w:sz="2" w:space="10" w:color="018219" w:themeColor="accent1"/>
        <w:right w:val="single" w:sz="2" w:space="10" w:color="018219" w:themeColor="accent1"/>
      </w:pBdr>
      <w:ind w:left="1152" w:right="1152"/>
    </w:pPr>
    <w:rPr>
      <w:rFonts w:eastAsiaTheme="minorEastAsia"/>
      <w:i/>
      <w:iCs/>
      <w:color w:val="018219" w:themeColor="accent1"/>
    </w:rPr>
  </w:style>
  <w:style w:type="paragraph" w:customStyle="1" w:styleId="TableBullet1">
    <w:name w:val="Table Bullet 1"/>
    <w:basedOn w:val="Tabletextleft"/>
    <w:uiPriority w:val="1"/>
    <w:qFormat/>
    <w:rsid w:val="00334C97"/>
    <w:pPr>
      <w:numPr>
        <w:numId w:val="3"/>
      </w:numPr>
      <w:ind w:left="284" w:hanging="284"/>
    </w:pPr>
  </w:style>
  <w:style w:type="character" w:customStyle="1" w:styleId="Heading6Char">
    <w:name w:val="Heading 6 Char"/>
    <w:basedOn w:val="DefaultParagraphFont"/>
    <w:link w:val="Heading6"/>
    <w:uiPriority w:val="1"/>
    <w:rsid w:val="00D11B27"/>
    <w:rPr>
      <w:rFonts w:asciiTheme="majorHAnsi" w:hAnsiTheme="majorHAnsi"/>
      <w:b/>
      <w:i/>
      <w:sz w:val="20"/>
    </w:rPr>
  </w:style>
  <w:style w:type="character" w:customStyle="1" w:styleId="Heading7Char">
    <w:name w:val="Heading 7 Char"/>
    <w:basedOn w:val="DefaultParagraphFont"/>
    <w:link w:val="Heading7"/>
    <w:uiPriority w:val="1"/>
    <w:rsid w:val="00A92083"/>
    <w:rPr>
      <w:i/>
      <w:iCs/>
      <w:sz w:val="20"/>
    </w:rPr>
  </w:style>
  <w:style w:type="character" w:customStyle="1" w:styleId="GreenText">
    <w:name w:val="Green Text"/>
    <w:basedOn w:val="DefaultParagraphFont"/>
    <w:uiPriority w:val="99"/>
    <w:semiHidden/>
    <w:rsid w:val="001557E5"/>
    <w:rPr>
      <w:color w:val="019920"/>
    </w:rPr>
  </w:style>
  <w:style w:type="paragraph" w:customStyle="1" w:styleId="ListNumberRoman">
    <w:name w:val="List Number Roman"/>
    <w:basedOn w:val="ListNumberAlpha"/>
    <w:link w:val="ListNumberRomanChar"/>
    <w:uiPriority w:val="9"/>
    <w:semiHidden/>
    <w:qFormat/>
    <w:rsid w:val="00A10B48"/>
    <w:pPr>
      <w:numPr>
        <w:ilvl w:val="8"/>
      </w:numPr>
      <w:ind w:left="1803"/>
    </w:pPr>
  </w:style>
  <w:style w:type="character" w:customStyle="1" w:styleId="ListNumberAlphaChar">
    <w:name w:val="List Number Alpha Char"/>
    <w:basedOn w:val="DefaultParagraphFont"/>
    <w:link w:val="ListNumberAlpha"/>
    <w:uiPriority w:val="9"/>
    <w:semiHidden/>
    <w:rsid w:val="00FD6A27"/>
    <w:rPr>
      <w:sz w:val="20"/>
      <w:lang w:val="en-US"/>
    </w:rPr>
  </w:style>
  <w:style w:type="character" w:customStyle="1" w:styleId="ListNumberRomanChar">
    <w:name w:val="List Number Roman Char"/>
    <w:basedOn w:val="ListNumberAlphaChar"/>
    <w:link w:val="ListNumberRoman"/>
    <w:uiPriority w:val="9"/>
    <w:semiHidden/>
    <w:rsid w:val="00FD6A27"/>
    <w:rPr>
      <w:sz w:val="20"/>
      <w:lang w:val="en-US"/>
    </w:rPr>
  </w:style>
  <w:style w:type="numbering" w:customStyle="1" w:styleId="CurrentList1">
    <w:name w:val="Current List1"/>
    <w:uiPriority w:val="99"/>
    <w:rsid w:val="00F9590B"/>
    <w:pPr>
      <w:numPr>
        <w:numId w:val="4"/>
      </w:numPr>
    </w:pPr>
  </w:style>
  <w:style w:type="numbering" w:customStyle="1" w:styleId="CurrentList2">
    <w:name w:val="Current List2"/>
    <w:uiPriority w:val="99"/>
    <w:rsid w:val="00F9590B"/>
    <w:pPr>
      <w:numPr>
        <w:numId w:val="5"/>
      </w:numPr>
    </w:pPr>
  </w:style>
  <w:style w:type="numbering" w:customStyle="1" w:styleId="CurrentList3">
    <w:name w:val="Current List3"/>
    <w:uiPriority w:val="99"/>
    <w:rsid w:val="00F9590B"/>
    <w:pPr>
      <w:numPr>
        <w:numId w:val="6"/>
      </w:numPr>
    </w:pPr>
  </w:style>
  <w:style w:type="paragraph" w:styleId="BodyText">
    <w:name w:val="Body Text"/>
    <w:basedOn w:val="Normal"/>
    <w:link w:val="BodyTextChar"/>
    <w:rsid w:val="006A074C"/>
    <w:pPr>
      <w:spacing w:after="120"/>
    </w:pPr>
  </w:style>
  <w:style w:type="character" w:customStyle="1" w:styleId="BodyTextChar">
    <w:name w:val="Body Text Char"/>
    <w:basedOn w:val="DefaultParagraphFont"/>
    <w:link w:val="BodyText"/>
    <w:rsid w:val="006A074C"/>
    <w:rPr>
      <w:sz w:val="20"/>
      <w:lang w:val="en-US"/>
    </w:rPr>
  </w:style>
  <w:style w:type="paragraph" w:customStyle="1" w:styleId="TableTitle">
    <w:name w:val="Table Title"/>
    <w:basedOn w:val="Caption"/>
    <w:uiPriority w:val="2"/>
    <w:semiHidden/>
    <w:qFormat/>
    <w:rsid w:val="00287530"/>
    <w:rPr>
      <w:szCs w:val="20"/>
      <w:lang w:val="en-GB"/>
    </w:rPr>
  </w:style>
  <w:style w:type="paragraph" w:styleId="TOC4">
    <w:name w:val="toc 4"/>
    <w:basedOn w:val="TOC1"/>
    <w:next w:val="Normal"/>
    <w:autoRedefine/>
    <w:uiPriority w:val="39"/>
    <w:rsid w:val="00340E38"/>
    <w:pPr>
      <w:pBdr>
        <w:top w:val="none" w:sz="0" w:space="0" w:color="auto"/>
        <w:bottom w:val="none" w:sz="0" w:space="0" w:color="auto"/>
        <w:between w:val="single" w:sz="4" w:space="1" w:color="B7B2AA" w:themeColor="accent5"/>
      </w:pBdr>
      <w:shd w:val="clear" w:color="auto" w:fill="auto"/>
      <w:spacing w:before="300" w:after="60" w:line="300" w:lineRule="auto"/>
      <w:ind w:left="1418" w:hanging="1418"/>
      <w:contextualSpacing/>
    </w:pPr>
    <w:rPr>
      <w:spacing w:val="0"/>
    </w:rPr>
  </w:style>
  <w:style w:type="paragraph" w:styleId="ListNumber">
    <w:name w:val="List Number"/>
    <w:basedOn w:val="NumberedText"/>
    <w:uiPriority w:val="9"/>
    <w:semiHidden/>
    <w:rsid w:val="007C531A"/>
    <w:pPr>
      <w:numPr>
        <w:ilvl w:val="6"/>
        <w:numId w:val="9"/>
      </w:numPr>
    </w:pPr>
  </w:style>
  <w:style w:type="paragraph" w:customStyle="1" w:styleId="Subheading">
    <w:name w:val="Subheading"/>
    <w:next w:val="BodyText"/>
    <w:uiPriority w:val="5"/>
    <w:semiHidden/>
    <w:qFormat/>
    <w:rsid w:val="00591B08"/>
    <w:pPr>
      <w:keepNext/>
      <w:spacing w:before="240" w:line="300" w:lineRule="auto"/>
    </w:pPr>
    <w:rPr>
      <w:i/>
      <w:iCs/>
      <w:sz w:val="20"/>
    </w:rPr>
  </w:style>
  <w:style w:type="numbering" w:customStyle="1" w:styleId="CurrentList4">
    <w:name w:val="Current List4"/>
    <w:uiPriority w:val="99"/>
    <w:rsid w:val="00D34719"/>
    <w:pPr>
      <w:numPr>
        <w:numId w:val="11"/>
      </w:numPr>
    </w:pPr>
  </w:style>
  <w:style w:type="numbering" w:customStyle="1" w:styleId="CurrentList5">
    <w:name w:val="Current List5"/>
    <w:uiPriority w:val="99"/>
    <w:rsid w:val="00D34719"/>
    <w:pPr>
      <w:numPr>
        <w:numId w:val="12"/>
      </w:numPr>
    </w:pPr>
  </w:style>
  <w:style w:type="paragraph" w:customStyle="1" w:styleId="Figureplacement">
    <w:name w:val="Figure placement"/>
    <w:basedOn w:val="BodyText"/>
    <w:next w:val="BodyText"/>
    <w:uiPriority w:val="3"/>
    <w:rsid w:val="006B7459"/>
    <w:rPr>
      <w:rFonts w:eastAsiaTheme="minorEastAsia" w:cs="Arial"/>
      <w:kern w:val="0"/>
      <w:szCs w:val="20"/>
      <w14:ligatures w14:val="none"/>
    </w:rPr>
  </w:style>
  <w:style w:type="paragraph" w:customStyle="1" w:styleId="TableandFigureSource">
    <w:name w:val="Table and Figure Source"/>
    <w:basedOn w:val="BodyText"/>
    <w:next w:val="BodyText"/>
    <w:link w:val="TableandFigureSourceChar"/>
    <w:uiPriority w:val="2"/>
    <w:rsid w:val="006E0596"/>
    <w:pPr>
      <w:spacing w:before="60" w:after="0" w:line="276" w:lineRule="auto"/>
      <w:contextualSpacing/>
    </w:pPr>
    <w:rPr>
      <w:rFonts w:eastAsiaTheme="minorEastAsia"/>
      <w:kern w:val="0"/>
      <w:sz w:val="18"/>
      <w:szCs w:val="20"/>
      <w14:ligatures w14:val="none"/>
    </w:rPr>
  </w:style>
  <w:style w:type="paragraph" w:customStyle="1" w:styleId="TableandFigureNote">
    <w:name w:val="Table and Figure Note"/>
    <w:basedOn w:val="TableandFigureSource"/>
    <w:next w:val="BodyText"/>
    <w:link w:val="TableandFigureNoteChar"/>
    <w:uiPriority w:val="2"/>
    <w:rsid w:val="00D633D7"/>
  </w:style>
  <w:style w:type="character" w:customStyle="1" w:styleId="TableandFigureSourceChar">
    <w:name w:val="Table and Figure Source Char"/>
    <w:basedOn w:val="BodyTextChar"/>
    <w:link w:val="TableandFigureSource"/>
    <w:uiPriority w:val="2"/>
    <w:rsid w:val="006E0596"/>
    <w:rPr>
      <w:rFonts w:eastAsiaTheme="minorEastAsia"/>
      <w:kern w:val="0"/>
      <w:sz w:val="18"/>
      <w:szCs w:val="20"/>
      <w:lang w:val="en-US"/>
      <w14:ligatures w14:val="none"/>
    </w:rPr>
  </w:style>
  <w:style w:type="character" w:customStyle="1" w:styleId="TableandFigureNoteChar">
    <w:name w:val="Table and Figure Note Char"/>
    <w:basedOn w:val="TableandFigureSourceChar"/>
    <w:link w:val="TableandFigureNote"/>
    <w:uiPriority w:val="2"/>
    <w:rsid w:val="00D633D7"/>
    <w:rPr>
      <w:rFonts w:eastAsiaTheme="minorEastAsia"/>
      <w:kern w:val="0"/>
      <w:sz w:val="18"/>
      <w:szCs w:val="20"/>
      <w:lang w:val="en-US"/>
      <w14:ligatures w14:val="none"/>
    </w:rPr>
  </w:style>
  <w:style w:type="paragraph" w:customStyle="1" w:styleId="BlockQuote">
    <w:name w:val="Block Quote"/>
    <w:basedOn w:val="BodyText"/>
    <w:next w:val="BodyText"/>
    <w:uiPriority w:val="3"/>
    <w:qFormat/>
    <w:rsid w:val="00095AE2"/>
    <w:pPr>
      <w:spacing w:before="240" w:after="240" w:line="240" w:lineRule="auto"/>
      <w:ind w:left="794" w:right="794"/>
    </w:pPr>
  </w:style>
  <w:style w:type="numbering" w:customStyle="1" w:styleId="CurrentList6">
    <w:name w:val="Current List6"/>
    <w:uiPriority w:val="99"/>
    <w:rsid w:val="003E0F3F"/>
    <w:pPr>
      <w:numPr>
        <w:numId w:val="13"/>
      </w:numPr>
    </w:pPr>
  </w:style>
  <w:style w:type="character" w:styleId="CommentReference">
    <w:name w:val="annotation reference"/>
    <w:basedOn w:val="DefaultParagraphFont"/>
    <w:uiPriority w:val="99"/>
    <w:semiHidden/>
    <w:rsid w:val="006A0B7F"/>
    <w:rPr>
      <w:sz w:val="16"/>
      <w:szCs w:val="16"/>
    </w:rPr>
  </w:style>
  <w:style w:type="paragraph" w:styleId="CommentText">
    <w:name w:val="annotation text"/>
    <w:basedOn w:val="Normal"/>
    <w:link w:val="CommentTextChar"/>
    <w:uiPriority w:val="99"/>
    <w:semiHidden/>
    <w:rsid w:val="006A0B7F"/>
    <w:pPr>
      <w:spacing w:line="240" w:lineRule="auto"/>
      <w:ind w:right="567"/>
    </w:pPr>
    <w:rPr>
      <w:szCs w:val="20"/>
    </w:rPr>
  </w:style>
  <w:style w:type="character" w:customStyle="1" w:styleId="CommentTextChar">
    <w:name w:val="Comment Text Char"/>
    <w:basedOn w:val="DefaultParagraphFont"/>
    <w:link w:val="CommentText"/>
    <w:uiPriority w:val="99"/>
    <w:semiHidden/>
    <w:rsid w:val="006A0B7F"/>
    <w:rPr>
      <w:sz w:val="20"/>
      <w:szCs w:val="20"/>
    </w:rPr>
  </w:style>
  <w:style w:type="paragraph" w:styleId="FootnoteText">
    <w:name w:val="footnote text"/>
    <w:basedOn w:val="Normal"/>
    <w:link w:val="FootnoteTextChar"/>
    <w:uiPriority w:val="99"/>
    <w:semiHidden/>
    <w:rsid w:val="00DA4A9F"/>
    <w:pPr>
      <w:spacing w:after="0" w:line="240" w:lineRule="auto"/>
    </w:pPr>
    <w:rPr>
      <w:sz w:val="18"/>
      <w:szCs w:val="20"/>
    </w:rPr>
  </w:style>
  <w:style w:type="character" w:customStyle="1" w:styleId="FootnoteTextChar">
    <w:name w:val="Footnote Text Char"/>
    <w:basedOn w:val="DefaultParagraphFont"/>
    <w:link w:val="FootnoteText"/>
    <w:uiPriority w:val="99"/>
    <w:semiHidden/>
    <w:rsid w:val="00DA4A9F"/>
    <w:rPr>
      <w:sz w:val="18"/>
      <w:szCs w:val="20"/>
    </w:rPr>
  </w:style>
  <w:style w:type="character" w:styleId="FootnoteReference">
    <w:name w:val="footnote reference"/>
    <w:basedOn w:val="DefaultParagraphFont"/>
    <w:uiPriority w:val="99"/>
    <w:semiHidden/>
    <w:rsid w:val="005A76E5"/>
    <w:rPr>
      <w:vertAlign w:val="superscript"/>
    </w:rPr>
  </w:style>
  <w:style w:type="numbering" w:customStyle="1" w:styleId="CurrentList7">
    <w:name w:val="Current List7"/>
    <w:uiPriority w:val="99"/>
    <w:rsid w:val="0046154A"/>
    <w:pPr>
      <w:numPr>
        <w:numId w:val="14"/>
      </w:numPr>
    </w:pPr>
  </w:style>
  <w:style w:type="numbering" w:customStyle="1" w:styleId="CurrentList8">
    <w:name w:val="Current List8"/>
    <w:uiPriority w:val="99"/>
    <w:rsid w:val="0046154A"/>
    <w:pPr>
      <w:numPr>
        <w:numId w:val="15"/>
      </w:numPr>
    </w:pPr>
  </w:style>
  <w:style w:type="numbering" w:customStyle="1" w:styleId="CurrentList9">
    <w:name w:val="Current List9"/>
    <w:uiPriority w:val="99"/>
    <w:rsid w:val="0046154A"/>
    <w:pPr>
      <w:numPr>
        <w:numId w:val="16"/>
      </w:numPr>
    </w:pPr>
  </w:style>
  <w:style w:type="numbering" w:customStyle="1" w:styleId="CurrentList10">
    <w:name w:val="Current List10"/>
    <w:uiPriority w:val="99"/>
    <w:rsid w:val="0046154A"/>
    <w:pPr>
      <w:numPr>
        <w:numId w:val="17"/>
      </w:numPr>
    </w:pPr>
  </w:style>
  <w:style w:type="numbering" w:customStyle="1" w:styleId="CurrentList11">
    <w:name w:val="Current List11"/>
    <w:uiPriority w:val="99"/>
    <w:rsid w:val="0046154A"/>
    <w:pPr>
      <w:numPr>
        <w:numId w:val="18"/>
      </w:numPr>
    </w:pPr>
  </w:style>
  <w:style w:type="numbering" w:customStyle="1" w:styleId="CurrentList12">
    <w:name w:val="Current List12"/>
    <w:uiPriority w:val="99"/>
    <w:rsid w:val="0046154A"/>
    <w:pPr>
      <w:numPr>
        <w:numId w:val="19"/>
      </w:numPr>
    </w:pPr>
  </w:style>
  <w:style w:type="numbering" w:customStyle="1" w:styleId="CurrentList13">
    <w:name w:val="Current List13"/>
    <w:uiPriority w:val="99"/>
    <w:rsid w:val="0046154A"/>
    <w:pPr>
      <w:numPr>
        <w:numId w:val="20"/>
      </w:numPr>
    </w:pPr>
  </w:style>
  <w:style w:type="numbering" w:customStyle="1" w:styleId="CurrentList14">
    <w:name w:val="Current List14"/>
    <w:uiPriority w:val="99"/>
    <w:rsid w:val="00710E0C"/>
    <w:pPr>
      <w:numPr>
        <w:numId w:val="21"/>
      </w:numPr>
    </w:pPr>
  </w:style>
  <w:style w:type="numbering" w:customStyle="1" w:styleId="CurrentList15">
    <w:name w:val="Current List15"/>
    <w:uiPriority w:val="99"/>
    <w:rsid w:val="00F4007C"/>
    <w:pPr>
      <w:numPr>
        <w:numId w:val="22"/>
      </w:numPr>
    </w:pPr>
  </w:style>
  <w:style w:type="numbering" w:customStyle="1" w:styleId="CurrentList16">
    <w:name w:val="Current List16"/>
    <w:uiPriority w:val="99"/>
    <w:rsid w:val="008D6533"/>
    <w:pPr>
      <w:numPr>
        <w:numId w:val="23"/>
      </w:numPr>
    </w:pPr>
  </w:style>
  <w:style w:type="numbering" w:customStyle="1" w:styleId="CurrentList17">
    <w:name w:val="Current List17"/>
    <w:uiPriority w:val="99"/>
    <w:rsid w:val="008D6533"/>
    <w:pPr>
      <w:numPr>
        <w:numId w:val="24"/>
      </w:numPr>
    </w:pPr>
  </w:style>
  <w:style w:type="paragraph" w:customStyle="1" w:styleId="PageTitle">
    <w:name w:val="Page Title"/>
    <w:basedOn w:val="TableTitle"/>
    <w:uiPriority w:val="4"/>
    <w:qFormat/>
    <w:rsid w:val="00274FB9"/>
  </w:style>
  <w:style w:type="paragraph" w:customStyle="1" w:styleId="Copyright">
    <w:name w:val="Copyright"/>
    <w:basedOn w:val="Tabletextleft"/>
    <w:uiPriority w:val="5"/>
    <w:qFormat/>
    <w:rsid w:val="0091678D"/>
    <w:pPr>
      <w:spacing w:line="180" w:lineRule="exact"/>
    </w:pPr>
    <w:rPr>
      <w:color w:val="82887E" w:themeColor="accent6"/>
      <w:spacing w:val="0"/>
      <w:sz w:val="12"/>
      <w:szCs w:val="12"/>
    </w:rPr>
  </w:style>
  <w:style w:type="numbering" w:customStyle="1" w:styleId="CurrentList18">
    <w:name w:val="Current List18"/>
    <w:uiPriority w:val="99"/>
    <w:rsid w:val="00957C34"/>
    <w:pPr>
      <w:numPr>
        <w:numId w:val="25"/>
      </w:numPr>
    </w:pPr>
  </w:style>
  <w:style w:type="numbering" w:customStyle="1" w:styleId="CurrentList19">
    <w:name w:val="Current List19"/>
    <w:uiPriority w:val="99"/>
    <w:rsid w:val="00957C34"/>
    <w:pPr>
      <w:numPr>
        <w:numId w:val="26"/>
      </w:numPr>
    </w:pPr>
  </w:style>
  <w:style w:type="paragraph" w:customStyle="1" w:styleId="Tabletextright">
    <w:name w:val="Table text right"/>
    <w:basedOn w:val="Tabletextleft"/>
    <w:uiPriority w:val="1"/>
    <w:qFormat/>
    <w:rsid w:val="001D40D8"/>
    <w:pPr>
      <w:jc w:val="right"/>
    </w:pPr>
  </w:style>
  <w:style w:type="paragraph" w:customStyle="1" w:styleId="TableBullet2">
    <w:name w:val="Table Bullet 2"/>
    <w:basedOn w:val="TableBullet1"/>
    <w:uiPriority w:val="1"/>
    <w:qFormat/>
    <w:rsid w:val="005934FF"/>
    <w:pPr>
      <w:numPr>
        <w:numId w:val="29"/>
      </w:numPr>
      <w:ind w:left="568" w:hanging="284"/>
    </w:pPr>
  </w:style>
  <w:style w:type="numbering" w:customStyle="1" w:styleId="CurrentList21">
    <w:name w:val="Current List21"/>
    <w:uiPriority w:val="99"/>
    <w:rsid w:val="00334C97"/>
    <w:pPr>
      <w:numPr>
        <w:numId w:val="28"/>
      </w:numPr>
    </w:pPr>
  </w:style>
  <w:style w:type="numbering" w:customStyle="1" w:styleId="CurrentList22">
    <w:name w:val="Current List22"/>
    <w:uiPriority w:val="99"/>
    <w:rsid w:val="00334C97"/>
    <w:pPr>
      <w:numPr>
        <w:numId w:val="30"/>
      </w:numPr>
    </w:pPr>
  </w:style>
  <w:style w:type="paragraph" w:customStyle="1" w:styleId="Tablenumber">
    <w:name w:val="Table number"/>
    <w:basedOn w:val="TableBullet1"/>
    <w:uiPriority w:val="1"/>
    <w:qFormat/>
    <w:rsid w:val="006D1DEE"/>
    <w:pPr>
      <w:numPr>
        <w:numId w:val="32"/>
      </w:numPr>
      <w:tabs>
        <w:tab w:val="left" w:pos="284"/>
        <w:tab w:val="left" w:pos="397"/>
      </w:tabs>
      <w:ind w:left="284" w:hanging="284"/>
    </w:pPr>
  </w:style>
  <w:style w:type="numbering" w:customStyle="1" w:styleId="CurrentList23">
    <w:name w:val="Current List23"/>
    <w:uiPriority w:val="99"/>
    <w:rsid w:val="005C2FE4"/>
    <w:pPr>
      <w:numPr>
        <w:numId w:val="31"/>
      </w:numPr>
    </w:pPr>
  </w:style>
  <w:style w:type="paragraph" w:customStyle="1" w:styleId="Photoplacement">
    <w:name w:val="Photo placement"/>
    <w:basedOn w:val="Figureplacement"/>
    <w:uiPriority w:val="3"/>
    <w:qFormat/>
    <w:rsid w:val="00267FC2"/>
  </w:style>
  <w:style w:type="paragraph" w:customStyle="1" w:styleId="Referencestext">
    <w:name w:val="References text"/>
    <w:basedOn w:val="BodyText"/>
    <w:uiPriority w:val="3"/>
    <w:qFormat/>
    <w:rsid w:val="0004235E"/>
    <w:pPr>
      <w:ind w:left="794" w:hanging="794"/>
    </w:pPr>
  </w:style>
  <w:style w:type="paragraph" w:customStyle="1" w:styleId="Addressdetails">
    <w:name w:val="Address details"/>
    <w:basedOn w:val="BodyText"/>
    <w:uiPriority w:val="5"/>
    <w:qFormat/>
    <w:rsid w:val="00C66281"/>
    <w:pPr>
      <w:spacing w:after="0"/>
    </w:pPr>
  </w:style>
  <w:style w:type="paragraph" w:styleId="TOC5">
    <w:name w:val="toc 5"/>
    <w:basedOn w:val="Normal"/>
    <w:next w:val="Normal"/>
    <w:autoRedefine/>
    <w:uiPriority w:val="39"/>
    <w:semiHidden/>
    <w:rsid w:val="001E6DCB"/>
    <w:pPr>
      <w:spacing w:after="100"/>
      <w:ind w:left="800"/>
    </w:pPr>
    <w:rPr>
      <w:noProof/>
    </w:rPr>
  </w:style>
  <w:style w:type="numbering" w:customStyle="1" w:styleId="CurrentList24">
    <w:name w:val="Current List24"/>
    <w:uiPriority w:val="99"/>
    <w:rsid w:val="008C5594"/>
    <w:pPr>
      <w:numPr>
        <w:numId w:val="33"/>
      </w:numPr>
    </w:pPr>
  </w:style>
  <w:style w:type="character" w:customStyle="1" w:styleId="normaltextrun">
    <w:name w:val="normaltextrun"/>
    <w:basedOn w:val="DefaultParagraphFont"/>
    <w:rsid w:val="00320ECA"/>
  </w:style>
  <w:style w:type="character" w:customStyle="1" w:styleId="superscript">
    <w:name w:val="superscript"/>
    <w:basedOn w:val="DefaultParagraphFont"/>
    <w:rsid w:val="00320ECA"/>
  </w:style>
  <w:style w:type="character" w:customStyle="1" w:styleId="eop">
    <w:name w:val="eop"/>
    <w:basedOn w:val="DefaultParagraphFont"/>
    <w:rsid w:val="00320ECA"/>
  </w:style>
  <w:style w:type="paragraph" w:styleId="CommentSubject">
    <w:name w:val="annotation subject"/>
    <w:basedOn w:val="CommentText"/>
    <w:next w:val="CommentText"/>
    <w:link w:val="CommentSubjectChar"/>
    <w:uiPriority w:val="99"/>
    <w:semiHidden/>
    <w:rsid w:val="00FC1A20"/>
    <w:pPr>
      <w:ind w:right="0"/>
    </w:pPr>
    <w:rPr>
      <w:b/>
      <w:bCs/>
    </w:rPr>
  </w:style>
  <w:style w:type="character" w:customStyle="1" w:styleId="CommentSubjectChar">
    <w:name w:val="Comment Subject Char"/>
    <w:basedOn w:val="CommentTextChar"/>
    <w:link w:val="CommentSubject"/>
    <w:uiPriority w:val="99"/>
    <w:semiHidden/>
    <w:rsid w:val="00FC1A20"/>
    <w:rPr>
      <w:b/>
      <w:bCs/>
      <w:sz w:val="20"/>
      <w:szCs w:val="20"/>
      <w:lang w:val="en-US"/>
    </w:rPr>
  </w:style>
  <w:style w:type="table" w:styleId="ListTable6Colorful">
    <w:name w:val="List Table 6 Colorful"/>
    <w:basedOn w:val="TableNormal"/>
    <w:uiPriority w:val="51"/>
    <w:rsid w:val="004963E3"/>
    <w:rPr>
      <w:rFonts w:eastAsiaTheme="minorEastAsia"/>
      <w:color w:val="1C1C1C" w:themeColor="text1"/>
      <w:kern w:val="0"/>
      <w:lang w:val="en-US" w:eastAsia="ja-JP"/>
      <w14:ligatures w14:val="none"/>
    </w:rPr>
    <w:tblPr>
      <w:tblStyleRowBandSize w:val="1"/>
      <w:tblStyleColBandSize w:val="1"/>
      <w:tblBorders>
        <w:top w:val="single" w:sz="4" w:space="0" w:color="1C1C1C" w:themeColor="text1"/>
        <w:bottom w:val="single" w:sz="4" w:space="0" w:color="1C1C1C" w:themeColor="text1"/>
      </w:tblBorders>
    </w:tblPr>
    <w:tblStylePr w:type="firstRow">
      <w:rPr>
        <w:b/>
        <w:bCs/>
      </w:rPr>
      <w:tblPr/>
      <w:tcPr>
        <w:tcBorders>
          <w:bottom w:val="single" w:sz="4" w:space="0" w:color="1C1C1C" w:themeColor="text1"/>
        </w:tcBorders>
      </w:tcPr>
    </w:tblStylePr>
    <w:tblStylePr w:type="lastRow">
      <w:rPr>
        <w:b/>
        <w:bCs/>
      </w:rPr>
      <w:tblPr/>
      <w:tcPr>
        <w:tcBorders>
          <w:top w:val="double" w:sz="4" w:space="0" w:color="1C1C1C" w:themeColor="text1"/>
        </w:tcBorders>
      </w:tcPr>
    </w:tblStylePr>
    <w:tblStylePr w:type="firstCol">
      <w:rPr>
        <w:b/>
        <w:bCs/>
      </w:rPr>
    </w:tblStylePr>
    <w:tblStylePr w:type="lastCol">
      <w:rPr>
        <w:b/>
        <w:bCs/>
      </w:rPr>
    </w:tblStylePr>
    <w:tblStylePr w:type="band1Vert">
      <w:tblPr/>
      <w:tcPr>
        <w:shd w:val="clear" w:color="auto" w:fill="D1D1D1" w:themeFill="text1" w:themeFillTint="33"/>
      </w:tcPr>
    </w:tblStylePr>
    <w:tblStylePr w:type="band1Horz">
      <w:tblPr/>
      <w:tcPr>
        <w:shd w:val="clear" w:color="auto" w:fill="D1D1D1" w:themeFill="text1" w:themeFillTint="33"/>
      </w:tcPr>
    </w:tblStylePr>
  </w:style>
  <w:style w:type="paragraph" w:styleId="Revision">
    <w:name w:val="Revision"/>
    <w:hidden/>
    <w:uiPriority w:val="99"/>
    <w:semiHidden/>
    <w:rsid w:val="009E059B"/>
    <w:rPr>
      <w:sz w:val="20"/>
      <w:lang w:val="en-US"/>
    </w:rPr>
  </w:style>
  <w:style w:type="character" w:styleId="UnresolvedMention">
    <w:name w:val="Unresolved Mention"/>
    <w:basedOn w:val="DefaultParagraphFont"/>
    <w:uiPriority w:val="99"/>
    <w:semiHidden/>
    <w:rsid w:val="00E558B9"/>
    <w:rPr>
      <w:color w:val="605E5C"/>
      <w:shd w:val="clear" w:color="auto" w:fill="E1DFDD"/>
    </w:rPr>
  </w:style>
  <w:style w:type="character" w:styleId="FollowedHyperlink">
    <w:name w:val="FollowedHyperlink"/>
    <w:basedOn w:val="DefaultParagraphFont"/>
    <w:uiPriority w:val="99"/>
    <w:semiHidden/>
    <w:rsid w:val="006B2A52"/>
    <w:rPr>
      <w:color w:val="1C1C1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498">
      <w:bodyDiv w:val="1"/>
      <w:marLeft w:val="0"/>
      <w:marRight w:val="0"/>
      <w:marTop w:val="0"/>
      <w:marBottom w:val="0"/>
      <w:divBdr>
        <w:top w:val="none" w:sz="0" w:space="0" w:color="auto"/>
        <w:left w:val="none" w:sz="0" w:space="0" w:color="auto"/>
        <w:bottom w:val="none" w:sz="0" w:space="0" w:color="auto"/>
        <w:right w:val="none" w:sz="0" w:space="0" w:color="auto"/>
      </w:divBdr>
      <w:divsChild>
        <w:div w:id="1787851070">
          <w:marLeft w:val="0"/>
          <w:marRight w:val="0"/>
          <w:marTop w:val="0"/>
          <w:marBottom w:val="0"/>
          <w:divBdr>
            <w:top w:val="none" w:sz="0" w:space="0" w:color="auto"/>
            <w:left w:val="none" w:sz="0" w:space="0" w:color="auto"/>
            <w:bottom w:val="none" w:sz="0" w:space="0" w:color="auto"/>
            <w:right w:val="none" w:sz="0" w:space="0" w:color="auto"/>
          </w:divBdr>
        </w:div>
        <w:div w:id="1903590349">
          <w:marLeft w:val="0"/>
          <w:marRight w:val="0"/>
          <w:marTop w:val="0"/>
          <w:marBottom w:val="0"/>
          <w:divBdr>
            <w:top w:val="none" w:sz="0" w:space="0" w:color="auto"/>
            <w:left w:val="none" w:sz="0" w:space="0" w:color="auto"/>
            <w:bottom w:val="none" w:sz="0" w:space="0" w:color="auto"/>
            <w:right w:val="none" w:sz="0" w:space="0" w:color="auto"/>
          </w:divBdr>
        </w:div>
      </w:divsChild>
    </w:div>
    <w:div w:id="1620141560">
      <w:bodyDiv w:val="1"/>
      <w:marLeft w:val="0"/>
      <w:marRight w:val="0"/>
      <w:marTop w:val="0"/>
      <w:marBottom w:val="0"/>
      <w:divBdr>
        <w:top w:val="none" w:sz="0" w:space="0" w:color="auto"/>
        <w:left w:val="none" w:sz="0" w:space="0" w:color="auto"/>
        <w:bottom w:val="none" w:sz="0" w:space="0" w:color="auto"/>
        <w:right w:val="none" w:sz="0" w:space="0" w:color="auto"/>
      </w:divBdr>
      <w:divsChild>
        <w:div w:id="1742289033">
          <w:marLeft w:val="0"/>
          <w:marRight w:val="0"/>
          <w:marTop w:val="0"/>
          <w:marBottom w:val="0"/>
          <w:divBdr>
            <w:top w:val="none" w:sz="0" w:space="0" w:color="auto"/>
            <w:left w:val="none" w:sz="0" w:space="0" w:color="auto"/>
            <w:bottom w:val="none" w:sz="0" w:space="0" w:color="auto"/>
            <w:right w:val="none" w:sz="0" w:space="0" w:color="auto"/>
          </w:divBdr>
          <w:divsChild>
            <w:div w:id="1517184950">
              <w:marLeft w:val="0"/>
              <w:marRight w:val="0"/>
              <w:marTop w:val="0"/>
              <w:marBottom w:val="0"/>
              <w:divBdr>
                <w:top w:val="none" w:sz="0" w:space="0" w:color="auto"/>
                <w:left w:val="none" w:sz="0" w:space="0" w:color="auto"/>
                <w:bottom w:val="none" w:sz="0" w:space="0" w:color="auto"/>
                <w:right w:val="none" w:sz="0" w:space="0" w:color="auto"/>
              </w:divBdr>
            </w:div>
          </w:divsChild>
        </w:div>
        <w:div w:id="825245640">
          <w:marLeft w:val="0"/>
          <w:marRight w:val="0"/>
          <w:marTop w:val="0"/>
          <w:marBottom w:val="0"/>
          <w:divBdr>
            <w:top w:val="none" w:sz="0" w:space="0" w:color="auto"/>
            <w:left w:val="none" w:sz="0" w:space="0" w:color="auto"/>
            <w:bottom w:val="none" w:sz="0" w:space="0" w:color="auto"/>
            <w:right w:val="none" w:sz="0" w:space="0" w:color="auto"/>
          </w:divBdr>
          <w:divsChild>
            <w:div w:id="1758821639">
              <w:marLeft w:val="0"/>
              <w:marRight w:val="0"/>
              <w:marTop w:val="0"/>
              <w:marBottom w:val="0"/>
              <w:divBdr>
                <w:top w:val="none" w:sz="0" w:space="0" w:color="auto"/>
                <w:left w:val="none" w:sz="0" w:space="0" w:color="auto"/>
                <w:bottom w:val="none" w:sz="0" w:space="0" w:color="auto"/>
                <w:right w:val="none" w:sz="0" w:space="0" w:color="auto"/>
              </w:divBdr>
            </w:div>
          </w:divsChild>
        </w:div>
        <w:div w:id="1345284215">
          <w:marLeft w:val="0"/>
          <w:marRight w:val="0"/>
          <w:marTop w:val="0"/>
          <w:marBottom w:val="0"/>
          <w:divBdr>
            <w:top w:val="none" w:sz="0" w:space="0" w:color="auto"/>
            <w:left w:val="none" w:sz="0" w:space="0" w:color="auto"/>
            <w:bottom w:val="none" w:sz="0" w:space="0" w:color="auto"/>
            <w:right w:val="none" w:sz="0" w:space="0" w:color="auto"/>
          </w:divBdr>
          <w:divsChild>
            <w:div w:id="2030180679">
              <w:marLeft w:val="0"/>
              <w:marRight w:val="0"/>
              <w:marTop w:val="0"/>
              <w:marBottom w:val="0"/>
              <w:divBdr>
                <w:top w:val="none" w:sz="0" w:space="0" w:color="auto"/>
                <w:left w:val="none" w:sz="0" w:space="0" w:color="auto"/>
                <w:bottom w:val="none" w:sz="0" w:space="0" w:color="auto"/>
                <w:right w:val="none" w:sz="0" w:space="0" w:color="auto"/>
              </w:divBdr>
            </w:div>
          </w:divsChild>
        </w:div>
        <w:div w:id="1479952797">
          <w:marLeft w:val="0"/>
          <w:marRight w:val="0"/>
          <w:marTop w:val="0"/>
          <w:marBottom w:val="0"/>
          <w:divBdr>
            <w:top w:val="none" w:sz="0" w:space="0" w:color="auto"/>
            <w:left w:val="none" w:sz="0" w:space="0" w:color="auto"/>
            <w:bottom w:val="none" w:sz="0" w:space="0" w:color="auto"/>
            <w:right w:val="none" w:sz="0" w:space="0" w:color="auto"/>
          </w:divBdr>
          <w:divsChild>
            <w:div w:id="851336734">
              <w:marLeft w:val="0"/>
              <w:marRight w:val="0"/>
              <w:marTop w:val="0"/>
              <w:marBottom w:val="0"/>
              <w:divBdr>
                <w:top w:val="none" w:sz="0" w:space="0" w:color="auto"/>
                <w:left w:val="none" w:sz="0" w:space="0" w:color="auto"/>
                <w:bottom w:val="none" w:sz="0" w:space="0" w:color="auto"/>
                <w:right w:val="none" w:sz="0" w:space="0" w:color="auto"/>
              </w:divBdr>
            </w:div>
          </w:divsChild>
        </w:div>
        <w:div w:id="1088888254">
          <w:marLeft w:val="0"/>
          <w:marRight w:val="0"/>
          <w:marTop w:val="0"/>
          <w:marBottom w:val="0"/>
          <w:divBdr>
            <w:top w:val="none" w:sz="0" w:space="0" w:color="auto"/>
            <w:left w:val="none" w:sz="0" w:space="0" w:color="auto"/>
            <w:bottom w:val="none" w:sz="0" w:space="0" w:color="auto"/>
            <w:right w:val="none" w:sz="0" w:space="0" w:color="auto"/>
          </w:divBdr>
          <w:divsChild>
            <w:div w:id="535853727">
              <w:marLeft w:val="0"/>
              <w:marRight w:val="0"/>
              <w:marTop w:val="0"/>
              <w:marBottom w:val="0"/>
              <w:divBdr>
                <w:top w:val="none" w:sz="0" w:space="0" w:color="auto"/>
                <w:left w:val="none" w:sz="0" w:space="0" w:color="auto"/>
                <w:bottom w:val="none" w:sz="0" w:space="0" w:color="auto"/>
                <w:right w:val="none" w:sz="0" w:space="0" w:color="auto"/>
              </w:divBdr>
            </w:div>
          </w:divsChild>
        </w:div>
        <w:div w:id="365176144">
          <w:marLeft w:val="0"/>
          <w:marRight w:val="0"/>
          <w:marTop w:val="0"/>
          <w:marBottom w:val="0"/>
          <w:divBdr>
            <w:top w:val="none" w:sz="0" w:space="0" w:color="auto"/>
            <w:left w:val="none" w:sz="0" w:space="0" w:color="auto"/>
            <w:bottom w:val="none" w:sz="0" w:space="0" w:color="auto"/>
            <w:right w:val="none" w:sz="0" w:space="0" w:color="auto"/>
          </w:divBdr>
          <w:divsChild>
            <w:div w:id="172961309">
              <w:marLeft w:val="0"/>
              <w:marRight w:val="0"/>
              <w:marTop w:val="0"/>
              <w:marBottom w:val="0"/>
              <w:divBdr>
                <w:top w:val="none" w:sz="0" w:space="0" w:color="auto"/>
                <w:left w:val="none" w:sz="0" w:space="0" w:color="auto"/>
                <w:bottom w:val="none" w:sz="0" w:space="0" w:color="auto"/>
                <w:right w:val="none" w:sz="0" w:space="0" w:color="auto"/>
              </w:divBdr>
            </w:div>
          </w:divsChild>
        </w:div>
        <w:div w:id="829827668">
          <w:marLeft w:val="0"/>
          <w:marRight w:val="0"/>
          <w:marTop w:val="0"/>
          <w:marBottom w:val="0"/>
          <w:divBdr>
            <w:top w:val="none" w:sz="0" w:space="0" w:color="auto"/>
            <w:left w:val="none" w:sz="0" w:space="0" w:color="auto"/>
            <w:bottom w:val="none" w:sz="0" w:space="0" w:color="auto"/>
            <w:right w:val="none" w:sz="0" w:space="0" w:color="auto"/>
          </w:divBdr>
          <w:divsChild>
            <w:div w:id="143589954">
              <w:marLeft w:val="0"/>
              <w:marRight w:val="0"/>
              <w:marTop w:val="0"/>
              <w:marBottom w:val="0"/>
              <w:divBdr>
                <w:top w:val="none" w:sz="0" w:space="0" w:color="auto"/>
                <w:left w:val="none" w:sz="0" w:space="0" w:color="auto"/>
                <w:bottom w:val="none" w:sz="0" w:space="0" w:color="auto"/>
                <w:right w:val="none" w:sz="0" w:space="0" w:color="auto"/>
              </w:divBdr>
            </w:div>
          </w:divsChild>
        </w:div>
        <w:div w:id="188372102">
          <w:marLeft w:val="0"/>
          <w:marRight w:val="0"/>
          <w:marTop w:val="0"/>
          <w:marBottom w:val="0"/>
          <w:divBdr>
            <w:top w:val="none" w:sz="0" w:space="0" w:color="auto"/>
            <w:left w:val="none" w:sz="0" w:space="0" w:color="auto"/>
            <w:bottom w:val="none" w:sz="0" w:space="0" w:color="auto"/>
            <w:right w:val="none" w:sz="0" w:space="0" w:color="auto"/>
          </w:divBdr>
          <w:divsChild>
            <w:div w:id="1692686559">
              <w:marLeft w:val="0"/>
              <w:marRight w:val="0"/>
              <w:marTop w:val="0"/>
              <w:marBottom w:val="0"/>
              <w:divBdr>
                <w:top w:val="none" w:sz="0" w:space="0" w:color="auto"/>
                <w:left w:val="none" w:sz="0" w:space="0" w:color="auto"/>
                <w:bottom w:val="none" w:sz="0" w:space="0" w:color="auto"/>
                <w:right w:val="none" w:sz="0" w:space="0" w:color="auto"/>
              </w:divBdr>
            </w:div>
          </w:divsChild>
        </w:div>
        <w:div w:id="686060695">
          <w:marLeft w:val="0"/>
          <w:marRight w:val="0"/>
          <w:marTop w:val="0"/>
          <w:marBottom w:val="0"/>
          <w:divBdr>
            <w:top w:val="none" w:sz="0" w:space="0" w:color="auto"/>
            <w:left w:val="none" w:sz="0" w:space="0" w:color="auto"/>
            <w:bottom w:val="none" w:sz="0" w:space="0" w:color="auto"/>
            <w:right w:val="none" w:sz="0" w:space="0" w:color="auto"/>
          </w:divBdr>
          <w:divsChild>
            <w:div w:id="1083839227">
              <w:marLeft w:val="0"/>
              <w:marRight w:val="0"/>
              <w:marTop w:val="0"/>
              <w:marBottom w:val="0"/>
              <w:divBdr>
                <w:top w:val="none" w:sz="0" w:space="0" w:color="auto"/>
                <w:left w:val="none" w:sz="0" w:space="0" w:color="auto"/>
                <w:bottom w:val="none" w:sz="0" w:space="0" w:color="auto"/>
                <w:right w:val="none" w:sz="0" w:space="0" w:color="auto"/>
              </w:divBdr>
            </w:div>
          </w:divsChild>
        </w:div>
        <w:div w:id="1200320759">
          <w:marLeft w:val="0"/>
          <w:marRight w:val="0"/>
          <w:marTop w:val="0"/>
          <w:marBottom w:val="0"/>
          <w:divBdr>
            <w:top w:val="none" w:sz="0" w:space="0" w:color="auto"/>
            <w:left w:val="none" w:sz="0" w:space="0" w:color="auto"/>
            <w:bottom w:val="none" w:sz="0" w:space="0" w:color="auto"/>
            <w:right w:val="none" w:sz="0" w:space="0" w:color="auto"/>
          </w:divBdr>
          <w:divsChild>
            <w:div w:id="1852793394">
              <w:marLeft w:val="0"/>
              <w:marRight w:val="0"/>
              <w:marTop w:val="0"/>
              <w:marBottom w:val="0"/>
              <w:divBdr>
                <w:top w:val="none" w:sz="0" w:space="0" w:color="auto"/>
                <w:left w:val="none" w:sz="0" w:space="0" w:color="auto"/>
                <w:bottom w:val="none" w:sz="0" w:space="0" w:color="auto"/>
                <w:right w:val="none" w:sz="0" w:space="0" w:color="auto"/>
              </w:divBdr>
            </w:div>
          </w:divsChild>
        </w:div>
        <w:div w:id="1603608008">
          <w:marLeft w:val="0"/>
          <w:marRight w:val="0"/>
          <w:marTop w:val="0"/>
          <w:marBottom w:val="0"/>
          <w:divBdr>
            <w:top w:val="none" w:sz="0" w:space="0" w:color="auto"/>
            <w:left w:val="none" w:sz="0" w:space="0" w:color="auto"/>
            <w:bottom w:val="none" w:sz="0" w:space="0" w:color="auto"/>
            <w:right w:val="none" w:sz="0" w:space="0" w:color="auto"/>
          </w:divBdr>
          <w:divsChild>
            <w:div w:id="1376349771">
              <w:marLeft w:val="0"/>
              <w:marRight w:val="0"/>
              <w:marTop w:val="0"/>
              <w:marBottom w:val="0"/>
              <w:divBdr>
                <w:top w:val="none" w:sz="0" w:space="0" w:color="auto"/>
                <w:left w:val="none" w:sz="0" w:space="0" w:color="auto"/>
                <w:bottom w:val="none" w:sz="0" w:space="0" w:color="auto"/>
                <w:right w:val="none" w:sz="0" w:space="0" w:color="auto"/>
              </w:divBdr>
            </w:div>
          </w:divsChild>
        </w:div>
        <w:div w:id="1269461484">
          <w:marLeft w:val="0"/>
          <w:marRight w:val="0"/>
          <w:marTop w:val="0"/>
          <w:marBottom w:val="0"/>
          <w:divBdr>
            <w:top w:val="none" w:sz="0" w:space="0" w:color="auto"/>
            <w:left w:val="none" w:sz="0" w:space="0" w:color="auto"/>
            <w:bottom w:val="none" w:sz="0" w:space="0" w:color="auto"/>
            <w:right w:val="none" w:sz="0" w:space="0" w:color="auto"/>
          </w:divBdr>
          <w:divsChild>
            <w:div w:id="479619622">
              <w:marLeft w:val="0"/>
              <w:marRight w:val="0"/>
              <w:marTop w:val="0"/>
              <w:marBottom w:val="0"/>
              <w:divBdr>
                <w:top w:val="none" w:sz="0" w:space="0" w:color="auto"/>
                <w:left w:val="none" w:sz="0" w:space="0" w:color="auto"/>
                <w:bottom w:val="none" w:sz="0" w:space="0" w:color="auto"/>
                <w:right w:val="none" w:sz="0" w:space="0" w:color="auto"/>
              </w:divBdr>
            </w:div>
          </w:divsChild>
        </w:div>
        <w:div w:id="1098670916">
          <w:marLeft w:val="0"/>
          <w:marRight w:val="0"/>
          <w:marTop w:val="0"/>
          <w:marBottom w:val="0"/>
          <w:divBdr>
            <w:top w:val="none" w:sz="0" w:space="0" w:color="auto"/>
            <w:left w:val="none" w:sz="0" w:space="0" w:color="auto"/>
            <w:bottom w:val="none" w:sz="0" w:space="0" w:color="auto"/>
            <w:right w:val="none" w:sz="0" w:space="0" w:color="auto"/>
          </w:divBdr>
          <w:divsChild>
            <w:div w:id="593324908">
              <w:marLeft w:val="0"/>
              <w:marRight w:val="0"/>
              <w:marTop w:val="0"/>
              <w:marBottom w:val="0"/>
              <w:divBdr>
                <w:top w:val="none" w:sz="0" w:space="0" w:color="auto"/>
                <w:left w:val="none" w:sz="0" w:space="0" w:color="auto"/>
                <w:bottom w:val="none" w:sz="0" w:space="0" w:color="auto"/>
                <w:right w:val="none" w:sz="0" w:space="0" w:color="auto"/>
              </w:divBdr>
            </w:div>
          </w:divsChild>
        </w:div>
        <w:div w:id="1109351128">
          <w:marLeft w:val="0"/>
          <w:marRight w:val="0"/>
          <w:marTop w:val="0"/>
          <w:marBottom w:val="0"/>
          <w:divBdr>
            <w:top w:val="none" w:sz="0" w:space="0" w:color="auto"/>
            <w:left w:val="none" w:sz="0" w:space="0" w:color="auto"/>
            <w:bottom w:val="none" w:sz="0" w:space="0" w:color="auto"/>
            <w:right w:val="none" w:sz="0" w:space="0" w:color="auto"/>
          </w:divBdr>
          <w:divsChild>
            <w:div w:id="1570455595">
              <w:marLeft w:val="0"/>
              <w:marRight w:val="0"/>
              <w:marTop w:val="0"/>
              <w:marBottom w:val="0"/>
              <w:divBdr>
                <w:top w:val="none" w:sz="0" w:space="0" w:color="auto"/>
                <w:left w:val="none" w:sz="0" w:space="0" w:color="auto"/>
                <w:bottom w:val="none" w:sz="0" w:space="0" w:color="auto"/>
                <w:right w:val="none" w:sz="0" w:space="0" w:color="auto"/>
              </w:divBdr>
            </w:div>
          </w:divsChild>
        </w:div>
        <w:div w:id="922497851">
          <w:marLeft w:val="0"/>
          <w:marRight w:val="0"/>
          <w:marTop w:val="0"/>
          <w:marBottom w:val="0"/>
          <w:divBdr>
            <w:top w:val="none" w:sz="0" w:space="0" w:color="auto"/>
            <w:left w:val="none" w:sz="0" w:space="0" w:color="auto"/>
            <w:bottom w:val="none" w:sz="0" w:space="0" w:color="auto"/>
            <w:right w:val="none" w:sz="0" w:space="0" w:color="auto"/>
          </w:divBdr>
          <w:divsChild>
            <w:div w:id="689988583">
              <w:marLeft w:val="0"/>
              <w:marRight w:val="0"/>
              <w:marTop w:val="0"/>
              <w:marBottom w:val="0"/>
              <w:divBdr>
                <w:top w:val="none" w:sz="0" w:space="0" w:color="auto"/>
                <w:left w:val="none" w:sz="0" w:space="0" w:color="auto"/>
                <w:bottom w:val="none" w:sz="0" w:space="0" w:color="auto"/>
                <w:right w:val="none" w:sz="0" w:space="0" w:color="auto"/>
              </w:divBdr>
            </w:div>
          </w:divsChild>
        </w:div>
        <w:div w:id="1119688274">
          <w:marLeft w:val="0"/>
          <w:marRight w:val="0"/>
          <w:marTop w:val="0"/>
          <w:marBottom w:val="0"/>
          <w:divBdr>
            <w:top w:val="none" w:sz="0" w:space="0" w:color="auto"/>
            <w:left w:val="none" w:sz="0" w:space="0" w:color="auto"/>
            <w:bottom w:val="none" w:sz="0" w:space="0" w:color="auto"/>
            <w:right w:val="none" w:sz="0" w:space="0" w:color="auto"/>
          </w:divBdr>
          <w:divsChild>
            <w:div w:id="1807964084">
              <w:marLeft w:val="0"/>
              <w:marRight w:val="0"/>
              <w:marTop w:val="0"/>
              <w:marBottom w:val="0"/>
              <w:divBdr>
                <w:top w:val="none" w:sz="0" w:space="0" w:color="auto"/>
                <w:left w:val="none" w:sz="0" w:space="0" w:color="auto"/>
                <w:bottom w:val="none" w:sz="0" w:space="0" w:color="auto"/>
                <w:right w:val="none" w:sz="0" w:space="0" w:color="auto"/>
              </w:divBdr>
            </w:div>
          </w:divsChild>
        </w:div>
        <w:div w:id="951784162">
          <w:marLeft w:val="0"/>
          <w:marRight w:val="0"/>
          <w:marTop w:val="0"/>
          <w:marBottom w:val="0"/>
          <w:divBdr>
            <w:top w:val="none" w:sz="0" w:space="0" w:color="auto"/>
            <w:left w:val="none" w:sz="0" w:space="0" w:color="auto"/>
            <w:bottom w:val="none" w:sz="0" w:space="0" w:color="auto"/>
            <w:right w:val="none" w:sz="0" w:space="0" w:color="auto"/>
          </w:divBdr>
          <w:divsChild>
            <w:div w:id="1561020980">
              <w:marLeft w:val="0"/>
              <w:marRight w:val="0"/>
              <w:marTop w:val="0"/>
              <w:marBottom w:val="0"/>
              <w:divBdr>
                <w:top w:val="none" w:sz="0" w:space="0" w:color="auto"/>
                <w:left w:val="none" w:sz="0" w:space="0" w:color="auto"/>
                <w:bottom w:val="none" w:sz="0" w:space="0" w:color="auto"/>
                <w:right w:val="none" w:sz="0" w:space="0" w:color="auto"/>
              </w:divBdr>
            </w:div>
          </w:divsChild>
        </w:div>
        <w:div w:id="1990596600">
          <w:marLeft w:val="0"/>
          <w:marRight w:val="0"/>
          <w:marTop w:val="0"/>
          <w:marBottom w:val="0"/>
          <w:divBdr>
            <w:top w:val="none" w:sz="0" w:space="0" w:color="auto"/>
            <w:left w:val="none" w:sz="0" w:space="0" w:color="auto"/>
            <w:bottom w:val="none" w:sz="0" w:space="0" w:color="auto"/>
            <w:right w:val="none" w:sz="0" w:space="0" w:color="auto"/>
          </w:divBdr>
          <w:divsChild>
            <w:div w:id="2022317872">
              <w:marLeft w:val="0"/>
              <w:marRight w:val="0"/>
              <w:marTop w:val="0"/>
              <w:marBottom w:val="0"/>
              <w:divBdr>
                <w:top w:val="none" w:sz="0" w:space="0" w:color="auto"/>
                <w:left w:val="none" w:sz="0" w:space="0" w:color="auto"/>
                <w:bottom w:val="none" w:sz="0" w:space="0" w:color="auto"/>
                <w:right w:val="none" w:sz="0" w:space="0" w:color="auto"/>
              </w:divBdr>
            </w:div>
          </w:divsChild>
        </w:div>
        <w:div w:id="172689049">
          <w:marLeft w:val="0"/>
          <w:marRight w:val="0"/>
          <w:marTop w:val="0"/>
          <w:marBottom w:val="0"/>
          <w:divBdr>
            <w:top w:val="none" w:sz="0" w:space="0" w:color="auto"/>
            <w:left w:val="none" w:sz="0" w:space="0" w:color="auto"/>
            <w:bottom w:val="none" w:sz="0" w:space="0" w:color="auto"/>
            <w:right w:val="none" w:sz="0" w:space="0" w:color="auto"/>
          </w:divBdr>
          <w:divsChild>
            <w:div w:id="474956161">
              <w:marLeft w:val="0"/>
              <w:marRight w:val="0"/>
              <w:marTop w:val="0"/>
              <w:marBottom w:val="0"/>
              <w:divBdr>
                <w:top w:val="none" w:sz="0" w:space="0" w:color="auto"/>
                <w:left w:val="none" w:sz="0" w:space="0" w:color="auto"/>
                <w:bottom w:val="none" w:sz="0" w:space="0" w:color="auto"/>
                <w:right w:val="none" w:sz="0" w:space="0" w:color="auto"/>
              </w:divBdr>
            </w:div>
          </w:divsChild>
        </w:div>
        <w:div w:id="1239631899">
          <w:marLeft w:val="0"/>
          <w:marRight w:val="0"/>
          <w:marTop w:val="0"/>
          <w:marBottom w:val="0"/>
          <w:divBdr>
            <w:top w:val="none" w:sz="0" w:space="0" w:color="auto"/>
            <w:left w:val="none" w:sz="0" w:space="0" w:color="auto"/>
            <w:bottom w:val="none" w:sz="0" w:space="0" w:color="auto"/>
            <w:right w:val="none" w:sz="0" w:space="0" w:color="auto"/>
          </w:divBdr>
          <w:divsChild>
            <w:div w:id="885873272">
              <w:marLeft w:val="0"/>
              <w:marRight w:val="0"/>
              <w:marTop w:val="0"/>
              <w:marBottom w:val="0"/>
              <w:divBdr>
                <w:top w:val="none" w:sz="0" w:space="0" w:color="auto"/>
                <w:left w:val="none" w:sz="0" w:space="0" w:color="auto"/>
                <w:bottom w:val="none" w:sz="0" w:space="0" w:color="auto"/>
                <w:right w:val="none" w:sz="0" w:space="0" w:color="auto"/>
              </w:divBdr>
            </w:div>
          </w:divsChild>
        </w:div>
        <w:div w:id="675108318">
          <w:marLeft w:val="0"/>
          <w:marRight w:val="0"/>
          <w:marTop w:val="0"/>
          <w:marBottom w:val="0"/>
          <w:divBdr>
            <w:top w:val="none" w:sz="0" w:space="0" w:color="auto"/>
            <w:left w:val="none" w:sz="0" w:space="0" w:color="auto"/>
            <w:bottom w:val="none" w:sz="0" w:space="0" w:color="auto"/>
            <w:right w:val="none" w:sz="0" w:space="0" w:color="auto"/>
          </w:divBdr>
          <w:divsChild>
            <w:div w:id="157728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s://www.energy.gov/eere/greet" TargetMode="External"/><Relationship Id="rId3" Type="http://schemas.openxmlformats.org/officeDocument/2006/relationships/hyperlink" Target="https://www.itf-oecd.org/sites/default/files/docs/analysis-vehicle-fuel-systems-anl.pdf" TargetMode="External"/><Relationship Id="rId7" Type="http://schemas.openxmlformats.org/officeDocument/2006/relationships/hyperlink" Target="https://www.eia.gov/outlooks/aeo/pdf/nerc_map.pdf" TargetMode="External"/><Relationship Id="rId2" Type="http://schemas.openxmlformats.org/officeDocument/2006/relationships/hyperlink" Target="https://www.bls.gov/cpi/" TargetMode="External"/><Relationship Id="rId1" Type="http://schemas.openxmlformats.org/officeDocument/2006/relationships/hyperlink" Target="https://www.commerce.nd.gov/community-services/state-energy-programs/energy-conservation-grant" TargetMode="External"/><Relationship Id="rId6" Type="http://schemas.openxmlformats.org/officeDocument/2006/relationships/hyperlink" Target="https://www.eia.gov/outlooks/aeo/tables_ref.php" TargetMode="External"/><Relationship Id="rId11" Type="http://schemas.openxmlformats.org/officeDocument/2006/relationships/hyperlink" Target="https://www.epa.gov/system/files/documents/2023-03/ghg_emission_factors_hub.pdf" TargetMode="External"/><Relationship Id="rId5" Type="http://schemas.openxmlformats.org/officeDocument/2006/relationships/hyperlink" Target="https://www.epa.gov/system/files/documents/2023-03/ghg_emission_factors_hub.pdf" TargetMode="External"/><Relationship Id="rId10" Type="http://schemas.openxmlformats.org/officeDocument/2006/relationships/hyperlink" Target="https://www.epa.gov/system/files/documents/2023-03/ghg_emission_factors_hub.pdf" TargetMode="External"/><Relationship Id="rId4" Type="http://schemas.openxmlformats.org/officeDocument/2006/relationships/hyperlink" Target="https://www.epa.gov/system/files/documents/2023-03/ghg_emission_factors_hub.pdf" TargetMode="External"/><Relationship Id="rId9" Type="http://schemas.openxmlformats.org/officeDocument/2006/relationships/hyperlink" Target="https://ghgprotocol.org/sites/default/files/ghgp/Global-Warming-Potential-Values%20%28Feb%2016%202016%29_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a.Vanderbosch\AppData\Local\Temp\Templafy\WordVsto\ahc33jxg.dotx" TargetMode="External"/></Relationships>
</file>

<file path=word/theme/theme1.xml><?xml version="1.0" encoding="utf-8"?>
<a:theme xmlns:a="http://schemas.openxmlformats.org/drawingml/2006/main" name="Office Theme">
  <a:themeElements>
    <a:clrScheme name="ERM">
      <a:dk1>
        <a:srgbClr val="1C1C1C"/>
      </a:dk1>
      <a:lt1>
        <a:srgbClr val="FFFFFF"/>
      </a:lt1>
      <a:dk2>
        <a:srgbClr val="D1DDD3"/>
      </a:dk2>
      <a:lt2>
        <a:srgbClr val="00FFBE"/>
      </a:lt2>
      <a:accent1>
        <a:srgbClr val="018219"/>
      </a:accent1>
      <a:accent2>
        <a:srgbClr val="0A2C14"/>
      </a:accent2>
      <a:accent3>
        <a:srgbClr val="446D5D"/>
      </a:accent3>
      <a:accent4>
        <a:srgbClr val="82A78D"/>
      </a:accent4>
      <a:accent5>
        <a:srgbClr val="B7B2AA"/>
      </a:accent5>
      <a:accent6>
        <a:srgbClr val="82887E"/>
      </a:accent6>
      <a:hlink>
        <a:srgbClr val="1C1C1C"/>
      </a:hlink>
      <a:folHlink>
        <a:srgbClr val="1C1C1C"/>
      </a:folHlink>
    </a:clrScheme>
    <a:fontScheme name="ERM">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2"/>
        </a:solid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custClrLst>
    <a:custClr name="Mint">
      <a:srgbClr val="00FFBB"/>
    </a:custClr>
    <a:custClr name="Green Alert">
      <a:srgbClr val="00EB00"/>
    </a:custClr>
    <a:custClr name="Yellow Alert">
      <a:srgbClr val="DDFF00"/>
    </a:custClr>
    <a:custClr name="Red Alert">
      <a:srgbClr val="FF3600"/>
    </a:custClr>
    <a:custClr name="Grey Alert">
      <a:srgbClr val="D9D9D9"/>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91286f-57c2-4f33-b63d-a5bfa7c2537b">
      <Terms xmlns="http://schemas.microsoft.com/office/infopath/2007/PartnerControls"/>
    </lcf76f155ced4ddcb4097134ff3c332f>
    <TaxCatchAll xmlns="e74270bd-479e-48db-880e-0eec695db086" xsi:nil="true"/>
  </documentManagement>
</p:properties>
</file>

<file path=customXml/item2.xml><?xml version="1.0" encoding="utf-8"?>
<TemplafyFormConfiguration><![CDATA[{"formFields":[],"formDataEntries":[]}]]></TemplafyForm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5E1BCAE634E0D48A8BC64692F246091" ma:contentTypeVersion="15" ma:contentTypeDescription="Create a new document." ma:contentTypeScope="" ma:versionID="a4d66e9df8858e3b717f4bf115edb847">
  <xsd:schema xmlns:xsd="http://www.w3.org/2001/XMLSchema" xmlns:xs="http://www.w3.org/2001/XMLSchema" xmlns:p="http://schemas.microsoft.com/office/2006/metadata/properties" xmlns:ns2="eb91286f-57c2-4f33-b63d-a5bfa7c2537b" xmlns:ns3="e74270bd-479e-48db-880e-0eec695db086" targetNamespace="http://schemas.microsoft.com/office/2006/metadata/properties" ma:root="true" ma:fieldsID="5bc5841b3d3696fa8a7f55d52d068d49" ns2:_="" ns3:_="">
    <xsd:import namespace="eb91286f-57c2-4f33-b63d-a5bfa7c2537b"/>
    <xsd:import namespace="e74270bd-479e-48db-880e-0eec695db08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1286f-57c2-4f33-b63d-a5bfa7c253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7cf98923-f688-424c-b29d-669cd3481346"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4270bd-479e-48db-880e-0eec695db0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83e13d7-7ed9-4b37-944a-cd1d7182315c}" ma:internalName="TaxCatchAll" ma:showField="CatchAllData" ma:web="e74270bd-479e-48db-880e-0eec695db0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mplafyTemplateConfiguration><![CDATA[{"elementsMetadata":[],"transformationConfigurations":[],"templateName":"A4_Blank_template","templateDescription":"","enableDocumentContentUpdater":false,"version":"2.0"}]]></TemplafyTemplateConfiguration>
</file>

<file path=customXml/itemProps1.xml><?xml version="1.0" encoding="utf-8"?>
<ds:datastoreItem xmlns:ds="http://schemas.openxmlformats.org/officeDocument/2006/customXml" ds:itemID="{7BFDF273-8E6A-45DE-80C0-BFA553342667}">
  <ds:schemaRefs>
    <ds:schemaRef ds:uri="http://purl.org/dc/terms/"/>
    <ds:schemaRef ds:uri="http://purl.org/dc/elements/1.1/"/>
    <ds:schemaRef ds:uri="http://purl.org/dc/dcmitype/"/>
    <ds:schemaRef ds:uri="http://schemas.microsoft.com/office/2006/documentManagement/types"/>
    <ds:schemaRef ds:uri="eb91286f-57c2-4f33-b63d-a5bfa7c2537b"/>
    <ds:schemaRef ds:uri="http://schemas.microsoft.com/office/2006/metadata/properties"/>
    <ds:schemaRef ds:uri="e74270bd-479e-48db-880e-0eec695db086"/>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63AB3E4-A7E5-446B-8E31-BD8A0D7CAA27}">
  <ds:schemaRefs/>
</ds:datastoreItem>
</file>

<file path=customXml/itemProps3.xml><?xml version="1.0" encoding="utf-8"?>
<ds:datastoreItem xmlns:ds="http://schemas.openxmlformats.org/officeDocument/2006/customXml" ds:itemID="{7108702D-A5BE-4668-9159-077BF8666584}">
  <ds:schemaRefs>
    <ds:schemaRef ds:uri="http://schemas.openxmlformats.org/officeDocument/2006/bibliography"/>
  </ds:schemaRefs>
</ds:datastoreItem>
</file>

<file path=customXml/itemProps4.xml><?xml version="1.0" encoding="utf-8"?>
<ds:datastoreItem xmlns:ds="http://schemas.openxmlformats.org/officeDocument/2006/customXml" ds:itemID="{219D2B4F-F9AE-4F28-B34C-4B2F96C4FD7E}">
  <ds:schemaRefs>
    <ds:schemaRef ds:uri="http://schemas.microsoft.com/sharepoint/v3/contenttype/forms"/>
  </ds:schemaRefs>
</ds:datastoreItem>
</file>

<file path=customXml/itemProps5.xml><?xml version="1.0" encoding="utf-8"?>
<ds:datastoreItem xmlns:ds="http://schemas.openxmlformats.org/officeDocument/2006/customXml" ds:itemID="{60E23335-6C7C-49A6-8E25-970C9E2F8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1286f-57c2-4f33-b63d-a5bfa7c2537b"/>
    <ds:schemaRef ds:uri="e74270bd-479e-48db-880e-0eec695db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44E83EB-A41D-45A8-A814-066563755CBE}">
  <ds:schemaRefs/>
</ds:datastoreItem>
</file>

<file path=docMetadata/LabelInfo.xml><?xml version="1.0" encoding="utf-8"?>
<clbl:labelList xmlns:clbl="http://schemas.microsoft.com/office/2020/mipLabelMetadata">
  <clbl:label id="{f2fe6bd3-9c4a-485b-ae69-e18820a88130}" enabled="0" method="" siteId="{f2fe6bd3-9c4a-485b-ae69-e18820a88130}" removed="1"/>
</clbl:labelList>
</file>

<file path=docProps/app.xml><?xml version="1.0" encoding="utf-8"?>
<Properties xmlns="http://schemas.openxmlformats.org/officeDocument/2006/extended-properties" xmlns:vt="http://schemas.openxmlformats.org/officeDocument/2006/docPropsVTypes">
  <Template>ahc33jxg.dotx</Template>
  <TotalTime>966</TotalTime>
  <Pages>10</Pages>
  <Words>3312</Words>
  <Characters>18884</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ERMADMIN</dc:creator>
  <cp:keywords/>
  <dc:description/>
  <cp:lastModifiedBy>Cassandra Kubes</cp:lastModifiedBy>
  <cp:revision>552</cp:revision>
  <cp:lastPrinted>2024-03-04T20:41:00Z</cp:lastPrinted>
  <dcterms:created xsi:type="dcterms:W3CDTF">2024-02-23T14:11:00Z</dcterms:created>
  <dcterms:modified xsi:type="dcterms:W3CDTF">2024-03-15T19:05:00Z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erm</vt:lpwstr>
  </property>
  <property fmtid="{D5CDD505-2E9C-101B-9397-08002B2CF9AE}" pid="3" name="TemplafyTemplateId">
    <vt:lpwstr>751331162328924688</vt:lpwstr>
  </property>
  <property fmtid="{D5CDD505-2E9C-101B-9397-08002B2CF9AE}" pid="4" name="TemplafyUserProfileId">
    <vt:lpwstr>727676132526129185</vt:lpwstr>
  </property>
  <property fmtid="{D5CDD505-2E9C-101B-9397-08002B2CF9AE}" pid="5" name="TemplafyFromBlank">
    <vt:bool>true</vt:bool>
  </property>
  <property fmtid="{D5CDD505-2E9C-101B-9397-08002B2CF9AE}" pid="6" name="ContentTypeId">
    <vt:lpwstr>0x01010055E1BCAE634E0D48A8BC64692F246091</vt:lpwstr>
  </property>
  <property fmtid="{D5CDD505-2E9C-101B-9397-08002B2CF9AE}" pid="7" name="MediaServiceImageTags">
    <vt:lpwstr/>
  </property>
</Properties>
</file>