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0E64" w14:textId="77777777" w:rsidR="00084FE7" w:rsidRPr="00084FE7" w:rsidRDefault="00084FE7" w:rsidP="00084FE7">
      <w:pPr>
        <w:rPr>
          <w:rFonts w:ascii="Calibri" w:hAnsi="Calibri" w:cs="Calibri"/>
          <w:b/>
          <w:sz w:val="44"/>
          <w:szCs w:val="44"/>
        </w:rPr>
      </w:pPr>
      <w:r w:rsidRPr="00084FE7">
        <w:rPr>
          <w:rFonts w:ascii="Calibri" w:hAnsi="Calibri" w:cs="Calibri"/>
          <w:b/>
          <w:sz w:val="44"/>
          <w:szCs w:val="44"/>
        </w:rPr>
        <w:t xml:space="preserve">a. Budget Detail </w:t>
      </w:r>
    </w:p>
    <w:p w14:paraId="3AD20D23" w14:textId="77777777" w:rsidR="00084FE7" w:rsidRPr="00084FE7" w:rsidRDefault="00084FE7" w:rsidP="00084FE7">
      <w:pPr>
        <w:rPr>
          <w:rFonts w:ascii="Calibri" w:hAnsi="Calibri" w:cs="Calibri"/>
          <w:b/>
          <w:sz w:val="28"/>
          <w:szCs w:val="28"/>
        </w:rPr>
      </w:pPr>
      <w:commentRangeStart w:id="0"/>
      <w:r w:rsidRPr="00084FE7">
        <w:rPr>
          <w:rFonts w:ascii="Calibri" w:hAnsi="Calibri" w:cs="Calibri"/>
          <w:b/>
          <w:sz w:val="28"/>
          <w:szCs w:val="28"/>
        </w:rPr>
        <w:t>Budget Categories</w:t>
      </w:r>
      <w:commentRangeEnd w:id="0"/>
      <w:r w:rsidRPr="00084FE7">
        <w:rPr>
          <w:rStyle w:val="CommentReference"/>
          <w:rFonts w:ascii="Calibri" w:hAnsi="Calibri" w:cs="Calibri"/>
          <w:sz w:val="20"/>
          <w:szCs w:val="20"/>
        </w:rPr>
        <w:commentReference w:id="0"/>
      </w:r>
    </w:p>
    <w:p w14:paraId="274EC664" w14:textId="77777777" w:rsidR="00084FE7" w:rsidRPr="00084FE7" w:rsidRDefault="00084FE7" w:rsidP="00084FE7">
      <w:pPr>
        <w:rPr>
          <w:rFonts w:ascii="Calibri" w:hAnsi="Calibri" w:cs="Calibri"/>
          <w:b/>
          <w:sz w:val="28"/>
          <w:szCs w:val="28"/>
        </w:rPr>
      </w:pPr>
      <w:r w:rsidRPr="00084FE7">
        <w:rPr>
          <w:rFonts w:ascii="Calibri" w:hAnsi="Calibri" w:cs="Calibri"/>
          <w:b/>
          <w:sz w:val="28"/>
          <w:szCs w:val="28"/>
        </w:rPr>
        <w:t xml:space="preserve"> </w:t>
      </w:r>
      <w:commentRangeStart w:id="1"/>
      <w:r w:rsidRPr="00084FE7">
        <w:rPr>
          <w:rFonts w:ascii="Calibri" w:hAnsi="Calibri" w:cs="Calibri"/>
          <w:b/>
          <w:sz w:val="28"/>
          <w:szCs w:val="28"/>
        </w:rPr>
        <w:t xml:space="preserve">Personnel </w:t>
      </w:r>
      <w:commentRangeEnd w:id="1"/>
      <w:r w:rsidRPr="00084FE7">
        <w:rPr>
          <w:rStyle w:val="CommentReference"/>
          <w:rFonts w:ascii="Calibri" w:hAnsi="Calibri" w:cs="Calibri"/>
          <w:sz w:val="20"/>
          <w:szCs w:val="20"/>
        </w:rPr>
        <w:commentReference w:id="1"/>
      </w:r>
      <w:r w:rsidRPr="00084FE7">
        <w:rPr>
          <w:rFonts w:ascii="Calibri" w:hAnsi="Calibri" w:cs="Calibri"/>
          <w:b/>
          <w:sz w:val="28"/>
          <w:szCs w:val="28"/>
        </w:rPr>
        <w:t>$- 0</w:t>
      </w:r>
    </w:p>
    <w:p w14:paraId="141DB988" w14:textId="77777777" w:rsidR="00084FE7" w:rsidRPr="00084FE7" w:rsidRDefault="00084FE7" w:rsidP="00084FE7">
      <w:pPr>
        <w:rPr>
          <w:rFonts w:ascii="Calibri" w:hAnsi="Calibri" w:cs="Calibri"/>
          <w:sz w:val="28"/>
          <w:szCs w:val="28"/>
        </w:rPr>
      </w:pPr>
      <w:r w:rsidRPr="00084FE7">
        <w:rPr>
          <w:rFonts w:ascii="Calibri" w:hAnsi="Calibri" w:cs="Calibri"/>
          <w:sz w:val="28"/>
          <w:szCs w:val="28"/>
        </w:rPr>
        <w:t xml:space="preserve">All staff time for this project will be funded through matching funds. The partners in this coalition have been fortunate to receive funds from the state of Minnesota as well as local foundations that allow us to support our rural communities with applying for and implementing renewable energy projects in the rural communities we serve. </w:t>
      </w:r>
    </w:p>
    <w:p w14:paraId="536349A8" w14:textId="77777777" w:rsidR="00084FE7" w:rsidRPr="00084FE7" w:rsidRDefault="00084FE7" w:rsidP="00084FE7">
      <w:pPr>
        <w:rPr>
          <w:rFonts w:ascii="Calibri" w:hAnsi="Calibri" w:cs="Calibri"/>
          <w:b/>
          <w:sz w:val="28"/>
          <w:szCs w:val="28"/>
        </w:rPr>
      </w:pPr>
      <w:r w:rsidRPr="00084FE7">
        <w:rPr>
          <w:rFonts w:ascii="Calibri" w:hAnsi="Calibri" w:cs="Calibri"/>
          <w:b/>
          <w:sz w:val="28"/>
          <w:szCs w:val="28"/>
        </w:rPr>
        <w:t xml:space="preserve"> </w:t>
      </w:r>
      <w:commentRangeStart w:id="2"/>
      <w:r w:rsidRPr="00084FE7">
        <w:rPr>
          <w:rFonts w:ascii="Calibri" w:hAnsi="Calibri" w:cs="Calibri"/>
          <w:b/>
          <w:sz w:val="28"/>
          <w:szCs w:val="28"/>
        </w:rPr>
        <w:t xml:space="preserve">Fringe Benefits </w:t>
      </w:r>
      <w:commentRangeEnd w:id="2"/>
      <w:r w:rsidRPr="00084FE7">
        <w:rPr>
          <w:rStyle w:val="CommentReference"/>
          <w:rFonts w:ascii="Calibri" w:hAnsi="Calibri" w:cs="Calibri"/>
          <w:sz w:val="20"/>
          <w:szCs w:val="20"/>
        </w:rPr>
        <w:commentReference w:id="2"/>
      </w:r>
      <w:r w:rsidRPr="00084FE7">
        <w:rPr>
          <w:rFonts w:ascii="Calibri" w:hAnsi="Calibri" w:cs="Calibri"/>
          <w:b/>
          <w:sz w:val="28"/>
          <w:szCs w:val="28"/>
        </w:rPr>
        <w:t xml:space="preserve">$- </w:t>
      </w:r>
      <w:proofErr w:type="gramStart"/>
      <w:r w:rsidRPr="00084FE7">
        <w:rPr>
          <w:rFonts w:ascii="Calibri" w:hAnsi="Calibri" w:cs="Calibri"/>
          <w:b/>
          <w:sz w:val="28"/>
          <w:szCs w:val="28"/>
        </w:rPr>
        <w:t>0</w:t>
      </w:r>
      <w:proofErr w:type="gramEnd"/>
    </w:p>
    <w:p w14:paraId="230D952A" w14:textId="77777777" w:rsidR="00084FE7" w:rsidRPr="00084FE7" w:rsidRDefault="00084FE7" w:rsidP="00084FE7">
      <w:pPr>
        <w:rPr>
          <w:rFonts w:ascii="Calibri" w:hAnsi="Calibri" w:cs="Calibri"/>
          <w:sz w:val="28"/>
          <w:szCs w:val="28"/>
        </w:rPr>
      </w:pPr>
      <w:r w:rsidRPr="00084FE7">
        <w:rPr>
          <w:rFonts w:ascii="Calibri" w:hAnsi="Calibri" w:cs="Calibri"/>
          <w:sz w:val="28"/>
          <w:szCs w:val="28"/>
        </w:rPr>
        <w:t xml:space="preserve">No fringe benefits are required for </w:t>
      </w:r>
      <w:proofErr w:type="gramStart"/>
      <w:r w:rsidRPr="00084FE7">
        <w:rPr>
          <w:rFonts w:ascii="Calibri" w:hAnsi="Calibri" w:cs="Calibri"/>
          <w:sz w:val="28"/>
          <w:szCs w:val="28"/>
        </w:rPr>
        <w:t>our</w:t>
      </w:r>
      <w:proofErr w:type="gramEnd"/>
      <w:r w:rsidRPr="00084FE7">
        <w:rPr>
          <w:rFonts w:ascii="Calibri" w:hAnsi="Calibri" w:cs="Calibri"/>
          <w:sz w:val="28"/>
          <w:szCs w:val="28"/>
        </w:rPr>
        <w:t xml:space="preserve"> implementation of this project. </w:t>
      </w:r>
    </w:p>
    <w:p w14:paraId="5B202BA5" w14:textId="77777777" w:rsidR="00084FE7" w:rsidRPr="00084FE7" w:rsidRDefault="00084FE7" w:rsidP="00084FE7">
      <w:pPr>
        <w:rPr>
          <w:rFonts w:ascii="Calibri" w:hAnsi="Calibri" w:cs="Calibri"/>
          <w:b/>
          <w:sz w:val="28"/>
          <w:szCs w:val="28"/>
        </w:rPr>
      </w:pPr>
      <w:r w:rsidRPr="00084FE7">
        <w:rPr>
          <w:rFonts w:ascii="Calibri" w:hAnsi="Calibri" w:cs="Calibri"/>
          <w:b/>
          <w:sz w:val="28"/>
          <w:szCs w:val="28"/>
        </w:rPr>
        <w:t xml:space="preserve"> </w:t>
      </w:r>
      <w:commentRangeStart w:id="3"/>
      <w:r w:rsidRPr="00084FE7">
        <w:rPr>
          <w:rFonts w:ascii="Calibri" w:hAnsi="Calibri" w:cs="Calibri"/>
          <w:b/>
          <w:sz w:val="28"/>
          <w:szCs w:val="28"/>
        </w:rPr>
        <w:t xml:space="preserve">Travel </w:t>
      </w:r>
      <w:commentRangeEnd w:id="3"/>
      <w:r w:rsidRPr="00084FE7">
        <w:rPr>
          <w:rStyle w:val="CommentReference"/>
          <w:rFonts w:ascii="Calibri" w:hAnsi="Calibri" w:cs="Calibri"/>
          <w:sz w:val="20"/>
          <w:szCs w:val="20"/>
        </w:rPr>
        <w:commentReference w:id="3"/>
      </w:r>
      <w:r w:rsidRPr="00084FE7">
        <w:rPr>
          <w:rFonts w:ascii="Calibri" w:hAnsi="Calibri" w:cs="Calibri"/>
          <w:b/>
          <w:sz w:val="28"/>
          <w:szCs w:val="28"/>
        </w:rPr>
        <w:t xml:space="preserve"> - </w:t>
      </w:r>
      <w:proofErr w:type="gramStart"/>
      <w:r w:rsidRPr="00084FE7">
        <w:rPr>
          <w:rFonts w:ascii="Calibri" w:hAnsi="Calibri" w:cs="Calibri"/>
          <w:b/>
          <w:sz w:val="28"/>
          <w:szCs w:val="28"/>
        </w:rPr>
        <w:t>$0</w:t>
      </w:r>
      <w:proofErr w:type="gramEnd"/>
      <w:r w:rsidRPr="00084FE7">
        <w:rPr>
          <w:rFonts w:ascii="Calibri" w:hAnsi="Calibri" w:cs="Calibri"/>
          <w:b/>
          <w:sz w:val="28"/>
          <w:szCs w:val="28"/>
        </w:rPr>
        <w:t xml:space="preserve"> </w:t>
      </w:r>
    </w:p>
    <w:p w14:paraId="7C374C67" w14:textId="77777777" w:rsidR="00084FE7" w:rsidRPr="00084FE7" w:rsidRDefault="00084FE7" w:rsidP="00084FE7">
      <w:pPr>
        <w:rPr>
          <w:rFonts w:ascii="Calibri" w:hAnsi="Calibri" w:cs="Calibri"/>
          <w:sz w:val="28"/>
          <w:szCs w:val="28"/>
        </w:rPr>
      </w:pPr>
      <w:r w:rsidRPr="00084FE7">
        <w:rPr>
          <w:rFonts w:ascii="Calibri" w:hAnsi="Calibri" w:cs="Calibri"/>
          <w:sz w:val="28"/>
          <w:szCs w:val="28"/>
        </w:rPr>
        <w:t xml:space="preserve">Travel will be covered by our in-kind funds. </w:t>
      </w:r>
    </w:p>
    <w:p w14:paraId="707B0819" w14:textId="77777777" w:rsidR="00084FE7" w:rsidRPr="00084FE7" w:rsidRDefault="00084FE7" w:rsidP="00084FE7">
      <w:pPr>
        <w:rPr>
          <w:rFonts w:ascii="Calibri" w:hAnsi="Calibri" w:cs="Calibri"/>
          <w:b/>
          <w:sz w:val="28"/>
          <w:szCs w:val="28"/>
        </w:rPr>
      </w:pPr>
      <w:commentRangeStart w:id="4"/>
      <w:r w:rsidRPr="00084FE7">
        <w:rPr>
          <w:rFonts w:ascii="Calibri" w:hAnsi="Calibri" w:cs="Calibri"/>
          <w:b/>
          <w:sz w:val="28"/>
          <w:szCs w:val="28"/>
        </w:rPr>
        <w:t xml:space="preserve">Contractual </w:t>
      </w:r>
      <w:commentRangeEnd w:id="4"/>
      <w:r w:rsidRPr="00084FE7">
        <w:rPr>
          <w:rStyle w:val="CommentReference"/>
          <w:rFonts w:ascii="Calibri" w:hAnsi="Calibri" w:cs="Calibri"/>
          <w:sz w:val="20"/>
          <w:szCs w:val="20"/>
        </w:rPr>
        <w:commentReference w:id="4"/>
      </w:r>
      <w:r w:rsidRPr="00084FE7">
        <w:rPr>
          <w:rFonts w:ascii="Calibri" w:hAnsi="Calibri" w:cs="Calibri"/>
          <w:b/>
          <w:sz w:val="28"/>
          <w:szCs w:val="28"/>
        </w:rPr>
        <w:t xml:space="preserve"> - $0</w:t>
      </w:r>
    </w:p>
    <w:p w14:paraId="3AF28A83" w14:textId="77777777" w:rsidR="00084FE7" w:rsidRPr="00084FE7" w:rsidRDefault="00084FE7" w:rsidP="00084FE7">
      <w:pPr>
        <w:rPr>
          <w:rFonts w:ascii="Calibri" w:hAnsi="Calibri" w:cs="Calibri"/>
          <w:b/>
          <w:sz w:val="28"/>
          <w:szCs w:val="28"/>
        </w:rPr>
      </w:pPr>
      <w:commentRangeStart w:id="5"/>
      <w:r w:rsidRPr="00084FE7">
        <w:rPr>
          <w:rFonts w:ascii="Calibri" w:hAnsi="Calibri" w:cs="Calibri"/>
          <w:b/>
          <w:sz w:val="28"/>
          <w:szCs w:val="28"/>
        </w:rPr>
        <w:t>Subawards</w:t>
      </w:r>
      <w:commentRangeEnd w:id="5"/>
      <w:r w:rsidRPr="00084FE7">
        <w:rPr>
          <w:rStyle w:val="CommentReference"/>
          <w:rFonts w:ascii="Calibri" w:hAnsi="Calibri" w:cs="Calibri"/>
          <w:sz w:val="20"/>
          <w:szCs w:val="20"/>
        </w:rPr>
        <w:commentReference w:id="5"/>
      </w:r>
      <w:r w:rsidRPr="00084FE7">
        <w:rPr>
          <w:rFonts w:ascii="Calibri" w:hAnsi="Calibri" w:cs="Calibri"/>
          <w:b/>
          <w:sz w:val="28"/>
          <w:szCs w:val="28"/>
        </w:rPr>
        <w:t xml:space="preserve"> - $10,500,000</w:t>
      </w:r>
    </w:p>
    <w:p w14:paraId="05B89EEE" w14:textId="474D5074" w:rsidR="00084FE7" w:rsidRPr="00084FE7" w:rsidRDefault="00084FE7" w:rsidP="00084FE7">
      <w:pPr>
        <w:rPr>
          <w:rFonts w:ascii="Calibri" w:hAnsi="Calibri" w:cs="Calibri"/>
          <w:sz w:val="28"/>
          <w:szCs w:val="28"/>
        </w:rPr>
      </w:pPr>
      <w:r w:rsidRPr="00084FE7">
        <w:rPr>
          <w:rFonts w:ascii="Calibri" w:hAnsi="Calibri" w:cs="Calibri"/>
          <w:sz w:val="28"/>
          <w:szCs w:val="28"/>
        </w:rPr>
        <w:t>Through this coalition each partner will be sub awarded $2,</w:t>
      </w:r>
      <w:r w:rsidRPr="00084FE7">
        <w:rPr>
          <w:rFonts w:ascii="Calibri" w:hAnsi="Calibri" w:cs="Calibri"/>
          <w:sz w:val="28"/>
          <w:szCs w:val="28"/>
        </w:rPr>
        <w:t>1</w:t>
      </w:r>
      <w:r w:rsidRPr="00084FE7">
        <w:rPr>
          <w:rFonts w:ascii="Calibri" w:hAnsi="Calibri" w:cs="Calibri"/>
          <w:sz w:val="28"/>
          <w:szCs w:val="28"/>
        </w:rPr>
        <w:t xml:space="preserve">00,000 which will be used to identify communities and procure competitive contracts for the implementation of photovoltaic solar across our rural communities. Each identified community will release and conduct a competitive RFP process to identify qualified solar installers who also meet the goals of this grant such as creating high quality jobs and increasing the renewable energy workforce in rural areas. The contracts for the photovoltaic solar systems will be paid by the local coalition partners to allow for additional and valuable local input and control over the implementation of these funds. These subawards and the implementation of solar will be completed in accordance with the workplan attached to this document. </w:t>
      </w:r>
    </w:p>
    <w:p w14:paraId="428349E5" w14:textId="77777777" w:rsidR="006F2771" w:rsidRPr="00084FE7" w:rsidRDefault="006F2771">
      <w:pPr>
        <w:rPr>
          <w:sz w:val="28"/>
          <w:szCs w:val="28"/>
        </w:rPr>
      </w:pPr>
    </w:p>
    <w:sectPr w:rsidR="006F2771" w:rsidRPr="00084FE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bri Fair" w:date="2024-03-29T09:58:00Z" w:initials="SF">
    <w:p w14:paraId="16B5D40D" w14:textId="77777777" w:rsidR="00084FE7" w:rsidRDefault="00084FE7" w:rsidP="00084FE7">
      <w:pPr>
        <w:pStyle w:val="CommentText"/>
      </w:pPr>
      <w:r>
        <w:rPr>
          <w:rStyle w:val="CommentReference"/>
        </w:rPr>
        <w:annotationRef/>
      </w:r>
      <w:r>
        <w:rPr>
          <w:b/>
          <w:bCs/>
        </w:rPr>
        <w:t>Applicants should use the instructions and budget object class descriptions below and may use the example table below to complete the detailed budget section of the project narrative. EPA has provided an optional budget spreadsheet to aid applicants in developing the required budget table(s) for the budget narrative. The budget spreadsheet can be found on the posting for this NOFO on Grants.gov. Applicants may submit a budget spreadsheet (no page limit) with their application, in addition to the budget narrative (up to 10 pages). Applicants should include applicable rows of costs for each budget category in their budget table(s) to accurately reflect the proposed budget for each GHG reduction measure. Applicants must itemize costs related to personnel, fringe benefits, travel, equipment, installation or labor supplies, contractual costs, other direct costs (i.e., subawards, participant support costs), indirect costs, and total costs.</w:t>
      </w:r>
    </w:p>
    <w:p w14:paraId="5894A40E" w14:textId="77777777" w:rsidR="00084FE7" w:rsidRDefault="00084FE7" w:rsidP="00084FE7">
      <w:pPr>
        <w:pStyle w:val="CommentText"/>
      </w:pPr>
      <w:r>
        <w:rPr>
          <w:b/>
          <w:bCs/>
        </w:rPr>
        <w:t>Note: Funds disbursed under the CPRG are subject to Davis Bacon Prevailing Wage requirements as explained in Section VI.C and to Build America, Buy America (BABA) as explained in Section VI.D.</w:t>
      </w:r>
    </w:p>
    <w:p w14:paraId="596682CD" w14:textId="77777777" w:rsidR="00084FE7" w:rsidRDefault="00084FE7" w:rsidP="00084FE7">
      <w:pPr>
        <w:pStyle w:val="CommentText"/>
      </w:pPr>
      <w:r>
        <w:rPr>
          <w:b/>
          <w:bCs/>
        </w:rPr>
        <w:t>For applicants proposing to implement a participant support cost or rebate program, the rebates are appropriately listed under the “Other” budget category as “Participant Support Costs.” For more information on participant support costs, see Appendix A and RAIN-2018-G05, “EPA Guidance on Participant Support Costs.”</w:t>
      </w:r>
    </w:p>
  </w:comment>
  <w:comment w:id="1" w:author="Sabri Fair" w:date="2024-03-29T09:58:00Z" w:initials="SF">
    <w:p w14:paraId="4CB4EAE2" w14:textId="77777777" w:rsidR="00084FE7" w:rsidRDefault="00084FE7" w:rsidP="00084FE7">
      <w:pPr>
        <w:pStyle w:val="CommentText"/>
      </w:pPr>
      <w:r>
        <w:rPr>
          <w:rStyle w:val="CommentReference"/>
        </w:rPr>
        <w:annotationRef/>
      </w:r>
      <w:r>
        <w:rPr>
          <w:b/>
          <w:bCs/>
        </w:rPr>
        <w:t>- List all staff positions by title. Give annual salary, percentage of time assigned to the project, and total cost for the budget period. This category includes only direct costs for the salaries of those individuals who will perform work directly for the project (paid employees of the applicant organization as reflected in payroll tax records). If the applicant organization is including staff time (in-kind services) as a cost-share, this should be included as Personnel costs. Personnel costs do not include: (1) costs for services of contractors (including individual consultants), which are included in the “Contractual” category; (2) costs for employees of subrecipients under subawards or non-employee program participants (e.g., interns or volunteers), which are included in the “Other” category; or (3) effort that is not directly in support of the proposed project, which may be covered by the organization’s negotiated indirect cost rate. The budget detail must identify the personnel category type by Full Time Equivalent (FTE), including percentage of FTE for part-time employees, number of personnel proposed for each category, and the estimated funding amounts.</w:t>
      </w:r>
    </w:p>
  </w:comment>
  <w:comment w:id="2" w:author="Sabri Fair" w:date="2024-03-29T09:58:00Z" w:initials="SF">
    <w:p w14:paraId="53A3B5F8" w14:textId="77777777" w:rsidR="00084FE7" w:rsidRDefault="00084FE7" w:rsidP="00084FE7">
      <w:pPr>
        <w:pStyle w:val="CommentText"/>
      </w:pPr>
      <w:r>
        <w:rPr>
          <w:rStyle w:val="CommentReference"/>
        </w:rPr>
        <w:annotationRef/>
      </w:r>
      <w:r>
        <w:rPr>
          <w:b/>
          <w:bCs/>
        </w:rPr>
        <w:t>- Identify the percentage used, the basis for its computation, and the types of benefits included. Fringe benefits are allowances and services provided by employers to their employees as compensation in addition to regular salaries and wages. Fringe benefits may include, but are not limited to, the cost of leave, employee insurance, pensions, and unemployment benefit plans. If the applicant’s fringe rate does not include the cost of leave, and the applicant intends to charge leave to the agreement, it must provide supplemental information describing its proposed method(s) for determining and equitably distributing these costs.</w:t>
      </w:r>
    </w:p>
  </w:comment>
  <w:comment w:id="3" w:author="Sabri Fair" w:date="2024-03-29T09:58:00Z" w:initials="SF">
    <w:p w14:paraId="4A88CB14" w14:textId="77777777" w:rsidR="00084FE7" w:rsidRDefault="00084FE7" w:rsidP="00084FE7">
      <w:pPr>
        <w:pStyle w:val="CommentText"/>
      </w:pPr>
      <w:r>
        <w:rPr>
          <w:rStyle w:val="CommentReference"/>
        </w:rPr>
        <w:annotationRef/>
      </w:r>
      <w:r>
        <w:rPr>
          <w:b/>
          <w:bCs/>
        </w:rPr>
        <w:t>- Specify the mileage, per diem, estimated number of trips in-state and out-of-state, number of travelers, and other costs for each type of travel. Travel may be: integral to the purpose of the proposed project (e.g., inspections); related to proposed project activities (e.g., attendance at meetings); or, related to a technical training or workshop that supports effective implementation of the project activities. Only include travel costs for employees in the travel category. Travel costs do not include: (1) costs for travel of contractors (including consultants), which are included in the “Contractual” category; (2) travel costs for employees of subrecipients under subawards and non-employee program participants (e.g., trainees), which are included in the “Other” category. Further, travel does not include bus rentals for group trips, which would be covered under the “Contractual” category. EPA will not award any funds for travel outside of the U.S.</w:t>
      </w:r>
    </w:p>
  </w:comment>
  <w:comment w:id="4" w:author="Sabri Fair" w:date="2024-03-29T09:59:00Z" w:initials="SF">
    <w:p w14:paraId="7CE38BE3" w14:textId="77777777" w:rsidR="00084FE7" w:rsidRDefault="00084FE7" w:rsidP="00084FE7">
      <w:pPr>
        <w:pStyle w:val="CommentText"/>
      </w:pPr>
      <w:r>
        <w:rPr>
          <w:rStyle w:val="CommentReference"/>
        </w:rPr>
        <w:annotationRef/>
      </w:r>
      <w:r>
        <w:rPr>
          <w:b/>
          <w:bCs/>
        </w:rPr>
        <w:t>– Identify each proposed contract and specify its purpose and estimated cost. Contractual services (including consultant services) are those services to be carried out by an individual or organization, other than the applicant, in the form of a procurement relationship. EPA’s Subaward Policy and supplemental Frequent Questions provide detailed guidance for differentiating between contractors and subrecipients. Leased or rented goods (equipment or supplies) should be included in the “Other” category. EPA does not require applicants to identify specific contractors. The applicant should list the proposed contract activities along with a brief description of the anticipated scope of work or services to be provided, proposed duration, and proposed procurement method (competitive or non-competitive), if known. Any proposed non-competed/sole-source contracts in excess of $10,000 must include a justification. Note that it is unlikely that EPA will accept proposed sole source contracts for goods and services (e.g., consulting) that are widely available in the commercial market. Refer to EPA’s Best Practice Guide for Procuring Services, Supplies, and Equipment Under EPA Assistance Agreements for EPA’s policies on competitive procurements and encouraging the use of small and disadvantaged business enterprises.</w:t>
      </w:r>
    </w:p>
  </w:comment>
  <w:comment w:id="5" w:author="Sabri Fair" w:date="2024-03-29T09:59:00Z" w:initials="SF">
    <w:p w14:paraId="407A8A90" w14:textId="77777777" w:rsidR="00084FE7" w:rsidRDefault="00084FE7" w:rsidP="00084FE7">
      <w:pPr>
        <w:pStyle w:val="CommentText"/>
      </w:pPr>
      <w:r>
        <w:rPr>
          <w:rStyle w:val="CommentReference"/>
        </w:rPr>
        <w:annotationRef/>
      </w:r>
      <w:r>
        <w:rPr>
          <w:b/>
          <w:bCs/>
        </w:rPr>
        <w:t xml:space="preserve"> (e.g., subgrants to other members of a coalition) and participant support costs are a distinct type of cost under this category. The term “subaward” means an award of financial assistance (money or property) by any legal agreement made by the recipient to an eligible subrecipient even if the agreement is referred to as a contract. Rebates, subsidies, and similar one-time, lump-sum payments to program beneficiaries for purchase of eligible emission control technologies are considered participant support costs. Please refer to Appendix A for detailed guidance on funding projects and partnerships and how to correctly categorize these costs in the workplan budget. “Other” does not include procurement purchases, technical assistance in the form of services instead of money, or other assistance in the form of revenue sharing, loans, loan guarantees, interest subsidies, insurance, or direct appropriations. Subcontracts are not subawards and belong in the contractual category. Applicants must provide the aggregate amount they propose to issue as subaward work as a separate line item in the “Other” category and must include a description of the types of activities to be supported. Refer to EPA’s Subaward Policy and supplemental Frequent Questions for additional guidance.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6682CD" w15:done="0"/>
  <w15:commentEx w15:paraId="4CB4EAE2" w15:done="0"/>
  <w15:commentEx w15:paraId="53A3B5F8" w15:done="0"/>
  <w15:commentEx w15:paraId="4A88CB14" w15:done="0"/>
  <w15:commentEx w15:paraId="7CE38BE3" w15:done="0"/>
  <w15:commentEx w15:paraId="407A8A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12FBA07" w16cex:dateUtc="2024-03-29T14:58:00Z"/>
  <w16cex:commentExtensible w16cex:durableId="57712F32" w16cex:dateUtc="2024-03-29T14:58:00Z"/>
  <w16cex:commentExtensible w16cex:durableId="68EA6E64" w16cex:dateUtc="2024-03-29T14:58:00Z"/>
  <w16cex:commentExtensible w16cex:durableId="1A60A79E" w16cex:dateUtc="2024-03-29T14:58:00Z"/>
  <w16cex:commentExtensible w16cex:durableId="6C90771F" w16cex:dateUtc="2024-03-29T14:59:00Z"/>
  <w16cex:commentExtensible w16cex:durableId="68F50A92" w16cex:dateUtc="2024-03-29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6682CD" w16cid:durableId="312FBA07"/>
  <w16cid:commentId w16cid:paraId="4CB4EAE2" w16cid:durableId="57712F32"/>
  <w16cid:commentId w16cid:paraId="53A3B5F8" w16cid:durableId="68EA6E64"/>
  <w16cid:commentId w16cid:paraId="4A88CB14" w16cid:durableId="1A60A79E"/>
  <w16cid:commentId w16cid:paraId="7CE38BE3" w16cid:durableId="6C90771F"/>
  <w16cid:commentId w16cid:paraId="407A8A90" w16cid:durableId="68F50A9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ri Fair">
    <w15:presenceInfo w15:providerId="AD" w15:userId="S::sabri@rndc.org::f1334dff-7ab6-4190-9ae0-fd84da076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194"/>
    <w:rsid w:val="00084FE7"/>
    <w:rsid w:val="002A1380"/>
    <w:rsid w:val="00537194"/>
    <w:rsid w:val="006F2771"/>
    <w:rsid w:val="008C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9CCF2"/>
  <w15:chartTrackingRefBased/>
  <w15:docId w15:val="{98E9481F-B377-42E0-A68B-1759BF524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FE7"/>
  </w:style>
  <w:style w:type="paragraph" w:styleId="Heading1">
    <w:name w:val="heading 1"/>
    <w:basedOn w:val="Normal"/>
    <w:next w:val="Normal"/>
    <w:link w:val="Heading1Char"/>
    <w:uiPriority w:val="9"/>
    <w:qFormat/>
    <w:rsid w:val="005371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71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71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71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71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71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71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71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71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1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71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71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71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71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71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71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71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7194"/>
    <w:rPr>
      <w:rFonts w:eastAsiaTheme="majorEastAsia" w:cstheme="majorBidi"/>
      <w:color w:val="272727" w:themeColor="text1" w:themeTint="D8"/>
    </w:rPr>
  </w:style>
  <w:style w:type="paragraph" w:styleId="Title">
    <w:name w:val="Title"/>
    <w:basedOn w:val="Normal"/>
    <w:next w:val="Normal"/>
    <w:link w:val="TitleChar"/>
    <w:uiPriority w:val="10"/>
    <w:qFormat/>
    <w:rsid w:val="005371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1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71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71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7194"/>
    <w:pPr>
      <w:spacing w:before="160"/>
      <w:jc w:val="center"/>
    </w:pPr>
    <w:rPr>
      <w:i/>
      <w:iCs/>
      <w:color w:val="404040" w:themeColor="text1" w:themeTint="BF"/>
    </w:rPr>
  </w:style>
  <w:style w:type="character" w:customStyle="1" w:styleId="QuoteChar">
    <w:name w:val="Quote Char"/>
    <w:basedOn w:val="DefaultParagraphFont"/>
    <w:link w:val="Quote"/>
    <w:uiPriority w:val="29"/>
    <w:rsid w:val="00537194"/>
    <w:rPr>
      <w:i/>
      <w:iCs/>
      <w:color w:val="404040" w:themeColor="text1" w:themeTint="BF"/>
    </w:rPr>
  </w:style>
  <w:style w:type="paragraph" w:styleId="ListParagraph">
    <w:name w:val="List Paragraph"/>
    <w:basedOn w:val="Normal"/>
    <w:uiPriority w:val="34"/>
    <w:qFormat/>
    <w:rsid w:val="00537194"/>
    <w:pPr>
      <w:ind w:left="720"/>
      <w:contextualSpacing/>
    </w:pPr>
  </w:style>
  <w:style w:type="character" w:styleId="IntenseEmphasis">
    <w:name w:val="Intense Emphasis"/>
    <w:basedOn w:val="DefaultParagraphFont"/>
    <w:uiPriority w:val="21"/>
    <w:qFormat/>
    <w:rsid w:val="00537194"/>
    <w:rPr>
      <w:i/>
      <w:iCs/>
      <w:color w:val="0F4761" w:themeColor="accent1" w:themeShade="BF"/>
    </w:rPr>
  </w:style>
  <w:style w:type="paragraph" w:styleId="IntenseQuote">
    <w:name w:val="Intense Quote"/>
    <w:basedOn w:val="Normal"/>
    <w:next w:val="Normal"/>
    <w:link w:val="IntenseQuoteChar"/>
    <w:uiPriority w:val="30"/>
    <w:qFormat/>
    <w:rsid w:val="00537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7194"/>
    <w:rPr>
      <w:i/>
      <w:iCs/>
      <w:color w:val="0F4761" w:themeColor="accent1" w:themeShade="BF"/>
    </w:rPr>
  </w:style>
  <w:style w:type="character" w:styleId="IntenseReference">
    <w:name w:val="Intense Reference"/>
    <w:basedOn w:val="DefaultParagraphFont"/>
    <w:uiPriority w:val="32"/>
    <w:qFormat/>
    <w:rsid w:val="00537194"/>
    <w:rPr>
      <w:b/>
      <w:bCs/>
      <w:smallCaps/>
      <w:color w:val="0F4761" w:themeColor="accent1" w:themeShade="BF"/>
      <w:spacing w:val="5"/>
    </w:rPr>
  </w:style>
  <w:style w:type="character" w:styleId="CommentReference">
    <w:name w:val="annotation reference"/>
    <w:basedOn w:val="DefaultParagraphFont"/>
    <w:uiPriority w:val="99"/>
    <w:semiHidden/>
    <w:unhideWhenUsed/>
    <w:rsid w:val="00084FE7"/>
    <w:rPr>
      <w:sz w:val="16"/>
      <w:szCs w:val="16"/>
    </w:rPr>
  </w:style>
  <w:style w:type="paragraph" w:styleId="CommentText">
    <w:name w:val="annotation text"/>
    <w:basedOn w:val="Normal"/>
    <w:link w:val="CommentTextChar"/>
    <w:uiPriority w:val="99"/>
    <w:unhideWhenUsed/>
    <w:rsid w:val="00084FE7"/>
    <w:pPr>
      <w:spacing w:line="240" w:lineRule="auto"/>
    </w:pPr>
    <w:rPr>
      <w:sz w:val="20"/>
      <w:szCs w:val="20"/>
    </w:rPr>
  </w:style>
  <w:style w:type="character" w:customStyle="1" w:styleId="CommentTextChar">
    <w:name w:val="Comment Text Char"/>
    <w:basedOn w:val="DefaultParagraphFont"/>
    <w:link w:val="CommentText"/>
    <w:uiPriority w:val="99"/>
    <w:rsid w:val="00084FE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8/08/relationships/commentsExtensible" Target="commentsExtensible.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F3C45F0BA4747A3F7F292FE1B20B4" ma:contentTypeVersion="15" ma:contentTypeDescription="Create a new document." ma:contentTypeScope="" ma:versionID="2b26db311c598f413ea1318baccf4d5c">
  <xsd:schema xmlns:xsd="http://www.w3.org/2001/XMLSchema" xmlns:xs="http://www.w3.org/2001/XMLSchema" xmlns:p="http://schemas.microsoft.com/office/2006/metadata/properties" xmlns:ns3="7d152ae0-bd61-46ad-b27e-47c21af85f31" xmlns:ns4="c3474996-c6e7-4617-9959-278d1f7c408c" targetNamespace="http://schemas.microsoft.com/office/2006/metadata/properties" ma:root="true" ma:fieldsID="a2449c0f2026a80be6c220d06377294f" ns3:_="" ns4:_="">
    <xsd:import namespace="7d152ae0-bd61-46ad-b27e-47c21af85f31"/>
    <xsd:import namespace="c3474996-c6e7-4617-9959-278d1f7c40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2ae0-bd61-46ad-b27e-47c21af85f3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74996-c6e7-4617-9959-278d1f7c40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3474996-c6e7-4617-9959-278d1f7c408c" xsi:nil="true"/>
  </documentManagement>
</p:properties>
</file>

<file path=customXml/itemProps1.xml><?xml version="1.0" encoding="utf-8"?>
<ds:datastoreItem xmlns:ds="http://schemas.openxmlformats.org/officeDocument/2006/customXml" ds:itemID="{27CE636B-E074-4292-9BED-E804E257C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2ae0-bd61-46ad-b27e-47c21af85f31"/>
    <ds:schemaRef ds:uri="c3474996-c6e7-4617-9959-278d1f7c4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D3CE89-6D0C-4533-9755-EB090C4D4A6B}">
  <ds:schemaRefs>
    <ds:schemaRef ds:uri="http://schemas.microsoft.com/sharepoint/v3/contenttype/forms"/>
  </ds:schemaRefs>
</ds:datastoreItem>
</file>

<file path=customXml/itemProps3.xml><?xml version="1.0" encoding="utf-8"?>
<ds:datastoreItem xmlns:ds="http://schemas.openxmlformats.org/officeDocument/2006/customXml" ds:itemID="{00C1BD14-1F23-4F52-AF6B-7BF3A37D8739}">
  <ds:schemaRefs>
    <ds:schemaRef ds:uri="http://schemas.microsoft.com/office/2006/metadata/properties"/>
    <ds:schemaRef ds:uri="http://schemas.microsoft.com/office/2006/documentManagement/types"/>
    <ds:schemaRef ds:uri="7d152ae0-bd61-46ad-b27e-47c21af85f31"/>
    <ds:schemaRef ds:uri="http://purl.org/dc/dcmitype/"/>
    <ds:schemaRef ds:uri="http://purl.org/dc/terms/"/>
    <ds:schemaRef ds:uri="http://schemas.microsoft.com/office/infopath/2007/PartnerControls"/>
    <ds:schemaRef ds:uri="http://purl.org/dc/elements/1.1/"/>
    <ds:schemaRef ds:uri="c3474996-c6e7-4617-9959-278d1f7c408c"/>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 Fair</dc:creator>
  <cp:keywords/>
  <dc:description/>
  <cp:lastModifiedBy>Sabri Fair</cp:lastModifiedBy>
  <cp:revision>2</cp:revision>
  <dcterms:created xsi:type="dcterms:W3CDTF">2024-04-01T21:51:00Z</dcterms:created>
  <dcterms:modified xsi:type="dcterms:W3CDTF">2024-04-01T21:51:00Z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0x01010056AF3C45F0BA4747A3F7F292FE1B20B4</vt:lpwstr>
  </property>
</Properties>
</file>