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615808" w14:textId="77777777" w:rsidR="00044CEF" w:rsidRDefault="00000000">
      <w:pPr>
        <w:jc w:val="center"/>
        <w:rPr>
          <w:rFonts w:ascii="Times New Roman" w:eastAsia="Times New Roman" w:hAnsi="Times New Roman" w:cs="Times New Roman"/>
          <w:i/>
        </w:rPr>
      </w:pPr>
      <w:r>
        <w:rPr>
          <w:b/>
          <w:color w:val="000000"/>
          <w:sz w:val="28"/>
          <w:szCs w:val="28"/>
        </w:rPr>
        <w:t>Sunshine State Energy Resilience Coalition Work</w:t>
      </w:r>
      <w:r>
        <w:rPr>
          <w:b/>
          <w:sz w:val="28"/>
          <w:szCs w:val="28"/>
        </w:rPr>
        <w:t xml:space="preserve"> P</w:t>
      </w:r>
      <w:r>
        <w:rPr>
          <w:b/>
          <w:color w:val="000000"/>
          <w:sz w:val="28"/>
          <w:szCs w:val="28"/>
        </w:rPr>
        <w:t>lan</w:t>
      </w:r>
    </w:p>
    <w:p w14:paraId="437AFCCE" w14:textId="77777777" w:rsidR="00044CEF" w:rsidRDefault="00044CEF">
      <w:pPr>
        <w:jc w:val="center"/>
        <w:rPr>
          <w:rFonts w:ascii="Times New Roman" w:eastAsia="Times New Roman" w:hAnsi="Times New Roman" w:cs="Times New Roman"/>
          <w:i/>
        </w:rPr>
      </w:pPr>
    </w:p>
    <w:p w14:paraId="206225AB" w14:textId="026EEBE5" w:rsidR="00C53E84" w:rsidRDefault="00000000" w:rsidP="00C53E84">
      <w:pPr>
        <w:pStyle w:val="Heading1"/>
      </w:pPr>
      <w:bookmarkStart w:id="0" w:name="_6cjr6h3e4jja" w:colFirst="0" w:colLast="0"/>
      <w:bookmarkEnd w:id="0"/>
      <w:r>
        <w:t>1. Overall Project Summary and Approach</w:t>
      </w:r>
      <w:r>
        <w:br/>
      </w:r>
      <w:r>
        <w:rPr>
          <w:color w:val="E69243"/>
        </w:rPr>
        <w:t>A. Executive Summary and Overview</w:t>
      </w:r>
      <w:r>
        <w:rPr>
          <w:color w:val="E69243"/>
        </w:rPr>
        <w:br/>
      </w:r>
    </w:p>
    <w:p w14:paraId="4045716E" w14:textId="7B590001" w:rsidR="00044CEF" w:rsidRPr="00C53E84" w:rsidRDefault="00000000" w:rsidP="00C53E84">
      <w:pPr>
        <w:pBdr>
          <w:top w:val="nil"/>
          <w:left w:val="nil"/>
          <w:bottom w:val="nil"/>
          <w:right w:val="nil"/>
          <w:between w:val="nil"/>
        </w:pBdr>
        <w:jc w:val="both"/>
        <w:rPr>
          <w:b/>
          <w:color w:val="E69243"/>
          <w:sz w:val="22"/>
          <w:szCs w:val="22"/>
        </w:rPr>
      </w:pPr>
      <w:r>
        <w:rPr>
          <w:sz w:val="22"/>
          <w:szCs w:val="22"/>
        </w:rPr>
        <w:t xml:space="preserve">The Tampa Bay Regional Planning Council (TBRPC) is partnering with the Tampa-St. Petersburg-Clearwater Metro Statistical Area (TSPC MSA), the Jacksonville, FL  MSA (JF MSA), the North Port-Sarasota-Bradenton MSA (NPSB MSA), and the Orlando- Kissimmee-Sanford MSA (OKS MSA) to request </w:t>
      </w:r>
      <w:r>
        <w:rPr>
          <w:b/>
          <w:sz w:val="22"/>
          <w:szCs w:val="22"/>
        </w:rPr>
        <w:t xml:space="preserve">$199,999,999 </w:t>
      </w:r>
      <w:r>
        <w:rPr>
          <w:sz w:val="22"/>
          <w:szCs w:val="22"/>
        </w:rPr>
        <w:t>in United States Environmental Protection Agency (U.S. EPA) Climate Pollution Reduction Grant (CPRG) Implementation Funding to implement the “</w:t>
      </w:r>
      <w:r>
        <w:rPr>
          <w:b/>
          <w:sz w:val="22"/>
          <w:szCs w:val="22"/>
        </w:rPr>
        <w:t>Sunshine State Energy Resilience Coalition</w:t>
      </w:r>
      <w:r>
        <w:rPr>
          <w:sz w:val="22"/>
          <w:szCs w:val="22"/>
        </w:rPr>
        <w:t xml:space="preserve">” (SSERC) Project. The partnership spans 15 counties and 91 cities. Representing over 8,600,000 residents, the SSERC Project embodies almost 40% of Florida’s population. Coalition members to the grant request are Sarasota County, the City of Jacksonville, Orange County, Osceola County; Seminole County; and the City of Orlando. Working together, SSERC will reduce greenhouse gas emissions (GHGs) by </w:t>
      </w:r>
      <w:r>
        <w:rPr>
          <w:b/>
          <w:sz w:val="22"/>
          <w:szCs w:val="22"/>
        </w:rPr>
        <w:t>251,191 metric tons by 2030 and</w:t>
      </w:r>
      <w:r>
        <w:rPr>
          <w:sz w:val="22"/>
          <w:szCs w:val="22"/>
        </w:rPr>
        <w:t xml:space="preserve"> </w:t>
      </w:r>
      <w:r>
        <w:rPr>
          <w:b/>
          <w:sz w:val="22"/>
          <w:szCs w:val="22"/>
        </w:rPr>
        <w:t>1,009,506</w:t>
      </w:r>
      <w:r>
        <w:rPr>
          <w:sz w:val="22"/>
          <w:szCs w:val="22"/>
        </w:rPr>
        <w:t xml:space="preserve"> </w:t>
      </w:r>
      <w:r>
        <w:rPr>
          <w:b/>
          <w:sz w:val="22"/>
          <w:szCs w:val="22"/>
        </w:rPr>
        <w:t>metric tons by 2050</w:t>
      </w:r>
      <w:r>
        <w:rPr>
          <w:sz w:val="22"/>
          <w:szCs w:val="22"/>
        </w:rPr>
        <w:t xml:space="preserve"> and reduce criteria air pollutants (CAPs) </w:t>
      </w:r>
      <w:r>
        <w:rPr>
          <w:i/>
          <w:sz w:val="22"/>
          <w:szCs w:val="22"/>
        </w:rPr>
        <w:t>(SO</w:t>
      </w:r>
      <w:r>
        <w:rPr>
          <w:i/>
          <w:sz w:val="22"/>
          <w:szCs w:val="22"/>
          <w:vertAlign w:val="subscript"/>
        </w:rPr>
        <w:t>2</w:t>
      </w:r>
      <w:r>
        <w:rPr>
          <w:i/>
          <w:sz w:val="22"/>
          <w:szCs w:val="22"/>
        </w:rPr>
        <w:t xml:space="preserve"> by 9,160 </w:t>
      </w:r>
      <w:proofErr w:type="spellStart"/>
      <w:r>
        <w:rPr>
          <w:i/>
          <w:sz w:val="22"/>
          <w:szCs w:val="22"/>
        </w:rPr>
        <w:t>lbs</w:t>
      </w:r>
      <w:proofErr w:type="spellEnd"/>
      <w:r>
        <w:rPr>
          <w:i/>
          <w:sz w:val="22"/>
          <w:szCs w:val="22"/>
        </w:rPr>
        <w:t>; NO</w:t>
      </w:r>
      <w:r>
        <w:rPr>
          <w:i/>
          <w:sz w:val="22"/>
          <w:szCs w:val="22"/>
          <w:vertAlign w:val="subscript"/>
        </w:rPr>
        <w:t xml:space="preserve">x </w:t>
      </w:r>
      <w:r>
        <w:rPr>
          <w:i/>
          <w:sz w:val="22"/>
          <w:szCs w:val="22"/>
        </w:rPr>
        <w:t xml:space="preserve">by 47,360 </w:t>
      </w:r>
      <w:proofErr w:type="spellStart"/>
      <w:r>
        <w:rPr>
          <w:i/>
          <w:sz w:val="22"/>
          <w:szCs w:val="22"/>
        </w:rPr>
        <w:t>lbs</w:t>
      </w:r>
      <w:proofErr w:type="spellEnd"/>
      <w:r>
        <w:rPr>
          <w:i/>
          <w:sz w:val="22"/>
          <w:szCs w:val="22"/>
        </w:rPr>
        <w:t>; PM</w:t>
      </w:r>
      <w:r>
        <w:rPr>
          <w:i/>
          <w:sz w:val="22"/>
          <w:szCs w:val="22"/>
          <w:vertAlign w:val="subscript"/>
        </w:rPr>
        <w:t xml:space="preserve">2.5 </w:t>
      </w:r>
      <w:r>
        <w:rPr>
          <w:i/>
          <w:sz w:val="22"/>
          <w:szCs w:val="22"/>
        </w:rPr>
        <w:t xml:space="preserve">by 5,420 </w:t>
      </w:r>
      <w:proofErr w:type="spellStart"/>
      <w:r>
        <w:rPr>
          <w:i/>
          <w:sz w:val="22"/>
          <w:szCs w:val="22"/>
        </w:rPr>
        <w:t>lbs</w:t>
      </w:r>
      <w:proofErr w:type="spellEnd"/>
      <w:r>
        <w:rPr>
          <w:i/>
          <w:sz w:val="22"/>
          <w:szCs w:val="22"/>
        </w:rPr>
        <w:t xml:space="preserve">; VOC by 1,650 </w:t>
      </w:r>
      <w:proofErr w:type="spellStart"/>
      <w:r>
        <w:rPr>
          <w:i/>
          <w:sz w:val="22"/>
          <w:szCs w:val="22"/>
        </w:rPr>
        <w:t>lbs</w:t>
      </w:r>
      <w:proofErr w:type="spellEnd"/>
      <w:r>
        <w:rPr>
          <w:i/>
          <w:sz w:val="22"/>
          <w:szCs w:val="22"/>
        </w:rPr>
        <w:t>; and NH</w:t>
      </w:r>
      <w:r>
        <w:rPr>
          <w:i/>
          <w:sz w:val="22"/>
          <w:szCs w:val="22"/>
          <w:vertAlign w:val="subscript"/>
        </w:rPr>
        <w:t xml:space="preserve">3 </w:t>
      </w:r>
      <w:r>
        <w:rPr>
          <w:i/>
          <w:sz w:val="22"/>
          <w:szCs w:val="22"/>
        </w:rPr>
        <w:t xml:space="preserve">by 2,600 </w:t>
      </w:r>
      <w:proofErr w:type="spellStart"/>
      <w:r>
        <w:rPr>
          <w:i/>
          <w:sz w:val="22"/>
          <w:szCs w:val="22"/>
        </w:rPr>
        <w:t>lbs</w:t>
      </w:r>
      <w:proofErr w:type="spellEnd"/>
      <w:r>
        <w:rPr>
          <w:i/>
          <w:sz w:val="22"/>
          <w:szCs w:val="22"/>
        </w:rPr>
        <w:t>)</w:t>
      </w:r>
      <w:r>
        <w:rPr>
          <w:sz w:val="22"/>
          <w:szCs w:val="22"/>
        </w:rPr>
        <w:t xml:space="preserve"> with a focus on maximizing benefits in low-income and disadvantaged communities (LIDAC) by strategically deploying innovative and scalable programs with CPRG resources that leverage existing and future complementary grant funding. </w:t>
      </w:r>
    </w:p>
    <w:p w14:paraId="431D55D6" w14:textId="77777777" w:rsidR="00044CEF" w:rsidRDefault="00044CEF">
      <w:pPr>
        <w:pBdr>
          <w:top w:val="nil"/>
          <w:left w:val="nil"/>
          <w:bottom w:val="nil"/>
          <w:right w:val="nil"/>
          <w:between w:val="nil"/>
        </w:pBdr>
        <w:jc w:val="both"/>
        <w:rPr>
          <w:sz w:val="22"/>
          <w:szCs w:val="22"/>
        </w:rPr>
      </w:pPr>
    </w:p>
    <w:p w14:paraId="5772DA84" w14:textId="7A04E37B" w:rsidR="00044CEF" w:rsidRDefault="00000000">
      <w:pPr>
        <w:jc w:val="both"/>
        <w:rPr>
          <w:sz w:val="22"/>
          <w:szCs w:val="22"/>
        </w:rPr>
      </w:pPr>
      <w:r>
        <w:rPr>
          <w:sz w:val="22"/>
          <w:szCs w:val="22"/>
        </w:rPr>
        <w:t>The SSERC Project will reduce GHGs through two GHG Reduction Measures. The first is through “</w:t>
      </w:r>
      <w:r>
        <w:rPr>
          <w:b/>
          <w:sz w:val="22"/>
          <w:szCs w:val="22"/>
        </w:rPr>
        <w:t>Energy Efficiency Education and Tools</w:t>
      </w:r>
      <w:r>
        <w:rPr>
          <w:sz w:val="22"/>
          <w:szCs w:val="22"/>
        </w:rPr>
        <w:t xml:space="preserve">” which will provide home energy efficiency education workshops in LIDAC communities as well as energy efficient Do-It-Yourself Home Energy Savings Tool Kits to reduce household GHG emissions and reduce energy burden. The Home Energy Savings Kits will contain tools, resources, and information to conduct an energy audit, educational resources, and consumable products such as weatherization tape and caulking, wall outlet insulation gaskets, water-efficient showerheads and faucet aerators, a smart power strip, and LED bulbs. Details on how to use the items and the benefits they provide will be included in workshops and handouts placed in the kits. Do-It-Yourself Home Energy Audit Kits will be available at select public libraries and community centers, offering tools and resources to track home energy use at no-cost. By promoting the tracking and conservation of energy and water use at-home, these measures will bring awareness to individuals’ carbon footprints and encourage the reduction </w:t>
      </w:r>
      <w:r w:rsidR="00C53E84">
        <w:rPr>
          <w:sz w:val="22"/>
          <w:szCs w:val="22"/>
        </w:rPr>
        <w:t>of household</w:t>
      </w:r>
      <w:r>
        <w:rPr>
          <w:sz w:val="22"/>
          <w:szCs w:val="22"/>
        </w:rPr>
        <w:t xml:space="preserve"> emissions.</w:t>
      </w:r>
    </w:p>
    <w:p w14:paraId="6C35E9BE" w14:textId="77777777" w:rsidR="00044CEF" w:rsidRDefault="00044CEF">
      <w:pPr>
        <w:jc w:val="both"/>
      </w:pPr>
    </w:p>
    <w:p w14:paraId="6B551E86" w14:textId="65A30F7D" w:rsidR="00044CEF" w:rsidRDefault="00000000">
      <w:pPr>
        <w:jc w:val="both"/>
        <w:rPr>
          <w:sz w:val="20"/>
          <w:szCs w:val="20"/>
        </w:rPr>
      </w:pPr>
      <w:r>
        <w:rPr>
          <w:sz w:val="22"/>
          <w:szCs w:val="22"/>
        </w:rPr>
        <w:t>The second GHG Reduction Measure is “</w:t>
      </w:r>
      <w:r>
        <w:rPr>
          <w:b/>
          <w:sz w:val="22"/>
          <w:szCs w:val="22"/>
        </w:rPr>
        <w:t>Large-Scale Solar and High-Performing Buildings for Climate &amp; Community Resilience,</w:t>
      </w:r>
      <w:r>
        <w:rPr>
          <w:sz w:val="22"/>
          <w:szCs w:val="22"/>
        </w:rPr>
        <w:t xml:space="preserve">” which will increase energy grid reliability and provide solar and deep energy efficiency upgrades on community-facing buildings and critical infrastructure in disadvantaged census tracts to create high-performing buildings that enhance community resilience. As part of this </w:t>
      </w:r>
      <w:r w:rsidR="00C53E84">
        <w:rPr>
          <w:sz w:val="22"/>
          <w:szCs w:val="22"/>
        </w:rPr>
        <w:t>GHG Reduction</w:t>
      </w:r>
      <w:r>
        <w:rPr>
          <w:sz w:val="22"/>
          <w:szCs w:val="22"/>
        </w:rPr>
        <w:t xml:space="preserve"> Measure, SSERC will expand existing statewide and regional workforce training and apprenticeship programs to benefit low-income community members and increase the number of climate-smart jobs within the state. </w:t>
      </w:r>
    </w:p>
    <w:p w14:paraId="3B80E84D" w14:textId="77777777" w:rsidR="00044CEF" w:rsidRDefault="00044CEF">
      <w:pPr>
        <w:jc w:val="both"/>
        <w:rPr>
          <w:sz w:val="22"/>
          <w:szCs w:val="22"/>
        </w:rPr>
      </w:pPr>
    </w:p>
    <w:p w14:paraId="5B5CA1EB" w14:textId="77777777" w:rsidR="00044CEF" w:rsidRDefault="00000000">
      <w:pPr>
        <w:jc w:val="both"/>
        <w:rPr>
          <w:sz w:val="22"/>
          <w:szCs w:val="22"/>
        </w:rPr>
      </w:pPr>
      <w:r>
        <w:rPr>
          <w:sz w:val="22"/>
          <w:szCs w:val="22"/>
        </w:rPr>
        <w:t xml:space="preserve">The Coalition's roots began in the Fall of 2023 when all MSAs in Florida joined together to identify ways to collaborate on CPRG Implementation Grant opportunities. The partnership gained additional urgency when the State of Florida declined to take part in the CPRG program. Monthly calls led by The Nature Conservancy of Florida focused on collaboration and the sharing of best practices for both the Priority Climate Action Plan measures and the CPRG Implementation Grant application process. In December 2024, The Nature </w:t>
      </w:r>
      <w:proofErr w:type="gramStart"/>
      <w:r>
        <w:rPr>
          <w:sz w:val="22"/>
          <w:szCs w:val="22"/>
        </w:rPr>
        <w:t>Conservancy</w:t>
      </w:r>
      <w:proofErr w:type="gramEnd"/>
      <w:r>
        <w:rPr>
          <w:sz w:val="22"/>
          <w:szCs w:val="22"/>
        </w:rPr>
        <w:t xml:space="preserve"> and the Southern Sustainability Directors Network (SSDN) facilitated a retreat for the Florida MSAs to delve further into potential implementation ideas and to select a lead </w:t>
      </w:r>
      <w:r>
        <w:rPr>
          <w:sz w:val="22"/>
          <w:szCs w:val="22"/>
        </w:rPr>
        <w:lastRenderedPageBreak/>
        <w:t xml:space="preserve">applicant for a multi-region application. Following the retreat, TBRPC agreed to serve as the lead applicant for a multi-regional application, joining with the JF MSA, the NPSB MSA, and the OKS MSA to spearhead the CPRG program for the State of Florida. </w:t>
      </w:r>
    </w:p>
    <w:p w14:paraId="0BBCAD4F" w14:textId="77777777" w:rsidR="00044CEF" w:rsidRDefault="00044CEF">
      <w:pPr>
        <w:rPr>
          <w:b/>
          <w:sz w:val="22"/>
          <w:szCs w:val="22"/>
        </w:rPr>
      </w:pPr>
    </w:p>
    <w:p w14:paraId="6051699E" w14:textId="77777777" w:rsidR="00044CEF" w:rsidRDefault="00000000">
      <w:pPr>
        <w:jc w:val="both"/>
        <w:rPr>
          <w:sz w:val="22"/>
          <w:szCs w:val="22"/>
        </w:rPr>
      </w:pPr>
      <w:r>
        <w:rPr>
          <w:sz w:val="22"/>
          <w:szCs w:val="22"/>
        </w:rPr>
        <w:t xml:space="preserve">The Coalition’s 15-county geographic region faces direct and immediate threats from anthropogenic climate change and carbon emissions, including increased risks of natural disasters. The state is most </w:t>
      </w:r>
      <w:proofErr w:type="spellStart"/>
      <w:r>
        <w:rPr>
          <w:sz w:val="22"/>
          <w:szCs w:val="22"/>
        </w:rPr>
        <w:t>well known</w:t>
      </w:r>
      <w:proofErr w:type="spellEnd"/>
      <w:r>
        <w:rPr>
          <w:sz w:val="22"/>
          <w:szCs w:val="22"/>
        </w:rPr>
        <w:t xml:space="preserve"> for its rising sea levels – a major existential threat. With low-lying topography over much of the state and nearly 80% of the population in coastal zones, the potential inundation is overwhelming in terms of social, ecological, and economic impact. Without swift action to reduce GHG emissions – rising sea levels can displace millions of Floridians on a “business-as-usual” carbon trajectory. Sea levels across Florida are as much as 8 inches higher than they were in 1950, and the rate of sea level rise is accelerating alongside GHG emissions. The TSPC MSA, for example, is situated around one of the largest open-water estuaries in the southern United States, which threatens the entire region. Additionally, low-income communities and communities of color bear a disproportionate burden of air pollution due to their proximity to poor air quality environments and are also more likely to have health conditions that are exacerbated by exposure to poor air quality.</w:t>
      </w:r>
    </w:p>
    <w:p w14:paraId="2E4DBBE6" w14:textId="77777777" w:rsidR="00044CEF" w:rsidRDefault="00044CEF">
      <w:pPr>
        <w:jc w:val="both"/>
      </w:pPr>
    </w:p>
    <w:p w14:paraId="772E36CD" w14:textId="77777777" w:rsidR="00044CEF" w:rsidRDefault="00000000">
      <w:pPr>
        <w:pStyle w:val="Heading2"/>
        <w:rPr>
          <w:color w:val="E69243"/>
        </w:rPr>
      </w:pPr>
      <w:bookmarkStart w:id="1" w:name="_as4u9tnc7p98" w:colFirst="0" w:colLast="0"/>
      <w:bookmarkEnd w:id="1"/>
      <w:r>
        <w:rPr>
          <w:color w:val="E69243"/>
        </w:rPr>
        <w:t>A.1 Description of GHG Reduction Measures</w:t>
      </w:r>
    </w:p>
    <w:p w14:paraId="42F944EB" w14:textId="77777777" w:rsidR="00044CEF" w:rsidRDefault="00000000">
      <w:pPr>
        <w:pStyle w:val="Heading3"/>
      </w:pPr>
      <w:bookmarkStart w:id="2" w:name="_myrjpqij0biw" w:colFirst="0" w:colLast="0"/>
      <w:bookmarkEnd w:id="2"/>
      <w:r>
        <w:rPr>
          <w:color w:val="467886"/>
        </w:rPr>
        <w:t>A.1.i GHG Reduction Measure #1: Energy Efficiency Education and Tools:</w:t>
      </w:r>
      <w:r>
        <w:rPr>
          <w:b w:val="0"/>
          <w:color w:val="000000"/>
        </w:rPr>
        <w:t xml:space="preserve"> SSERC Coalition members and partners will deploy energy efficiency tools and provide educational workshops throughout their regions. To ensure these programs benefit low-income residents, energy efficiency education opportunities such as classes/workshops, school outreach programs, and demonstration events will be held in disadvantaged communities in trusted and easily accessible locations. These low-cost strategies are expected to reduce GHG emissions by 10,296 metric tons by 2030 and 17,484 metric tons by 2050, while decreasing the energy burden on low-income and disadvantaged community groups. Through their Priority Climate Action Plans, all four MSAs determined residential homes were a significant source of GHG emissions </w:t>
      </w:r>
      <w:proofErr w:type="gramStart"/>
      <w:r>
        <w:rPr>
          <w:b w:val="0"/>
          <w:color w:val="000000"/>
        </w:rPr>
        <w:t>TSPC  MSA</w:t>
      </w:r>
      <w:proofErr w:type="gramEnd"/>
      <w:r>
        <w:rPr>
          <w:b w:val="0"/>
          <w:color w:val="000000"/>
        </w:rPr>
        <w:t xml:space="preserve"> (21.7%), JF MSA (20%), NPSB MSA (21%), and the OKS MSA (30%). </w:t>
      </w:r>
    </w:p>
    <w:p w14:paraId="6FD5BB2B" w14:textId="77777777" w:rsidR="00044CEF" w:rsidRDefault="00044CEF">
      <w:pPr>
        <w:jc w:val="both"/>
        <w:rPr>
          <w:sz w:val="22"/>
          <w:szCs w:val="22"/>
        </w:rPr>
      </w:pPr>
    </w:p>
    <w:p w14:paraId="757A4B9E" w14:textId="77777777" w:rsidR="00044CEF" w:rsidRDefault="00000000">
      <w:pPr>
        <w:jc w:val="both"/>
        <w:rPr>
          <w:b/>
          <w:sz w:val="22"/>
          <w:szCs w:val="22"/>
        </w:rPr>
      </w:pPr>
      <w:r>
        <w:rPr>
          <w:b/>
          <w:sz w:val="22"/>
          <w:szCs w:val="22"/>
        </w:rPr>
        <w:t xml:space="preserve">Program Features: Coalition members will implement the following activities. </w:t>
      </w:r>
    </w:p>
    <w:p w14:paraId="6FB3D4EC" w14:textId="77777777" w:rsidR="00044CEF" w:rsidRDefault="00000000">
      <w:pPr>
        <w:numPr>
          <w:ilvl w:val="0"/>
          <w:numId w:val="1"/>
        </w:numPr>
        <w:ind w:left="360"/>
        <w:jc w:val="both"/>
        <w:rPr>
          <w:sz w:val="22"/>
          <w:szCs w:val="22"/>
        </w:rPr>
      </w:pPr>
      <w:r>
        <w:rPr>
          <w:sz w:val="22"/>
          <w:szCs w:val="22"/>
        </w:rPr>
        <w:t>Energy efficiency education will be held in public locations, such as libraries, community centers, schools, and in nonprofit facilities, all of which serve marginalized community members.</w:t>
      </w:r>
    </w:p>
    <w:p w14:paraId="60FC4A8F" w14:textId="77777777" w:rsidR="00044CEF" w:rsidRDefault="00000000">
      <w:pPr>
        <w:numPr>
          <w:ilvl w:val="0"/>
          <w:numId w:val="1"/>
        </w:numPr>
        <w:ind w:left="360"/>
        <w:jc w:val="both"/>
        <w:rPr>
          <w:sz w:val="22"/>
          <w:szCs w:val="22"/>
        </w:rPr>
      </w:pPr>
      <w:r>
        <w:rPr>
          <w:sz w:val="22"/>
          <w:szCs w:val="22"/>
        </w:rPr>
        <w:t xml:space="preserve">TBRPC will contract with a design firm for a statewide brand and multi-lingual educational material that will be shared with Coalition members and partners. </w:t>
      </w:r>
    </w:p>
    <w:p w14:paraId="49C52E49" w14:textId="77777777" w:rsidR="00044CEF" w:rsidRDefault="00000000">
      <w:pPr>
        <w:numPr>
          <w:ilvl w:val="0"/>
          <w:numId w:val="1"/>
        </w:numPr>
        <w:ind w:left="360"/>
        <w:jc w:val="both"/>
        <w:rPr>
          <w:sz w:val="22"/>
          <w:szCs w:val="22"/>
        </w:rPr>
      </w:pPr>
      <w:r>
        <w:rPr>
          <w:sz w:val="22"/>
          <w:szCs w:val="22"/>
        </w:rPr>
        <w:t xml:space="preserve">Attendees will be referred to local and state programs that can help them access energy efficiency rebates and additional state and federal funding for weatherization. </w:t>
      </w:r>
    </w:p>
    <w:p w14:paraId="2C8D744C" w14:textId="77777777" w:rsidR="00044CEF" w:rsidRDefault="00000000">
      <w:pPr>
        <w:numPr>
          <w:ilvl w:val="0"/>
          <w:numId w:val="1"/>
        </w:numPr>
        <w:ind w:left="360"/>
        <w:jc w:val="both"/>
        <w:rPr>
          <w:sz w:val="22"/>
          <w:szCs w:val="22"/>
        </w:rPr>
      </w:pPr>
      <w:r>
        <w:rPr>
          <w:sz w:val="22"/>
          <w:szCs w:val="22"/>
        </w:rPr>
        <w:t>The events will focus on bilingual (English and Spanish) energy efficiency education and offer additional translation and ADA services as needed.</w:t>
      </w:r>
    </w:p>
    <w:p w14:paraId="49B34FEA" w14:textId="77777777" w:rsidR="00044CEF" w:rsidRDefault="00000000">
      <w:pPr>
        <w:numPr>
          <w:ilvl w:val="0"/>
          <w:numId w:val="1"/>
        </w:numPr>
        <w:ind w:left="360"/>
        <w:jc w:val="both"/>
        <w:rPr>
          <w:sz w:val="22"/>
          <w:szCs w:val="22"/>
        </w:rPr>
      </w:pPr>
      <w:r>
        <w:rPr>
          <w:b/>
          <w:sz w:val="22"/>
          <w:szCs w:val="22"/>
        </w:rPr>
        <w:t xml:space="preserve">Energy Efficiency Tool Kits (EE Toolkits) </w:t>
      </w:r>
      <w:r>
        <w:rPr>
          <w:sz w:val="22"/>
          <w:szCs w:val="22"/>
        </w:rPr>
        <w:t xml:space="preserve">will be provided to attendees of educational events and in community facilities that serve LIDAC residents. </w:t>
      </w:r>
    </w:p>
    <w:p w14:paraId="7F0DA8B5" w14:textId="77777777" w:rsidR="00044CEF" w:rsidRDefault="00000000">
      <w:pPr>
        <w:numPr>
          <w:ilvl w:val="0"/>
          <w:numId w:val="1"/>
        </w:numPr>
        <w:ind w:left="360"/>
        <w:jc w:val="both"/>
        <w:rPr>
          <w:sz w:val="22"/>
          <w:szCs w:val="22"/>
        </w:rPr>
      </w:pPr>
      <w:r>
        <w:rPr>
          <w:b/>
          <w:sz w:val="22"/>
          <w:szCs w:val="22"/>
        </w:rPr>
        <w:t>Residential Energy Auditing Toolkits (REA Toolkits)</w:t>
      </w:r>
      <w:r>
        <w:rPr>
          <w:i/>
          <w:sz w:val="22"/>
          <w:szCs w:val="22"/>
        </w:rPr>
        <w:t xml:space="preserve"> </w:t>
      </w:r>
      <w:r>
        <w:rPr>
          <w:sz w:val="22"/>
          <w:szCs w:val="22"/>
        </w:rPr>
        <w:t xml:space="preserve">will be in public facilities to be loaned out to residents. They will be refilled after each use.  </w:t>
      </w:r>
    </w:p>
    <w:p w14:paraId="4A0E2CC0" w14:textId="77777777" w:rsidR="00044CEF" w:rsidRDefault="00000000">
      <w:pPr>
        <w:numPr>
          <w:ilvl w:val="0"/>
          <w:numId w:val="1"/>
        </w:numPr>
        <w:ind w:left="360"/>
        <w:jc w:val="both"/>
        <w:rPr>
          <w:sz w:val="22"/>
          <w:szCs w:val="22"/>
        </w:rPr>
      </w:pPr>
      <w:r>
        <w:rPr>
          <w:sz w:val="22"/>
          <w:szCs w:val="22"/>
        </w:rPr>
        <w:t xml:space="preserve">Tool kits will include items such as energy audit equipment, LED bulbs, smart thermostats, smart power strips, ventilation and weatherization products, water efficiency devices, and educational materials in multiple languages as regionally appropriate. </w:t>
      </w:r>
    </w:p>
    <w:p w14:paraId="1CD7AB7A" w14:textId="77777777" w:rsidR="00044CEF" w:rsidRDefault="00000000">
      <w:pPr>
        <w:numPr>
          <w:ilvl w:val="0"/>
          <w:numId w:val="1"/>
        </w:numPr>
        <w:ind w:left="360"/>
        <w:jc w:val="both"/>
        <w:rPr>
          <w:sz w:val="22"/>
          <w:szCs w:val="22"/>
        </w:rPr>
      </w:pPr>
      <w:r>
        <w:rPr>
          <w:sz w:val="22"/>
          <w:szCs w:val="22"/>
        </w:rPr>
        <w:t>The project will train and provide stipends to local trusted advocates to engender trust and expand the participation of marginalized residents.</w:t>
      </w:r>
    </w:p>
    <w:p w14:paraId="18DA261D" w14:textId="77777777" w:rsidR="00044CEF" w:rsidRDefault="00000000">
      <w:pPr>
        <w:numPr>
          <w:ilvl w:val="0"/>
          <w:numId w:val="1"/>
        </w:numPr>
        <w:ind w:left="360"/>
        <w:jc w:val="both"/>
        <w:rPr>
          <w:sz w:val="22"/>
          <w:szCs w:val="22"/>
        </w:rPr>
      </w:pPr>
      <w:r>
        <w:rPr>
          <w:sz w:val="22"/>
          <w:szCs w:val="22"/>
        </w:rPr>
        <w:lastRenderedPageBreak/>
        <w:t>Advocates will assist program staff with educational workshops and enable in-home evaluations and installations of minor energy efficiency technologies,</w:t>
      </w:r>
      <w:r>
        <w:rPr>
          <w:sz w:val="22"/>
          <w:szCs w:val="22"/>
          <w:highlight w:val="white"/>
        </w:rPr>
        <w:t xml:space="preserve"> where feasible.</w:t>
      </w:r>
      <w:r>
        <w:rPr>
          <w:color w:val="FF0000"/>
          <w:sz w:val="22"/>
          <w:szCs w:val="22"/>
        </w:rPr>
        <w:t xml:space="preserve">  </w:t>
      </w:r>
      <w:r>
        <w:rPr>
          <w:color w:val="FF0000"/>
          <w:sz w:val="22"/>
          <w:szCs w:val="22"/>
        </w:rPr>
        <w:br/>
      </w:r>
    </w:p>
    <w:p w14:paraId="03F4E242" w14:textId="77777777" w:rsidR="00044CEF" w:rsidRDefault="00000000">
      <w:pPr>
        <w:pStyle w:val="Heading3"/>
      </w:pPr>
      <w:bookmarkStart w:id="3" w:name="_qh3jo9s0f6vc" w:colFirst="0" w:colLast="0"/>
      <w:bookmarkEnd w:id="3"/>
      <w:r>
        <w:rPr>
          <w:color w:val="467886"/>
        </w:rPr>
        <w:t>A.1.ii Cost-Burdened Assumptions:</w:t>
      </w:r>
      <w:r>
        <w:t xml:space="preserve"> </w:t>
      </w:r>
      <w:r>
        <w:rPr>
          <w:b w:val="0"/>
          <w:color w:val="000000"/>
        </w:rPr>
        <w:t xml:space="preserve">Residents in LIDAC communities use an outsized portion of their income to pay their home energy bills. Many LIDAC members identify high energy costs as the primary concern and a barrier to financial stability. Residents experience energy burden (paying over 6% of their annual salary to energy bills) or severe energy burden (over 10%), with communities of color facing the greatest burden. According to the </w:t>
      </w:r>
      <w:hyperlink r:id="rId7">
        <w:r>
          <w:rPr>
            <w:b w:val="0"/>
            <w:color w:val="1155CC"/>
            <w:u w:val="single"/>
          </w:rPr>
          <w:t>U.S. Department of Energy</w:t>
        </w:r>
      </w:hyperlink>
      <w:r>
        <w:rPr>
          <w:b w:val="0"/>
          <w:color w:val="000000"/>
        </w:rPr>
        <w:t>, energy efficiency could reduce energy costs by 25.2% for low-income Floridians. Reducing these costs on LIDAC residents means they can use their limited incomes on household essentials like food, healthcare, and education.</w:t>
      </w:r>
    </w:p>
    <w:p w14:paraId="6498A889" w14:textId="77777777" w:rsidR="00044CEF" w:rsidRDefault="00044CEF">
      <w:pPr>
        <w:jc w:val="both"/>
        <w:rPr>
          <w:sz w:val="22"/>
          <w:szCs w:val="22"/>
        </w:rPr>
      </w:pPr>
    </w:p>
    <w:p w14:paraId="4F867034" w14:textId="77777777" w:rsidR="00044CEF" w:rsidRDefault="00000000">
      <w:pPr>
        <w:pStyle w:val="Heading3"/>
      </w:pPr>
      <w:bookmarkStart w:id="4" w:name="_87ejma3zk97" w:colFirst="0" w:colLast="0"/>
      <w:bookmarkEnd w:id="4"/>
      <w:r>
        <w:rPr>
          <w:color w:val="467886"/>
        </w:rPr>
        <w:t>A.1.iii Potential Risks:</w:t>
      </w:r>
      <w:r>
        <w:t xml:space="preserve"> </w:t>
      </w:r>
      <w:r>
        <w:rPr>
          <w:b w:val="0"/>
          <w:color w:val="000000"/>
        </w:rPr>
        <w:t xml:space="preserve">Marginalized and disadvantaged individuals may lack access to transportation to obtain toolkits and attend educational seminars, often do not speak English, and cannot afford energy efficiency improvements such as replacing appliances and updating insulation, which provide larger savings. Without access, education, and the ability to make improvements, there is a risk that the program will not reach individuals who need assistance the most. </w:t>
      </w:r>
    </w:p>
    <w:p w14:paraId="738B4BF6" w14:textId="77777777" w:rsidR="00044CEF" w:rsidRDefault="00044CEF">
      <w:pPr>
        <w:jc w:val="both"/>
        <w:rPr>
          <w:sz w:val="22"/>
          <w:szCs w:val="22"/>
        </w:rPr>
      </w:pPr>
    </w:p>
    <w:p w14:paraId="41EE0ABD" w14:textId="77777777" w:rsidR="00044CEF" w:rsidRDefault="00000000">
      <w:pPr>
        <w:pStyle w:val="Heading3"/>
      </w:pPr>
      <w:bookmarkStart w:id="5" w:name="_lj8ys1q6815y" w:colFirst="0" w:colLast="0"/>
      <w:bookmarkEnd w:id="5"/>
      <w:r>
        <w:rPr>
          <w:color w:val="467886"/>
        </w:rPr>
        <w:t>A.1.iv Solutions:</w:t>
      </w:r>
      <w:r>
        <w:rPr>
          <w:b w:val="0"/>
          <w:color w:val="000000"/>
        </w:rPr>
        <w:t xml:space="preserve"> SSERC will overcome these risks by offering educational training in trusted facilities within LIDAC communities in diverse languages most appropriate for the community. SSERC will prioritize facilities that are easily accessible by public transportation and translate information within toolkits appropriately. Trainers at public facilities will have information on rebates and programs already available to assist low-income households in making improvements.</w:t>
      </w:r>
      <w:r>
        <w:t xml:space="preserve"> </w:t>
      </w:r>
    </w:p>
    <w:p w14:paraId="641EBD90" w14:textId="77777777" w:rsidR="00044CEF" w:rsidRDefault="00044CEF">
      <w:pPr>
        <w:rPr>
          <w:b/>
          <w:sz w:val="22"/>
          <w:szCs w:val="22"/>
        </w:rPr>
      </w:pPr>
    </w:p>
    <w:p w14:paraId="0A5B3367" w14:textId="77777777" w:rsidR="00044CEF" w:rsidRDefault="00000000">
      <w:pPr>
        <w:rPr>
          <w:b/>
          <w:sz w:val="22"/>
          <w:szCs w:val="22"/>
        </w:rPr>
      </w:pPr>
      <w:r>
        <w:rPr>
          <w:b/>
          <w:sz w:val="22"/>
          <w:szCs w:val="22"/>
        </w:rPr>
        <w:t xml:space="preserve">Table 1 — Milestones &amp; Tasks For GHG Reduction Measure #1: Energy Efficiency Education and Tools </w:t>
      </w:r>
    </w:p>
    <w:tbl>
      <w:tblPr>
        <w:tblStyle w:val="a"/>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720"/>
        <w:gridCol w:w="555"/>
        <w:gridCol w:w="435"/>
        <w:gridCol w:w="435"/>
        <w:gridCol w:w="405"/>
        <w:gridCol w:w="405"/>
        <w:gridCol w:w="405"/>
      </w:tblGrid>
      <w:tr w:rsidR="00044CEF" w14:paraId="2BF4E9F3" w14:textId="77777777">
        <w:tc>
          <w:tcPr>
            <w:tcW w:w="6720" w:type="dxa"/>
            <w:shd w:val="clear" w:color="auto" w:fill="CFE2F3"/>
            <w:tcMar>
              <w:top w:w="57" w:type="dxa"/>
              <w:left w:w="57" w:type="dxa"/>
              <w:bottom w:w="57" w:type="dxa"/>
              <w:right w:w="57" w:type="dxa"/>
            </w:tcMar>
            <w:vAlign w:val="center"/>
          </w:tcPr>
          <w:p w14:paraId="67CFB415" w14:textId="77777777" w:rsidR="00044CEF" w:rsidRDefault="00000000">
            <w:pPr>
              <w:widowControl w:val="0"/>
              <w:rPr>
                <w:b/>
                <w:sz w:val="22"/>
                <w:szCs w:val="22"/>
              </w:rPr>
            </w:pPr>
            <w:r>
              <w:rPr>
                <w:b/>
                <w:sz w:val="22"/>
                <w:szCs w:val="22"/>
              </w:rPr>
              <w:t>Milestone/Task</w:t>
            </w:r>
          </w:p>
        </w:tc>
        <w:tc>
          <w:tcPr>
            <w:tcW w:w="555" w:type="dxa"/>
            <w:shd w:val="clear" w:color="auto" w:fill="CFE2F3"/>
            <w:tcMar>
              <w:top w:w="57" w:type="dxa"/>
              <w:left w:w="57" w:type="dxa"/>
              <w:bottom w:w="57" w:type="dxa"/>
              <w:right w:w="57" w:type="dxa"/>
            </w:tcMar>
            <w:vAlign w:val="center"/>
          </w:tcPr>
          <w:p w14:paraId="263C7647" w14:textId="77777777" w:rsidR="00044CEF" w:rsidRDefault="00000000">
            <w:pPr>
              <w:widowControl w:val="0"/>
              <w:jc w:val="center"/>
              <w:rPr>
                <w:b/>
                <w:sz w:val="16"/>
                <w:szCs w:val="16"/>
              </w:rPr>
            </w:pPr>
            <w:r>
              <w:rPr>
                <w:b/>
                <w:sz w:val="16"/>
                <w:szCs w:val="16"/>
              </w:rPr>
              <w:t>Pre-</w:t>
            </w:r>
          </w:p>
          <w:p w14:paraId="789243CD" w14:textId="77777777" w:rsidR="00044CEF" w:rsidRDefault="00000000">
            <w:pPr>
              <w:widowControl w:val="0"/>
              <w:jc w:val="center"/>
              <w:rPr>
                <w:b/>
                <w:sz w:val="16"/>
                <w:szCs w:val="16"/>
              </w:rPr>
            </w:pPr>
            <w:r>
              <w:rPr>
                <w:b/>
                <w:sz w:val="16"/>
                <w:szCs w:val="16"/>
              </w:rPr>
              <w:t>Award</w:t>
            </w:r>
          </w:p>
        </w:tc>
        <w:tc>
          <w:tcPr>
            <w:tcW w:w="435" w:type="dxa"/>
            <w:shd w:val="clear" w:color="auto" w:fill="CFE2F3"/>
            <w:tcMar>
              <w:top w:w="57" w:type="dxa"/>
              <w:left w:w="57" w:type="dxa"/>
              <w:bottom w:w="57" w:type="dxa"/>
              <w:right w:w="57" w:type="dxa"/>
            </w:tcMar>
            <w:vAlign w:val="center"/>
          </w:tcPr>
          <w:p w14:paraId="1E4010A7" w14:textId="77777777" w:rsidR="00044CEF" w:rsidRDefault="00000000">
            <w:pPr>
              <w:widowControl w:val="0"/>
              <w:jc w:val="center"/>
              <w:rPr>
                <w:b/>
                <w:sz w:val="20"/>
                <w:szCs w:val="20"/>
              </w:rPr>
            </w:pPr>
            <w:r>
              <w:rPr>
                <w:b/>
                <w:sz w:val="20"/>
                <w:szCs w:val="20"/>
              </w:rPr>
              <w:t>Y1</w:t>
            </w:r>
          </w:p>
        </w:tc>
        <w:tc>
          <w:tcPr>
            <w:tcW w:w="435" w:type="dxa"/>
            <w:shd w:val="clear" w:color="auto" w:fill="CFE2F3"/>
            <w:tcMar>
              <w:top w:w="57" w:type="dxa"/>
              <w:left w:w="57" w:type="dxa"/>
              <w:bottom w:w="57" w:type="dxa"/>
              <w:right w:w="57" w:type="dxa"/>
            </w:tcMar>
            <w:vAlign w:val="center"/>
          </w:tcPr>
          <w:p w14:paraId="1ACB8FD7" w14:textId="77777777" w:rsidR="00044CEF" w:rsidRDefault="00000000">
            <w:pPr>
              <w:widowControl w:val="0"/>
              <w:jc w:val="center"/>
              <w:rPr>
                <w:b/>
                <w:sz w:val="20"/>
                <w:szCs w:val="20"/>
              </w:rPr>
            </w:pPr>
            <w:r>
              <w:rPr>
                <w:b/>
                <w:sz w:val="20"/>
                <w:szCs w:val="20"/>
              </w:rPr>
              <w:t>Y2</w:t>
            </w:r>
          </w:p>
        </w:tc>
        <w:tc>
          <w:tcPr>
            <w:tcW w:w="405" w:type="dxa"/>
            <w:shd w:val="clear" w:color="auto" w:fill="CFE2F3"/>
            <w:tcMar>
              <w:top w:w="57" w:type="dxa"/>
              <w:left w:w="57" w:type="dxa"/>
              <w:bottom w:w="57" w:type="dxa"/>
              <w:right w:w="57" w:type="dxa"/>
            </w:tcMar>
            <w:vAlign w:val="center"/>
          </w:tcPr>
          <w:p w14:paraId="0E59F54A" w14:textId="77777777" w:rsidR="00044CEF" w:rsidRDefault="00000000">
            <w:pPr>
              <w:widowControl w:val="0"/>
              <w:jc w:val="center"/>
              <w:rPr>
                <w:b/>
                <w:sz w:val="20"/>
                <w:szCs w:val="20"/>
              </w:rPr>
            </w:pPr>
            <w:r>
              <w:rPr>
                <w:b/>
                <w:sz w:val="20"/>
                <w:szCs w:val="20"/>
              </w:rPr>
              <w:t>Y3</w:t>
            </w:r>
          </w:p>
        </w:tc>
        <w:tc>
          <w:tcPr>
            <w:tcW w:w="405" w:type="dxa"/>
            <w:shd w:val="clear" w:color="auto" w:fill="CFE2F3"/>
            <w:tcMar>
              <w:top w:w="57" w:type="dxa"/>
              <w:left w:w="57" w:type="dxa"/>
              <w:bottom w:w="57" w:type="dxa"/>
              <w:right w:w="57" w:type="dxa"/>
            </w:tcMar>
            <w:vAlign w:val="center"/>
          </w:tcPr>
          <w:p w14:paraId="2C23C49E" w14:textId="77777777" w:rsidR="00044CEF" w:rsidRDefault="00000000">
            <w:pPr>
              <w:widowControl w:val="0"/>
              <w:jc w:val="center"/>
              <w:rPr>
                <w:b/>
                <w:sz w:val="20"/>
                <w:szCs w:val="20"/>
              </w:rPr>
            </w:pPr>
            <w:r>
              <w:rPr>
                <w:b/>
                <w:sz w:val="20"/>
                <w:szCs w:val="20"/>
              </w:rPr>
              <w:t>Y4</w:t>
            </w:r>
          </w:p>
        </w:tc>
        <w:tc>
          <w:tcPr>
            <w:tcW w:w="405" w:type="dxa"/>
            <w:shd w:val="clear" w:color="auto" w:fill="CFE2F3"/>
            <w:tcMar>
              <w:top w:w="57" w:type="dxa"/>
              <w:left w:w="57" w:type="dxa"/>
              <w:bottom w:w="57" w:type="dxa"/>
              <w:right w:w="57" w:type="dxa"/>
            </w:tcMar>
            <w:vAlign w:val="center"/>
          </w:tcPr>
          <w:p w14:paraId="733AA5BB" w14:textId="77777777" w:rsidR="00044CEF" w:rsidRDefault="00000000">
            <w:pPr>
              <w:widowControl w:val="0"/>
              <w:jc w:val="center"/>
              <w:rPr>
                <w:b/>
                <w:sz w:val="20"/>
                <w:szCs w:val="20"/>
              </w:rPr>
            </w:pPr>
            <w:r>
              <w:rPr>
                <w:b/>
                <w:sz w:val="20"/>
                <w:szCs w:val="20"/>
              </w:rPr>
              <w:t>Y5</w:t>
            </w:r>
          </w:p>
        </w:tc>
      </w:tr>
      <w:tr w:rsidR="00044CEF" w14:paraId="75568177" w14:textId="77777777">
        <w:trPr>
          <w:trHeight w:val="420"/>
        </w:trPr>
        <w:tc>
          <w:tcPr>
            <w:tcW w:w="9360" w:type="dxa"/>
            <w:gridSpan w:val="7"/>
            <w:shd w:val="clear" w:color="auto" w:fill="CFE2F3"/>
            <w:tcMar>
              <w:top w:w="57" w:type="dxa"/>
              <w:left w:w="57" w:type="dxa"/>
              <w:bottom w:w="57" w:type="dxa"/>
              <w:right w:w="57" w:type="dxa"/>
            </w:tcMar>
          </w:tcPr>
          <w:p w14:paraId="6DBFE238" w14:textId="77777777" w:rsidR="00044CEF" w:rsidRDefault="00000000">
            <w:pPr>
              <w:widowControl w:val="0"/>
              <w:rPr>
                <w:sz w:val="22"/>
                <w:szCs w:val="22"/>
              </w:rPr>
            </w:pPr>
            <w:r>
              <w:rPr>
                <w:b/>
                <w:sz w:val="22"/>
                <w:szCs w:val="22"/>
              </w:rPr>
              <w:t>Milestone 1:</w:t>
            </w:r>
            <w:r>
              <w:rPr>
                <w:sz w:val="22"/>
                <w:szCs w:val="22"/>
              </w:rPr>
              <w:t xml:space="preserve"> Tampa Bay Regional Planning Council (TBRPC) manages the SSERC Project, including grant management and oversight. </w:t>
            </w:r>
          </w:p>
        </w:tc>
      </w:tr>
      <w:tr w:rsidR="00044CEF" w14:paraId="581E3CBD" w14:textId="77777777">
        <w:tc>
          <w:tcPr>
            <w:tcW w:w="6720" w:type="dxa"/>
            <w:shd w:val="clear" w:color="auto" w:fill="auto"/>
            <w:tcMar>
              <w:top w:w="57" w:type="dxa"/>
              <w:left w:w="57" w:type="dxa"/>
              <w:bottom w:w="57" w:type="dxa"/>
              <w:right w:w="57" w:type="dxa"/>
            </w:tcMar>
          </w:tcPr>
          <w:p w14:paraId="12B1AD7E" w14:textId="77777777" w:rsidR="00044CEF" w:rsidRDefault="00000000">
            <w:pPr>
              <w:widowControl w:val="0"/>
              <w:rPr>
                <w:sz w:val="22"/>
                <w:szCs w:val="22"/>
              </w:rPr>
            </w:pPr>
            <w:r>
              <w:rPr>
                <w:sz w:val="22"/>
                <w:szCs w:val="22"/>
              </w:rPr>
              <w:t>Task 1.1 TBRPC project administration team works with Coalition members to complete MOAs by July 1, 2024.</w:t>
            </w:r>
          </w:p>
        </w:tc>
        <w:tc>
          <w:tcPr>
            <w:tcW w:w="555" w:type="dxa"/>
            <w:shd w:val="clear" w:color="auto" w:fill="F4CCCC"/>
            <w:tcMar>
              <w:top w:w="57" w:type="dxa"/>
              <w:left w:w="57" w:type="dxa"/>
              <w:bottom w:w="57" w:type="dxa"/>
              <w:right w:w="57" w:type="dxa"/>
            </w:tcMar>
          </w:tcPr>
          <w:p w14:paraId="4559669B" w14:textId="77777777" w:rsidR="00044CEF" w:rsidRDefault="00044CEF">
            <w:pPr>
              <w:widowControl w:val="0"/>
              <w:rPr>
                <w:sz w:val="20"/>
                <w:szCs w:val="20"/>
              </w:rPr>
            </w:pPr>
          </w:p>
        </w:tc>
        <w:tc>
          <w:tcPr>
            <w:tcW w:w="435" w:type="dxa"/>
            <w:tcMar>
              <w:top w:w="57" w:type="dxa"/>
              <w:left w:w="57" w:type="dxa"/>
              <w:bottom w:w="57" w:type="dxa"/>
              <w:right w:w="57" w:type="dxa"/>
            </w:tcMar>
          </w:tcPr>
          <w:p w14:paraId="11C22C1E" w14:textId="77777777" w:rsidR="00044CEF" w:rsidRDefault="00044CEF">
            <w:pPr>
              <w:widowControl w:val="0"/>
              <w:rPr>
                <w:sz w:val="20"/>
                <w:szCs w:val="20"/>
              </w:rPr>
            </w:pPr>
          </w:p>
        </w:tc>
        <w:tc>
          <w:tcPr>
            <w:tcW w:w="435" w:type="dxa"/>
            <w:shd w:val="clear" w:color="auto" w:fill="auto"/>
            <w:tcMar>
              <w:top w:w="57" w:type="dxa"/>
              <w:left w:w="57" w:type="dxa"/>
              <w:bottom w:w="57" w:type="dxa"/>
              <w:right w:w="57" w:type="dxa"/>
            </w:tcMar>
          </w:tcPr>
          <w:p w14:paraId="61232C46" w14:textId="77777777" w:rsidR="00044CEF" w:rsidRDefault="00044CEF">
            <w:pPr>
              <w:widowControl w:val="0"/>
              <w:rPr>
                <w:sz w:val="20"/>
                <w:szCs w:val="20"/>
              </w:rPr>
            </w:pPr>
          </w:p>
        </w:tc>
        <w:tc>
          <w:tcPr>
            <w:tcW w:w="405" w:type="dxa"/>
            <w:shd w:val="clear" w:color="auto" w:fill="auto"/>
            <w:tcMar>
              <w:top w:w="57" w:type="dxa"/>
              <w:left w:w="57" w:type="dxa"/>
              <w:bottom w:w="57" w:type="dxa"/>
              <w:right w:w="57" w:type="dxa"/>
            </w:tcMar>
          </w:tcPr>
          <w:p w14:paraId="1D666E2C" w14:textId="77777777" w:rsidR="00044CEF" w:rsidRDefault="00044CEF">
            <w:pPr>
              <w:widowControl w:val="0"/>
              <w:rPr>
                <w:sz w:val="20"/>
                <w:szCs w:val="20"/>
              </w:rPr>
            </w:pPr>
          </w:p>
        </w:tc>
        <w:tc>
          <w:tcPr>
            <w:tcW w:w="405" w:type="dxa"/>
            <w:shd w:val="clear" w:color="auto" w:fill="auto"/>
            <w:tcMar>
              <w:top w:w="57" w:type="dxa"/>
              <w:left w:w="57" w:type="dxa"/>
              <w:bottom w:w="57" w:type="dxa"/>
              <w:right w:w="57" w:type="dxa"/>
            </w:tcMar>
          </w:tcPr>
          <w:p w14:paraId="7D9D414F" w14:textId="77777777" w:rsidR="00044CEF" w:rsidRDefault="00044CEF">
            <w:pPr>
              <w:widowControl w:val="0"/>
              <w:rPr>
                <w:sz w:val="20"/>
                <w:szCs w:val="20"/>
              </w:rPr>
            </w:pPr>
          </w:p>
        </w:tc>
        <w:tc>
          <w:tcPr>
            <w:tcW w:w="405" w:type="dxa"/>
            <w:shd w:val="clear" w:color="auto" w:fill="auto"/>
            <w:tcMar>
              <w:top w:w="57" w:type="dxa"/>
              <w:left w:w="57" w:type="dxa"/>
              <w:bottom w:w="57" w:type="dxa"/>
              <w:right w:w="57" w:type="dxa"/>
            </w:tcMar>
          </w:tcPr>
          <w:p w14:paraId="14DF5DCD" w14:textId="77777777" w:rsidR="00044CEF" w:rsidRDefault="00044CEF">
            <w:pPr>
              <w:widowControl w:val="0"/>
              <w:rPr>
                <w:sz w:val="20"/>
                <w:szCs w:val="20"/>
              </w:rPr>
            </w:pPr>
          </w:p>
        </w:tc>
      </w:tr>
      <w:tr w:rsidR="00044CEF" w14:paraId="10EF743A" w14:textId="77777777">
        <w:tc>
          <w:tcPr>
            <w:tcW w:w="6720" w:type="dxa"/>
            <w:shd w:val="clear" w:color="auto" w:fill="auto"/>
            <w:tcMar>
              <w:top w:w="57" w:type="dxa"/>
              <w:left w:w="57" w:type="dxa"/>
              <w:bottom w:w="57" w:type="dxa"/>
              <w:right w:w="57" w:type="dxa"/>
            </w:tcMar>
          </w:tcPr>
          <w:p w14:paraId="1B0D1280" w14:textId="77777777" w:rsidR="00044CEF" w:rsidRDefault="00000000">
            <w:pPr>
              <w:widowControl w:val="0"/>
              <w:rPr>
                <w:sz w:val="22"/>
                <w:szCs w:val="22"/>
              </w:rPr>
            </w:pPr>
            <w:r>
              <w:rPr>
                <w:sz w:val="22"/>
                <w:szCs w:val="22"/>
              </w:rPr>
              <w:t xml:space="preserve">Task 1.2: TBRPC project team will set up internal accounting, subaward, and reporting protocols by September 2024. </w:t>
            </w:r>
          </w:p>
        </w:tc>
        <w:tc>
          <w:tcPr>
            <w:tcW w:w="555" w:type="dxa"/>
            <w:shd w:val="clear" w:color="auto" w:fill="F4CCCC"/>
            <w:tcMar>
              <w:top w:w="57" w:type="dxa"/>
              <w:left w:w="57" w:type="dxa"/>
              <w:bottom w:w="57" w:type="dxa"/>
              <w:right w:w="57" w:type="dxa"/>
            </w:tcMar>
          </w:tcPr>
          <w:p w14:paraId="5F8B8B4B" w14:textId="77777777" w:rsidR="00044CEF" w:rsidRDefault="00044CEF">
            <w:pPr>
              <w:widowControl w:val="0"/>
              <w:rPr>
                <w:sz w:val="20"/>
                <w:szCs w:val="20"/>
              </w:rPr>
            </w:pPr>
          </w:p>
        </w:tc>
        <w:tc>
          <w:tcPr>
            <w:tcW w:w="435" w:type="dxa"/>
            <w:tcMar>
              <w:top w:w="57" w:type="dxa"/>
              <w:left w:w="57" w:type="dxa"/>
              <w:bottom w:w="57" w:type="dxa"/>
              <w:right w:w="57" w:type="dxa"/>
            </w:tcMar>
          </w:tcPr>
          <w:p w14:paraId="076BB170" w14:textId="77777777" w:rsidR="00044CEF" w:rsidRDefault="00044CEF">
            <w:pPr>
              <w:widowControl w:val="0"/>
              <w:rPr>
                <w:sz w:val="20"/>
                <w:szCs w:val="20"/>
              </w:rPr>
            </w:pPr>
          </w:p>
        </w:tc>
        <w:tc>
          <w:tcPr>
            <w:tcW w:w="435" w:type="dxa"/>
            <w:shd w:val="clear" w:color="auto" w:fill="auto"/>
            <w:tcMar>
              <w:top w:w="57" w:type="dxa"/>
              <w:left w:w="57" w:type="dxa"/>
              <w:bottom w:w="57" w:type="dxa"/>
              <w:right w:w="57" w:type="dxa"/>
            </w:tcMar>
          </w:tcPr>
          <w:p w14:paraId="4982CC76" w14:textId="77777777" w:rsidR="00044CEF" w:rsidRDefault="00044CEF">
            <w:pPr>
              <w:widowControl w:val="0"/>
              <w:rPr>
                <w:sz w:val="20"/>
                <w:szCs w:val="20"/>
              </w:rPr>
            </w:pPr>
          </w:p>
        </w:tc>
        <w:tc>
          <w:tcPr>
            <w:tcW w:w="405" w:type="dxa"/>
            <w:shd w:val="clear" w:color="auto" w:fill="auto"/>
            <w:tcMar>
              <w:top w:w="57" w:type="dxa"/>
              <w:left w:w="57" w:type="dxa"/>
              <w:bottom w:w="57" w:type="dxa"/>
              <w:right w:w="57" w:type="dxa"/>
            </w:tcMar>
          </w:tcPr>
          <w:p w14:paraId="39EA9C3D" w14:textId="77777777" w:rsidR="00044CEF" w:rsidRDefault="00044CEF">
            <w:pPr>
              <w:widowControl w:val="0"/>
              <w:rPr>
                <w:sz w:val="20"/>
                <w:szCs w:val="20"/>
              </w:rPr>
            </w:pPr>
          </w:p>
        </w:tc>
        <w:tc>
          <w:tcPr>
            <w:tcW w:w="405" w:type="dxa"/>
            <w:shd w:val="clear" w:color="auto" w:fill="auto"/>
            <w:tcMar>
              <w:top w:w="57" w:type="dxa"/>
              <w:left w:w="57" w:type="dxa"/>
              <w:bottom w:w="57" w:type="dxa"/>
              <w:right w:w="57" w:type="dxa"/>
            </w:tcMar>
          </w:tcPr>
          <w:p w14:paraId="7878B409" w14:textId="77777777" w:rsidR="00044CEF" w:rsidRDefault="00044CEF">
            <w:pPr>
              <w:widowControl w:val="0"/>
              <w:rPr>
                <w:sz w:val="20"/>
                <w:szCs w:val="20"/>
              </w:rPr>
            </w:pPr>
          </w:p>
        </w:tc>
        <w:tc>
          <w:tcPr>
            <w:tcW w:w="405" w:type="dxa"/>
            <w:shd w:val="clear" w:color="auto" w:fill="auto"/>
            <w:tcMar>
              <w:top w:w="57" w:type="dxa"/>
              <w:left w:w="57" w:type="dxa"/>
              <w:bottom w:w="57" w:type="dxa"/>
              <w:right w:w="57" w:type="dxa"/>
            </w:tcMar>
          </w:tcPr>
          <w:p w14:paraId="499FC258" w14:textId="77777777" w:rsidR="00044CEF" w:rsidRDefault="00044CEF">
            <w:pPr>
              <w:widowControl w:val="0"/>
              <w:rPr>
                <w:sz w:val="20"/>
                <w:szCs w:val="20"/>
              </w:rPr>
            </w:pPr>
          </w:p>
        </w:tc>
      </w:tr>
      <w:tr w:rsidR="00044CEF" w14:paraId="47ABEBDD" w14:textId="77777777">
        <w:tc>
          <w:tcPr>
            <w:tcW w:w="6720" w:type="dxa"/>
            <w:shd w:val="clear" w:color="auto" w:fill="auto"/>
            <w:tcMar>
              <w:top w:w="57" w:type="dxa"/>
              <w:left w:w="57" w:type="dxa"/>
              <w:bottom w:w="57" w:type="dxa"/>
              <w:right w:w="57" w:type="dxa"/>
            </w:tcMar>
          </w:tcPr>
          <w:p w14:paraId="4D4A88C5" w14:textId="77777777" w:rsidR="00044CEF" w:rsidRDefault="00000000">
            <w:pPr>
              <w:widowControl w:val="0"/>
              <w:rPr>
                <w:sz w:val="22"/>
                <w:szCs w:val="22"/>
              </w:rPr>
            </w:pPr>
            <w:r>
              <w:rPr>
                <w:sz w:val="22"/>
                <w:szCs w:val="22"/>
              </w:rPr>
              <w:t>Task 1.3 TBRPC signs grant agreement with U.S. EPA by October 2024</w:t>
            </w:r>
          </w:p>
        </w:tc>
        <w:tc>
          <w:tcPr>
            <w:tcW w:w="555" w:type="dxa"/>
            <w:shd w:val="clear" w:color="auto" w:fill="auto"/>
            <w:tcMar>
              <w:top w:w="57" w:type="dxa"/>
              <w:left w:w="57" w:type="dxa"/>
              <w:bottom w:w="57" w:type="dxa"/>
              <w:right w:w="57" w:type="dxa"/>
            </w:tcMar>
          </w:tcPr>
          <w:p w14:paraId="3F6DD425" w14:textId="77777777" w:rsidR="00044CEF" w:rsidRDefault="00044CEF">
            <w:pPr>
              <w:widowControl w:val="0"/>
              <w:rPr>
                <w:sz w:val="20"/>
                <w:szCs w:val="20"/>
              </w:rPr>
            </w:pPr>
          </w:p>
        </w:tc>
        <w:tc>
          <w:tcPr>
            <w:tcW w:w="435" w:type="dxa"/>
            <w:shd w:val="clear" w:color="auto" w:fill="F4CCCC"/>
            <w:tcMar>
              <w:top w:w="57" w:type="dxa"/>
              <w:left w:w="57" w:type="dxa"/>
              <w:bottom w:w="57" w:type="dxa"/>
              <w:right w:w="57" w:type="dxa"/>
            </w:tcMar>
          </w:tcPr>
          <w:p w14:paraId="73705C77" w14:textId="77777777" w:rsidR="00044CEF" w:rsidRDefault="00044CEF">
            <w:pPr>
              <w:widowControl w:val="0"/>
              <w:rPr>
                <w:sz w:val="20"/>
                <w:szCs w:val="20"/>
              </w:rPr>
            </w:pPr>
          </w:p>
        </w:tc>
        <w:tc>
          <w:tcPr>
            <w:tcW w:w="435" w:type="dxa"/>
            <w:shd w:val="clear" w:color="auto" w:fill="auto"/>
            <w:tcMar>
              <w:top w:w="57" w:type="dxa"/>
              <w:left w:w="57" w:type="dxa"/>
              <w:bottom w:w="57" w:type="dxa"/>
              <w:right w:w="57" w:type="dxa"/>
            </w:tcMar>
          </w:tcPr>
          <w:p w14:paraId="389836F2" w14:textId="77777777" w:rsidR="00044CEF" w:rsidRDefault="00044CEF">
            <w:pPr>
              <w:widowControl w:val="0"/>
              <w:rPr>
                <w:sz w:val="20"/>
                <w:szCs w:val="20"/>
              </w:rPr>
            </w:pPr>
          </w:p>
        </w:tc>
        <w:tc>
          <w:tcPr>
            <w:tcW w:w="405" w:type="dxa"/>
            <w:shd w:val="clear" w:color="auto" w:fill="auto"/>
            <w:tcMar>
              <w:top w:w="57" w:type="dxa"/>
              <w:left w:w="57" w:type="dxa"/>
              <w:bottom w:w="57" w:type="dxa"/>
              <w:right w:w="57" w:type="dxa"/>
            </w:tcMar>
          </w:tcPr>
          <w:p w14:paraId="4280A32D" w14:textId="77777777" w:rsidR="00044CEF" w:rsidRDefault="00044CEF">
            <w:pPr>
              <w:widowControl w:val="0"/>
              <w:rPr>
                <w:sz w:val="20"/>
                <w:szCs w:val="20"/>
              </w:rPr>
            </w:pPr>
          </w:p>
        </w:tc>
        <w:tc>
          <w:tcPr>
            <w:tcW w:w="405" w:type="dxa"/>
            <w:shd w:val="clear" w:color="auto" w:fill="auto"/>
            <w:tcMar>
              <w:top w:w="57" w:type="dxa"/>
              <w:left w:w="57" w:type="dxa"/>
              <w:bottom w:w="57" w:type="dxa"/>
              <w:right w:w="57" w:type="dxa"/>
            </w:tcMar>
          </w:tcPr>
          <w:p w14:paraId="5C00D734" w14:textId="77777777" w:rsidR="00044CEF" w:rsidRDefault="00044CEF">
            <w:pPr>
              <w:widowControl w:val="0"/>
              <w:rPr>
                <w:sz w:val="20"/>
                <w:szCs w:val="20"/>
              </w:rPr>
            </w:pPr>
          </w:p>
        </w:tc>
        <w:tc>
          <w:tcPr>
            <w:tcW w:w="405" w:type="dxa"/>
            <w:shd w:val="clear" w:color="auto" w:fill="auto"/>
            <w:tcMar>
              <w:top w:w="57" w:type="dxa"/>
              <w:left w:w="57" w:type="dxa"/>
              <w:bottom w:w="57" w:type="dxa"/>
              <w:right w:w="57" w:type="dxa"/>
            </w:tcMar>
          </w:tcPr>
          <w:p w14:paraId="274CC846" w14:textId="77777777" w:rsidR="00044CEF" w:rsidRDefault="00044CEF">
            <w:pPr>
              <w:widowControl w:val="0"/>
              <w:rPr>
                <w:sz w:val="20"/>
                <w:szCs w:val="20"/>
              </w:rPr>
            </w:pPr>
          </w:p>
        </w:tc>
      </w:tr>
      <w:tr w:rsidR="00044CEF" w14:paraId="14990942" w14:textId="77777777">
        <w:tc>
          <w:tcPr>
            <w:tcW w:w="6720" w:type="dxa"/>
            <w:shd w:val="clear" w:color="auto" w:fill="auto"/>
            <w:tcMar>
              <w:top w:w="57" w:type="dxa"/>
              <w:left w:w="57" w:type="dxa"/>
              <w:bottom w:w="57" w:type="dxa"/>
              <w:right w:w="57" w:type="dxa"/>
            </w:tcMar>
          </w:tcPr>
          <w:p w14:paraId="29844D3C" w14:textId="77777777" w:rsidR="00044CEF" w:rsidRDefault="00000000">
            <w:pPr>
              <w:widowControl w:val="0"/>
              <w:rPr>
                <w:sz w:val="22"/>
                <w:szCs w:val="22"/>
              </w:rPr>
            </w:pPr>
            <w:r>
              <w:rPr>
                <w:sz w:val="22"/>
                <w:szCs w:val="22"/>
              </w:rPr>
              <w:t xml:space="preserve">Task 1.4: TBRPC reassigns the existing Senior Planner and Director of Resiliency to the SSERC Project and hires a Program Manager, Communications Manager, and Administrative Assistant by </w:t>
            </w:r>
            <w:proofErr w:type="gramStart"/>
            <w:r>
              <w:rPr>
                <w:sz w:val="22"/>
                <w:szCs w:val="22"/>
              </w:rPr>
              <w:t>November  2024</w:t>
            </w:r>
            <w:proofErr w:type="gramEnd"/>
            <w:r>
              <w:rPr>
                <w:sz w:val="22"/>
                <w:szCs w:val="22"/>
              </w:rPr>
              <w:t xml:space="preserve">. </w:t>
            </w:r>
          </w:p>
        </w:tc>
        <w:tc>
          <w:tcPr>
            <w:tcW w:w="555" w:type="dxa"/>
            <w:shd w:val="clear" w:color="auto" w:fill="auto"/>
            <w:tcMar>
              <w:top w:w="57" w:type="dxa"/>
              <w:left w:w="57" w:type="dxa"/>
              <w:bottom w:w="57" w:type="dxa"/>
              <w:right w:w="57" w:type="dxa"/>
            </w:tcMar>
          </w:tcPr>
          <w:p w14:paraId="5393C95E" w14:textId="77777777" w:rsidR="00044CEF" w:rsidRDefault="00044CEF">
            <w:pPr>
              <w:widowControl w:val="0"/>
              <w:rPr>
                <w:sz w:val="20"/>
                <w:szCs w:val="20"/>
              </w:rPr>
            </w:pPr>
          </w:p>
        </w:tc>
        <w:tc>
          <w:tcPr>
            <w:tcW w:w="435" w:type="dxa"/>
            <w:shd w:val="clear" w:color="auto" w:fill="F4CCCC"/>
            <w:tcMar>
              <w:top w:w="57" w:type="dxa"/>
              <w:left w:w="57" w:type="dxa"/>
              <w:bottom w:w="57" w:type="dxa"/>
              <w:right w:w="57" w:type="dxa"/>
            </w:tcMar>
          </w:tcPr>
          <w:p w14:paraId="67A0FB6E" w14:textId="77777777" w:rsidR="00044CEF" w:rsidRDefault="00044CEF">
            <w:pPr>
              <w:widowControl w:val="0"/>
              <w:rPr>
                <w:sz w:val="20"/>
                <w:szCs w:val="20"/>
              </w:rPr>
            </w:pPr>
          </w:p>
        </w:tc>
        <w:tc>
          <w:tcPr>
            <w:tcW w:w="435" w:type="dxa"/>
            <w:shd w:val="clear" w:color="auto" w:fill="auto"/>
            <w:tcMar>
              <w:top w:w="57" w:type="dxa"/>
              <w:left w:w="57" w:type="dxa"/>
              <w:bottom w:w="57" w:type="dxa"/>
              <w:right w:w="57" w:type="dxa"/>
            </w:tcMar>
          </w:tcPr>
          <w:p w14:paraId="25DA9476" w14:textId="77777777" w:rsidR="00044CEF" w:rsidRDefault="00044CEF">
            <w:pPr>
              <w:widowControl w:val="0"/>
              <w:rPr>
                <w:sz w:val="20"/>
                <w:szCs w:val="20"/>
              </w:rPr>
            </w:pPr>
          </w:p>
        </w:tc>
        <w:tc>
          <w:tcPr>
            <w:tcW w:w="405" w:type="dxa"/>
            <w:shd w:val="clear" w:color="auto" w:fill="auto"/>
            <w:tcMar>
              <w:top w:w="57" w:type="dxa"/>
              <w:left w:w="57" w:type="dxa"/>
              <w:bottom w:w="57" w:type="dxa"/>
              <w:right w:w="57" w:type="dxa"/>
            </w:tcMar>
          </w:tcPr>
          <w:p w14:paraId="4D7E431D" w14:textId="77777777" w:rsidR="00044CEF" w:rsidRDefault="00044CEF">
            <w:pPr>
              <w:widowControl w:val="0"/>
              <w:rPr>
                <w:sz w:val="20"/>
                <w:szCs w:val="20"/>
              </w:rPr>
            </w:pPr>
          </w:p>
        </w:tc>
        <w:tc>
          <w:tcPr>
            <w:tcW w:w="405" w:type="dxa"/>
            <w:shd w:val="clear" w:color="auto" w:fill="auto"/>
            <w:tcMar>
              <w:top w:w="57" w:type="dxa"/>
              <w:left w:w="57" w:type="dxa"/>
              <w:bottom w:w="57" w:type="dxa"/>
              <w:right w:w="57" w:type="dxa"/>
            </w:tcMar>
          </w:tcPr>
          <w:p w14:paraId="7FE19DFA" w14:textId="77777777" w:rsidR="00044CEF" w:rsidRDefault="00044CEF">
            <w:pPr>
              <w:widowControl w:val="0"/>
              <w:rPr>
                <w:sz w:val="20"/>
                <w:szCs w:val="20"/>
              </w:rPr>
            </w:pPr>
          </w:p>
        </w:tc>
        <w:tc>
          <w:tcPr>
            <w:tcW w:w="405" w:type="dxa"/>
            <w:shd w:val="clear" w:color="auto" w:fill="auto"/>
            <w:tcMar>
              <w:top w:w="57" w:type="dxa"/>
              <w:left w:w="57" w:type="dxa"/>
              <w:bottom w:w="57" w:type="dxa"/>
              <w:right w:w="57" w:type="dxa"/>
            </w:tcMar>
          </w:tcPr>
          <w:p w14:paraId="0D7675FC" w14:textId="77777777" w:rsidR="00044CEF" w:rsidRDefault="00044CEF">
            <w:pPr>
              <w:widowControl w:val="0"/>
              <w:rPr>
                <w:sz w:val="20"/>
                <w:szCs w:val="20"/>
              </w:rPr>
            </w:pPr>
          </w:p>
        </w:tc>
      </w:tr>
      <w:tr w:rsidR="00044CEF" w14:paraId="4B132592" w14:textId="77777777">
        <w:tc>
          <w:tcPr>
            <w:tcW w:w="6720" w:type="dxa"/>
            <w:shd w:val="clear" w:color="auto" w:fill="auto"/>
            <w:tcMar>
              <w:top w:w="57" w:type="dxa"/>
              <w:left w:w="57" w:type="dxa"/>
              <w:bottom w:w="57" w:type="dxa"/>
              <w:right w:w="57" w:type="dxa"/>
            </w:tcMar>
          </w:tcPr>
          <w:p w14:paraId="4E04F21B" w14:textId="77777777" w:rsidR="00044CEF" w:rsidRDefault="00000000">
            <w:pPr>
              <w:widowControl w:val="0"/>
              <w:rPr>
                <w:sz w:val="22"/>
                <w:szCs w:val="22"/>
              </w:rPr>
            </w:pPr>
            <w:r>
              <w:rPr>
                <w:sz w:val="22"/>
                <w:szCs w:val="22"/>
              </w:rPr>
              <w:t xml:space="preserve">Task 1.5: TBRPC signs agreements with MSA Leads by November 2024. </w:t>
            </w:r>
          </w:p>
        </w:tc>
        <w:tc>
          <w:tcPr>
            <w:tcW w:w="555" w:type="dxa"/>
            <w:shd w:val="clear" w:color="auto" w:fill="auto"/>
            <w:tcMar>
              <w:top w:w="57" w:type="dxa"/>
              <w:left w:w="57" w:type="dxa"/>
              <w:bottom w:w="57" w:type="dxa"/>
              <w:right w:w="57" w:type="dxa"/>
            </w:tcMar>
          </w:tcPr>
          <w:p w14:paraId="2EC8DA70" w14:textId="77777777" w:rsidR="00044CEF" w:rsidRDefault="00044CEF">
            <w:pPr>
              <w:widowControl w:val="0"/>
              <w:rPr>
                <w:sz w:val="20"/>
                <w:szCs w:val="20"/>
              </w:rPr>
            </w:pPr>
          </w:p>
        </w:tc>
        <w:tc>
          <w:tcPr>
            <w:tcW w:w="435" w:type="dxa"/>
            <w:shd w:val="clear" w:color="auto" w:fill="F4CCCC"/>
            <w:tcMar>
              <w:top w:w="57" w:type="dxa"/>
              <w:left w:w="57" w:type="dxa"/>
              <w:bottom w:w="57" w:type="dxa"/>
              <w:right w:w="57" w:type="dxa"/>
            </w:tcMar>
          </w:tcPr>
          <w:p w14:paraId="6A70D25A" w14:textId="77777777" w:rsidR="00044CEF" w:rsidRDefault="00044CEF">
            <w:pPr>
              <w:widowControl w:val="0"/>
              <w:rPr>
                <w:sz w:val="20"/>
                <w:szCs w:val="20"/>
              </w:rPr>
            </w:pPr>
          </w:p>
        </w:tc>
        <w:tc>
          <w:tcPr>
            <w:tcW w:w="435" w:type="dxa"/>
            <w:shd w:val="clear" w:color="auto" w:fill="auto"/>
            <w:tcMar>
              <w:top w:w="57" w:type="dxa"/>
              <w:left w:w="57" w:type="dxa"/>
              <w:bottom w:w="57" w:type="dxa"/>
              <w:right w:w="57" w:type="dxa"/>
            </w:tcMar>
          </w:tcPr>
          <w:p w14:paraId="0542B478" w14:textId="77777777" w:rsidR="00044CEF" w:rsidRDefault="00044CEF">
            <w:pPr>
              <w:widowControl w:val="0"/>
              <w:rPr>
                <w:sz w:val="20"/>
                <w:szCs w:val="20"/>
              </w:rPr>
            </w:pPr>
          </w:p>
        </w:tc>
        <w:tc>
          <w:tcPr>
            <w:tcW w:w="405" w:type="dxa"/>
            <w:shd w:val="clear" w:color="auto" w:fill="auto"/>
            <w:tcMar>
              <w:top w:w="57" w:type="dxa"/>
              <w:left w:w="57" w:type="dxa"/>
              <w:bottom w:w="57" w:type="dxa"/>
              <w:right w:w="57" w:type="dxa"/>
            </w:tcMar>
          </w:tcPr>
          <w:p w14:paraId="6B12170A" w14:textId="77777777" w:rsidR="00044CEF" w:rsidRDefault="00044CEF">
            <w:pPr>
              <w:widowControl w:val="0"/>
              <w:rPr>
                <w:sz w:val="20"/>
                <w:szCs w:val="20"/>
              </w:rPr>
            </w:pPr>
          </w:p>
        </w:tc>
        <w:tc>
          <w:tcPr>
            <w:tcW w:w="405" w:type="dxa"/>
            <w:shd w:val="clear" w:color="auto" w:fill="auto"/>
            <w:tcMar>
              <w:top w:w="57" w:type="dxa"/>
              <w:left w:w="57" w:type="dxa"/>
              <w:bottom w:w="57" w:type="dxa"/>
              <w:right w:w="57" w:type="dxa"/>
            </w:tcMar>
          </w:tcPr>
          <w:p w14:paraId="300AC45C" w14:textId="77777777" w:rsidR="00044CEF" w:rsidRDefault="00044CEF">
            <w:pPr>
              <w:widowControl w:val="0"/>
              <w:rPr>
                <w:sz w:val="20"/>
                <w:szCs w:val="20"/>
              </w:rPr>
            </w:pPr>
          </w:p>
        </w:tc>
        <w:tc>
          <w:tcPr>
            <w:tcW w:w="405" w:type="dxa"/>
            <w:shd w:val="clear" w:color="auto" w:fill="auto"/>
            <w:tcMar>
              <w:top w:w="57" w:type="dxa"/>
              <w:left w:w="57" w:type="dxa"/>
              <w:bottom w:w="57" w:type="dxa"/>
              <w:right w:w="57" w:type="dxa"/>
            </w:tcMar>
          </w:tcPr>
          <w:p w14:paraId="281BBC4A" w14:textId="77777777" w:rsidR="00044CEF" w:rsidRDefault="00044CEF">
            <w:pPr>
              <w:widowControl w:val="0"/>
              <w:rPr>
                <w:sz w:val="20"/>
                <w:szCs w:val="20"/>
              </w:rPr>
            </w:pPr>
          </w:p>
        </w:tc>
      </w:tr>
      <w:tr w:rsidR="00044CEF" w14:paraId="69D61722" w14:textId="77777777">
        <w:tc>
          <w:tcPr>
            <w:tcW w:w="6720" w:type="dxa"/>
            <w:shd w:val="clear" w:color="auto" w:fill="auto"/>
            <w:tcMar>
              <w:top w:w="57" w:type="dxa"/>
              <w:left w:w="57" w:type="dxa"/>
              <w:bottom w:w="57" w:type="dxa"/>
              <w:right w:w="57" w:type="dxa"/>
            </w:tcMar>
          </w:tcPr>
          <w:p w14:paraId="38951ED7" w14:textId="77777777" w:rsidR="00044CEF" w:rsidRDefault="00000000">
            <w:pPr>
              <w:widowControl w:val="0"/>
              <w:rPr>
                <w:sz w:val="22"/>
                <w:szCs w:val="22"/>
              </w:rPr>
            </w:pPr>
            <w:r>
              <w:rPr>
                <w:sz w:val="22"/>
                <w:szCs w:val="22"/>
              </w:rPr>
              <w:t xml:space="preserve">Task 1.6: Coalition members hire project management and outreach staff by December 2024. </w:t>
            </w:r>
          </w:p>
        </w:tc>
        <w:tc>
          <w:tcPr>
            <w:tcW w:w="555" w:type="dxa"/>
            <w:shd w:val="clear" w:color="auto" w:fill="auto"/>
            <w:tcMar>
              <w:top w:w="57" w:type="dxa"/>
              <w:left w:w="57" w:type="dxa"/>
              <w:bottom w:w="57" w:type="dxa"/>
              <w:right w:w="57" w:type="dxa"/>
            </w:tcMar>
          </w:tcPr>
          <w:p w14:paraId="4BCCFEEA" w14:textId="77777777" w:rsidR="00044CEF" w:rsidRDefault="00044CEF">
            <w:pPr>
              <w:widowControl w:val="0"/>
              <w:rPr>
                <w:sz w:val="20"/>
                <w:szCs w:val="20"/>
              </w:rPr>
            </w:pPr>
          </w:p>
        </w:tc>
        <w:tc>
          <w:tcPr>
            <w:tcW w:w="435" w:type="dxa"/>
            <w:shd w:val="clear" w:color="auto" w:fill="F4CCCC"/>
            <w:tcMar>
              <w:top w:w="57" w:type="dxa"/>
              <w:left w:w="57" w:type="dxa"/>
              <w:bottom w:w="57" w:type="dxa"/>
              <w:right w:w="57" w:type="dxa"/>
            </w:tcMar>
          </w:tcPr>
          <w:p w14:paraId="125C2490" w14:textId="77777777" w:rsidR="00044CEF" w:rsidRDefault="00044CEF">
            <w:pPr>
              <w:widowControl w:val="0"/>
              <w:rPr>
                <w:sz w:val="20"/>
                <w:szCs w:val="20"/>
              </w:rPr>
            </w:pPr>
          </w:p>
        </w:tc>
        <w:tc>
          <w:tcPr>
            <w:tcW w:w="435" w:type="dxa"/>
            <w:shd w:val="clear" w:color="auto" w:fill="auto"/>
            <w:tcMar>
              <w:top w:w="57" w:type="dxa"/>
              <w:left w:w="57" w:type="dxa"/>
              <w:bottom w:w="57" w:type="dxa"/>
              <w:right w:w="57" w:type="dxa"/>
            </w:tcMar>
          </w:tcPr>
          <w:p w14:paraId="73F35BB6" w14:textId="77777777" w:rsidR="00044CEF" w:rsidRDefault="00044CEF">
            <w:pPr>
              <w:widowControl w:val="0"/>
              <w:rPr>
                <w:sz w:val="20"/>
                <w:szCs w:val="20"/>
              </w:rPr>
            </w:pPr>
          </w:p>
        </w:tc>
        <w:tc>
          <w:tcPr>
            <w:tcW w:w="405" w:type="dxa"/>
            <w:shd w:val="clear" w:color="auto" w:fill="auto"/>
            <w:tcMar>
              <w:top w:w="57" w:type="dxa"/>
              <w:left w:w="57" w:type="dxa"/>
              <w:bottom w:w="57" w:type="dxa"/>
              <w:right w:w="57" w:type="dxa"/>
            </w:tcMar>
          </w:tcPr>
          <w:p w14:paraId="5A12462F" w14:textId="77777777" w:rsidR="00044CEF" w:rsidRDefault="00044CEF">
            <w:pPr>
              <w:widowControl w:val="0"/>
              <w:rPr>
                <w:sz w:val="20"/>
                <w:szCs w:val="20"/>
              </w:rPr>
            </w:pPr>
          </w:p>
        </w:tc>
        <w:tc>
          <w:tcPr>
            <w:tcW w:w="405" w:type="dxa"/>
            <w:shd w:val="clear" w:color="auto" w:fill="auto"/>
            <w:tcMar>
              <w:top w:w="57" w:type="dxa"/>
              <w:left w:w="57" w:type="dxa"/>
              <w:bottom w:w="57" w:type="dxa"/>
              <w:right w:w="57" w:type="dxa"/>
            </w:tcMar>
          </w:tcPr>
          <w:p w14:paraId="0A1B56AA" w14:textId="77777777" w:rsidR="00044CEF" w:rsidRDefault="00044CEF">
            <w:pPr>
              <w:widowControl w:val="0"/>
              <w:rPr>
                <w:sz w:val="20"/>
                <w:szCs w:val="20"/>
              </w:rPr>
            </w:pPr>
          </w:p>
        </w:tc>
        <w:tc>
          <w:tcPr>
            <w:tcW w:w="405" w:type="dxa"/>
            <w:shd w:val="clear" w:color="auto" w:fill="auto"/>
            <w:tcMar>
              <w:top w:w="57" w:type="dxa"/>
              <w:left w:w="57" w:type="dxa"/>
              <w:bottom w:w="57" w:type="dxa"/>
              <w:right w:w="57" w:type="dxa"/>
            </w:tcMar>
          </w:tcPr>
          <w:p w14:paraId="55D86636" w14:textId="77777777" w:rsidR="00044CEF" w:rsidRDefault="00044CEF">
            <w:pPr>
              <w:widowControl w:val="0"/>
              <w:rPr>
                <w:sz w:val="20"/>
                <w:szCs w:val="20"/>
              </w:rPr>
            </w:pPr>
          </w:p>
        </w:tc>
      </w:tr>
      <w:tr w:rsidR="00044CEF" w14:paraId="1A83CD1F" w14:textId="77777777">
        <w:tc>
          <w:tcPr>
            <w:tcW w:w="6720" w:type="dxa"/>
            <w:shd w:val="clear" w:color="auto" w:fill="auto"/>
            <w:tcMar>
              <w:top w:w="57" w:type="dxa"/>
              <w:left w:w="57" w:type="dxa"/>
              <w:bottom w:w="57" w:type="dxa"/>
              <w:right w:w="57" w:type="dxa"/>
            </w:tcMar>
          </w:tcPr>
          <w:p w14:paraId="5542544F" w14:textId="77777777" w:rsidR="00044CEF" w:rsidRDefault="00000000">
            <w:pPr>
              <w:widowControl w:val="0"/>
              <w:rPr>
                <w:sz w:val="22"/>
                <w:szCs w:val="22"/>
              </w:rPr>
            </w:pPr>
            <w:r>
              <w:rPr>
                <w:sz w:val="22"/>
                <w:szCs w:val="22"/>
              </w:rPr>
              <w:t xml:space="preserve">Task 1.7 MSA Leads and TBRPC sign agreements with </w:t>
            </w:r>
            <w:proofErr w:type="spellStart"/>
            <w:r>
              <w:rPr>
                <w:sz w:val="22"/>
                <w:szCs w:val="22"/>
              </w:rPr>
              <w:t>subawardees</w:t>
            </w:r>
            <w:proofErr w:type="spellEnd"/>
            <w:r>
              <w:rPr>
                <w:sz w:val="22"/>
                <w:szCs w:val="22"/>
              </w:rPr>
              <w:t xml:space="preserve"> named in the application by February 2024.  </w:t>
            </w:r>
          </w:p>
        </w:tc>
        <w:tc>
          <w:tcPr>
            <w:tcW w:w="555" w:type="dxa"/>
            <w:shd w:val="clear" w:color="auto" w:fill="auto"/>
            <w:tcMar>
              <w:top w:w="57" w:type="dxa"/>
              <w:left w:w="57" w:type="dxa"/>
              <w:bottom w:w="57" w:type="dxa"/>
              <w:right w:w="57" w:type="dxa"/>
            </w:tcMar>
          </w:tcPr>
          <w:p w14:paraId="6CA9362F" w14:textId="77777777" w:rsidR="00044CEF" w:rsidRDefault="00044CEF">
            <w:pPr>
              <w:widowControl w:val="0"/>
              <w:rPr>
                <w:sz w:val="20"/>
                <w:szCs w:val="20"/>
              </w:rPr>
            </w:pPr>
          </w:p>
        </w:tc>
        <w:tc>
          <w:tcPr>
            <w:tcW w:w="435" w:type="dxa"/>
            <w:shd w:val="clear" w:color="auto" w:fill="F4CCCC"/>
            <w:tcMar>
              <w:top w:w="57" w:type="dxa"/>
              <w:left w:w="57" w:type="dxa"/>
              <w:bottom w:w="57" w:type="dxa"/>
              <w:right w:w="57" w:type="dxa"/>
            </w:tcMar>
          </w:tcPr>
          <w:p w14:paraId="3290A0F6" w14:textId="77777777" w:rsidR="00044CEF" w:rsidRDefault="00044CEF">
            <w:pPr>
              <w:widowControl w:val="0"/>
              <w:rPr>
                <w:sz w:val="20"/>
                <w:szCs w:val="20"/>
              </w:rPr>
            </w:pPr>
          </w:p>
        </w:tc>
        <w:tc>
          <w:tcPr>
            <w:tcW w:w="435" w:type="dxa"/>
            <w:shd w:val="clear" w:color="auto" w:fill="auto"/>
            <w:tcMar>
              <w:top w:w="57" w:type="dxa"/>
              <w:left w:w="57" w:type="dxa"/>
              <w:bottom w:w="57" w:type="dxa"/>
              <w:right w:w="57" w:type="dxa"/>
            </w:tcMar>
          </w:tcPr>
          <w:p w14:paraId="717BC8D1" w14:textId="77777777" w:rsidR="00044CEF" w:rsidRDefault="00044CEF">
            <w:pPr>
              <w:widowControl w:val="0"/>
              <w:rPr>
                <w:sz w:val="20"/>
                <w:szCs w:val="20"/>
              </w:rPr>
            </w:pPr>
          </w:p>
        </w:tc>
        <w:tc>
          <w:tcPr>
            <w:tcW w:w="405" w:type="dxa"/>
            <w:shd w:val="clear" w:color="auto" w:fill="auto"/>
            <w:tcMar>
              <w:top w:w="57" w:type="dxa"/>
              <w:left w:w="57" w:type="dxa"/>
              <w:bottom w:w="57" w:type="dxa"/>
              <w:right w:w="57" w:type="dxa"/>
            </w:tcMar>
          </w:tcPr>
          <w:p w14:paraId="34D3F6C2" w14:textId="77777777" w:rsidR="00044CEF" w:rsidRDefault="00044CEF">
            <w:pPr>
              <w:widowControl w:val="0"/>
              <w:rPr>
                <w:sz w:val="20"/>
                <w:szCs w:val="20"/>
              </w:rPr>
            </w:pPr>
          </w:p>
        </w:tc>
        <w:tc>
          <w:tcPr>
            <w:tcW w:w="405" w:type="dxa"/>
            <w:shd w:val="clear" w:color="auto" w:fill="auto"/>
            <w:tcMar>
              <w:top w:w="57" w:type="dxa"/>
              <w:left w:w="57" w:type="dxa"/>
              <w:bottom w:w="57" w:type="dxa"/>
              <w:right w:w="57" w:type="dxa"/>
            </w:tcMar>
          </w:tcPr>
          <w:p w14:paraId="42AE3B7B" w14:textId="77777777" w:rsidR="00044CEF" w:rsidRDefault="00044CEF">
            <w:pPr>
              <w:widowControl w:val="0"/>
              <w:rPr>
                <w:sz w:val="20"/>
                <w:szCs w:val="20"/>
              </w:rPr>
            </w:pPr>
          </w:p>
        </w:tc>
        <w:tc>
          <w:tcPr>
            <w:tcW w:w="405" w:type="dxa"/>
            <w:shd w:val="clear" w:color="auto" w:fill="auto"/>
            <w:tcMar>
              <w:top w:w="57" w:type="dxa"/>
              <w:left w:w="57" w:type="dxa"/>
              <w:bottom w:w="57" w:type="dxa"/>
              <w:right w:w="57" w:type="dxa"/>
            </w:tcMar>
          </w:tcPr>
          <w:p w14:paraId="312CB0B5" w14:textId="77777777" w:rsidR="00044CEF" w:rsidRDefault="00044CEF">
            <w:pPr>
              <w:widowControl w:val="0"/>
              <w:rPr>
                <w:sz w:val="20"/>
                <w:szCs w:val="20"/>
              </w:rPr>
            </w:pPr>
          </w:p>
        </w:tc>
      </w:tr>
      <w:tr w:rsidR="00044CEF" w14:paraId="5C0BD1D7" w14:textId="77777777">
        <w:tc>
          <w:tcPr>
            <w:tcW w:w="6720" w:type="dxa"/>
            <w:shd w:val="clear" w:color="auto" w:fill="auto"/>
            <w:tcMar>
              <w:top w:w="57" w:type="dxa"/>
              <w:left w:w="57" w:type="dxa"/>
              <w:bottom w:w="57" w:type="dxa"/>
              <w:right w:w="57" w:type="dxa"/>
            </w:tcMar>
          </w:tcPr>
          <w:p w14:paraId="4D60EF09" w14:textId="77777777" w:rsidR="00044CEF" w:rsidRDefault="00000000">
            <w:pPr>
              <w:widowControl w:val="0"/>
              <w:rPr>
                <w:sz w:val="22"/>
                <w:szCs w:val="22"/>
              </w:rPr>
            </w:pPr>
            <w:r>
              <w:rPr>
                <w:sz w:val="22"/>
                <w:szCs w:val="22"/>
              </w:rPr>
              <w:t xml:space="preserve">Task 1.8: TBRPC convenes MSA Leads and named sub awardees for a </w:t>
            </w:r>
            <w:r>
              <w:rPr>
                <w:sz w:val="22"/>
                <w:szCs w:val="22"/>
              </w:rPr>
              <w:lastRenderedPageBreak/>
              <w:t xml:space="preserve">kickoff meeting to establish a clear understanding of goals, responsibilities, and lines of communication by </w:t>
            </w:r>
            <w:proofErr w:type="gramStart"/>
            <w:r>
              <w:rPr>
                <w:sz w:val="22"/>
                <w:szCs w:val="22"/>
              </w:rPr>
              <w:t>March  2025</w:t>
            </w:r>
            <w:proofErr w:type="gramEnd"/>
            <w:r>
              <w:rPr>
                <w:sz w:val="22"/>
                <w:szCs w:val="22"/>
              </w:rPr>
              <w:t xml:space="preserve">. </w:t>
            </w:r>
          </w:p>
        </w:tc>
        <w:tc>
          <w:tcPr>
            <w:tcW w:w="555" w:type="dxa"/>
            <w:shd w:val="clear" w:color="auto" w:fill="auto"/>
            <w:tcMar>
              <w:top w:w="57" w:type="dxa"/>
              <w:left w:w="57" w:type="dxa"/>
              <w:bottom w:w="57" w:type="dxa"/>
              <w:right w:w="57" w:type="dxa"/>
            </w:tcMar>
          </w:tcPr>
          <w:p w14:paraId="1ABEFEC5" w14:textId="77777777" w:rsidR="00044CEF" w:rsidRDefault="00044CEF">
            <w:pPr>
              <w:widowControl w:val="0"/>
              <w:rPr>
                <w:sz w:val="20"/>
                <w:szCs w:val="20"/>
              </w:rPr>
            </w:pPr>
          </w:p>
        </w:tc>
        <w:tc>
          <w:tcPr>
            <w:tcW w:w="435" w:type="dxa"/>
            <w:shd w:val="clear" w:color="auto" w:fill="F4CCCC"/>
            <w:tcMar>
              <w:top w:w="57" w:type="dxa"/>
              <w:left w:w="57" w:type="dxa"/>
              <w:bottom w:w="57" w:type="dxa"/>
              <w:right w:w="57" w:type="dxa"/>
            </w:tcMar>
          </w:tcPr>
          <w:p w14:paraId="2C407E85" w14:textId="77777777" w:rsidR="00044CEF" w:rsidRDefault="00044CEF">
            <w:pPr>
              <w:widowControl w:val="0"/>
              <w:rPr>
                <w:sz w:val="20"/>
                <w:szCs w:val="20"/>
              </w:rPr>
            </w:pPr>
          </w:p>
        </w:tc>
        <w:tc>
          <w:tcPr>
            <w:tcW w:w="435" w:type="dxa"/>
            <w:shd w:val="clear" w:color="auto" w:fill="auto"/>
            <w:tcMar>
              <w:top w:w="57" w:type="dxa"/>
              <w:left w:w="57" w:type="dxa"/>
              <w:bottom w:w="57" w:type="dxa"/>
              <w:right w:w="57" w:type="dxa"/>
            </w:tcMar>
          </w:tcPr>
          <w:p w14:paraId="41427B93" w14:textId="77777777" w:rsidR="00044CEF" w:rsidRDefault="00044CEF">
            <w:pPr>
              <w:widowControl w:val="0"/>
              <w:rPr>
                <w:sz w:val="20"/>
                <w:szCs w:val="20"/>
              </w:rPr>
            </w:pPr>
          </w:p>
        </w:tc>
        <w:tc>
          <w:tcPr>
            <w:tcW w:w="405" w:type="dxa"/>
            <w:shd w:val="clear" w:color="auto" w:fill="auto"/>
            <w:tcMar>
              <w:top w:w="57" w:type="dxa"/>
              <w:left w:w="57" w:type="dxa"/>
              <w:bottom w:w="57" w:type="dxa"/>
              <w:right w:w="57" w:type="dxa"/>
            </w:tcMar>
          </w:tcPr>
          <w:p w14:paraId="2E8B8647" w14:textId="77777777" w:rsidR="00044CEF" w:rsidRDefault="00044CEF">
            <w:pPr>
              <w:widowControl w:val="0"/>
              <w:rPr>
                <w:sz w:val="20"/>
                <w:szCs w:val="20"/>
              </w:rPr>
            </w:pPr>
          </w:p>
        </w:tc>
        <w:tc>
          <w:tcPr>
            <w:tcW w:w="405" w:type="dxa"/>
            <w:shd w:val="clear" w:color="auto" w:fill="auto"/>
            <w:tcMar>
              <w:top w:w="57" w:type="dxa"/>
              <w:left w:w="57" w:type="dxa"/>
              <w:bottom w:w="57" w:type="dxa"/>
              <w:right w:w="57" w:type="dxa"/>
            </w:tcMar>
          </w:tcPr>
          <w:p w14:paraId="39AB1D65" w14:textId="77777777" w:rsidR="00044CEF" w:rsidRDefault="00044CEF">
            <w:pPr>
              <w:widowControl w:val="0"/>
              <w:rPr>
                <w:sz w:val="20"/>
                <w:szCs w:val="20"/>
              </w:rPr>
            </w:pPr>
          </w:p>
        </w:tc>
        <w:tc>
          <w:tcPr>
            <w:tcW w:w="405" w:type="dxa"/>
            <w:shd w:val="clear" w:color="auto" w:fill="auto"/>
            <w:tcMar>
              <w:top w:w="57" w:type="dxa"/>
              <w:left w:w="57" w:type="dxa"/>
              <w:bottom w:w="57" w:type="dxa"/>
              <w:right w:w="57" w:type="dxa"/>
            </w:tcMar>
          </w:tcPr>
          <w:p w14:paraId="74939018" w14:textId="77777777" w:rsidR="00044CEF" w:rsidRDefault="00044CEF">
            <w:pPr>
              <w:widowControl w:val="0"/>
              <w:rPr>
                <w:sz w:val="20"/>
                <w:szCs w:val="20"/>
              </w:rPr>
            </w:pPr>
          </w:p>
        </w:tc>
      </w:tr>
      <w:tr w:rsidR="00044CEF" w14:paraId="67669409" w14:textId="77777777">
        <w:tc>
          <w:tcPr>
            <w:tcW w:w="6720" w:type="dxa"/>
            <w:shd w:val="clear" w:color="auto" w:fill="auto"/>
            <w:tcMar>
              <w:top w:w="57" w:type="dxa"/>
              <w:left w:w="57" w:type="dxa"/>
              <w:bottom w:w="57" w:type="dxa"/>
              <w:right w:w="57" w:type="dxa"/>
            </w:tcMar>
          </w:tcPr>
          <w:p w14:paraId="4C7E1F50" w14:textId="77777777" w:rsidR="00044CEF" w:rsidRDefault="00000000">
            <w:pPr>
              <w:widowControl w:val="0"/>
              <w:rPr>
                <w:sz w:val="22"/>
                <w:szCs w:val="22"/>
              </w:rPr>
            </w:pPr>
            <w:r>
              <w:rPr>
                <w:sz w:val="22"/>
                <w:szCs w:val="22"/>
              </w:rPr>
              <w:t xml:space="preserve">Task 1.9: TBRPC holds as-needed phone calls with all MSA Leads and sub awardees to ensure Coalition priorities and objectives are met. </w:t>
            </w:r>
          </w:p>
        </w:tc>
        <w:tc>
          <w:tcPr>
            <w:tcW w:w="555" w:type="dxa"/>
            <w:shd w:val="clear" w:color="auto" w:fill="auto"/>
            <w:tcMar>
              <w:top w:w="57" w:type="dxa"/>
              <w:left w:w="57" w:type="dxa"/>
              <w:bottom w:w="57" w:type="dxa"/>
              <w:right w:w="57" w:type="dxa"/>
            </w:tcMar>
          </w:tcPr>
          <w:p w14:paraId="1D8423B8" w14:textId="77777777" w:rsidR="00044CEF" w:rsidRDefault="00044CEF">
            <w:pPr>
              <w:widowControl w:val="0"/>
              <w:rPr>
                <w:sz w:val="20"/>
                <w:szCs w:val="20"/>
              </w:rPr>
            </w:pPr>
          </w:p>
        </w:tc>
        <w:tc>
          <w:tcPr>
            <w:tcW w:w="435" w:type="dxa"/>
            <w:shd w:val="clear" w:color="auto" w:fill="F4CCCC"/>
            <w:tcMar>
              <w:top w:w="57" w:type="dxa"/>
              <w:left w:w="57" w:type="dxa"/>
              <w:bottom w:w="57" w:type="dxa"/>
              <w:right w:w="57" w:type="dxa"/>
            </w:tcMar>
          </w:tcPr>
          <w:p w14:paraId="715B13A5" w14:textId="77777777" w:rsidR="00044CEF" w:rsidRDefault="00044CEF">
            <w:pPr>
              <w:widowControl w:val="0"/>
              <w:rPr>
                <w:sz w:val="20"/>
                <w:szCs w:val="20"/>
              </w:rPr>
            </w:pPr>
          </w:p>
        </w:tc>
        <w:tc>
          <w:tcPr>
            <w:tcW w:w="435" w:type="dxa"/>
            <w:shd w:val="clear" w:color="auto" w:fill="F4CCCC"/>
            <w:tcMar>
              <w:top w:w="57" w:type="dxa"/>
              <w:left w:w="57" w:type="dxa"/>
              <w:bottom w:w="57" w:type="dxa"/>
              <w:right w:w="57" w:type="dxa"/>
            </w:tcMar>
          </w:tcPr>
          <w:p w14:paraId="4E0D9DEC" w14:textId="77777777" w:rsidR="00044CEF" w:rsidRDefault="00044CEF">
            <w:pPr>
              <w:widowControl w:val="0"/>
              <w:rPr>
                <w:sz w:val="20"/>
                <w:szCs w:val="20"/>
              </w:rPr>
            </w:pPr>
          </w:p>
        </w:tc>
        <w:tc>
          <w:tcPr>
            <w:tcW w:w="405" w:type="dxa"/>
            <w:shd w:val="clear" w:color="auto" w:fill="F4CCCC"/>
            <w:tcMar>
              <w:top w:w="57" w:type="dxa"/>
              <w:left w:w="57" w:type="dxa"/>
              <w:bottom w:w="57" w:type="dxa"/>
              <w:right w:w="57" w:type="dxa"/>
            </w:tcMar>
          </w:tcPr>
          <w:p w14:paraId="7B703FAC" w14:textId="77777777" w:rsidR="00044CEF" w:rsidRDefault="00044CEF">
            <w:pPr>
              <w:widowControl w:val="0"/>
              <w:rPr>
                <w:sz w:val="20"/>
                <w:szCs w:val="20"/>
              </w:rPr>
            </w:pPr>
          </w:p>
        </w:tc>
        <w:tc>
          <w:tcPr>
            <w:tcW w:w="405" w:type="dxa"/>
            <w:shd w:val="clear" w:color="auto" w:fill="F4CCCC"/>
            <w:tcMar>
              <w:top w:w="57" w:type="dxa"/>
              <w:left w:w="57" w:type="dxa"/>
              <w:bottom w:w="57" w:type="dxa"/>
              <w:right w:w="57" w:type="dxa"/>
            </w:tcMar>
          </w:tcPr>
          <w:p w14:paraId="1C479AA1" w14:textId="77777777" w:rsidR="00044CEF" w:rsidRDefault="00044CEF">
            <w:pPr>
              <w:widowControl w:val="0"/>
              <w:rPr>
                <w:sz w:val="20"/>
                <w:szCs w:val="20"/>
              </w:rPr>
            </w:pPr>
          </w:p>
        </w:tc>
        <w:tc>
          <w:tcPr>
            <w:tcW w:w="405" w:type="dxa"/>
            <w:shd w:val="clear" w:color="auto" w:fill="F4CCCC"/>
            <w:tcMar>
              <w:top w:w="57" w:type="dxa"/>
              <w:left w:w="57" w:type="dxa"/>
              <w:bottom w:w="57" w:type="dxa"/>
              <w:right w:w="57" w:type="dxa"/>
            </w:tcMar>
          </w:tcPr>
          <w:p w14:paraId="0203D09C" w14:textId="77777777" w:rsidR="00044CEF" w:rsidRDefault="00044CEF">
            <w:pPr>
              <w:widowControl w:val="0"/>
              <w:rPr>
                <w:sz w:val="20"/>
                <w:szCs w:val="20"/>
              </w:rPr>
            </w:pPr>
          </w:p>
        </w:tc>
      </w:tr>
      <w:tr w:rsidR="00044CEF" w14:paraId="65D2A538" w14:textId="77777777">
        <w:trPr>
          <w:trHeight w:val="420"/>
        </w:trPr>
        <w:tc>
          <w:tcPr>
            <w:tcW w:w="9360" w:type="dxa"/>
            <w:gridSpan w:val="7"/>
            <w:shd w:val="clear" w:color="auto" w:fill="CFE2F3"/>
            <w:tcMar>
              <w:top w:w="57" w:type="dxa"/>
              <w:left w:w="57" w:type="dxa"/>
              <w:bottom w:w="57" w:type="dxa"/>
              <w:right w:w="57" w:type="dxa"/>
            </w:tcMar>
          </w:tcPr>
          <w:p w14:paraId="654A1348" w14:textId="77777777" w:rsidR="00044CEF" w:rsidRDefault="00000000">
            <w:pPr>
              <w:widowControl w:val="0"/>
              <w:rPr>
                <w:sz w:val="22"/>
                <w:szCs w:val="22"/>
              </w:rPr>
            </w:pPr>
            <w:r>
              <w:rPr>
                <w:b/>
                <w:sz w:val="22"/>
                <w:szCs w:val="22"/>
              </w:rPr>
              <w:t>Milestone 2:</w:t>
            </w:r>
            <w:r>
              <w:rPr>
                <w:sz w:val="22"/>
                <w:szCs w:val="22"/>
              </w:rPr>
              <w:t xml:space="preserve"> Hold 600 Educational Workshops in Community Facilities Serving LIDAC Residents. </w:t>
            </w:r>
          </w:p>
        </w:tc>
      </w:tr>
      <w:tr w:rsidR="00044CEF" w14:paraId="1F6763E9" w14:textId="77777777">
        <w:tc>
          <w:tcPr>
            <w:tcW w:w="6720" w:type="dxa"/>
            <w:shd w:val="clear" w:color="auto" w:fill="auto"/>
            <w:tcMar>
              <w:top w:w="57" w:type="dxa"/>
              <w:left w:w="57" w:type="dxa"/>
              <w:bottom w:w="57" w:type="dxa"/>
              <w:right w:w="57" w:type="dxa"/>
            </w:tcMar>
          </w:tcPr>
          <w:p w14:paraId="5D193D0B" w14:textId="77777777" w:rsidR="00044CEF" w:rsidRDefault="00000000">
            <w:pPr>
              <w:widowControl w:val="0"/>
              <w:rPr>
                <w:sz w:val="22"/>
                <w:szCs w:val="22"/>
              </w:rPr>
            </w:pPr>
            <w:r>
              <w:rPr>
                <w:sz w:val="22"/>
                <w:szCs w:val="22"/>
              </w:rPr>
              <w:t xml:space="preserve">Task 2.1: TBRPC and MSA Leads determine potential community facilities to hold educational workshops by January-March 2025.  </w:t>
            </w:r>
          </w:p>
        </w:tc>
        <w:tc>
          <w:tcPr>
            <w:tcW w:w="555" w:type="dxa"/>
            <w:tcMar>
              <w:top w:w="57" w:type="dxa"/>
              <w:left w:w="57" w:type="dxa"/>
              <w:bottom w:w="57" w:type="dxa"/>
              <w:right w:w="57" w:type="dxa"/>
            </w:tcMar>
          </w:tcPr>
          <w:p w14:paraId="2C47B7D3" w14:textId="77777777" w:rsidR="00044CEF" w:rsidRDefault="00044CEF">
            <w:pPr>
              <w:widowControl w:val="0"/>
              <w:rPr>
                <w:sz w:val="20"/>
                <w:szCs w:val="20"/>
              </w:rPr>
            </w:pPr>
          </w:p>
        </w:tc>
        <w:tc>
          <w:tcPr>
            <w:tcW w:w="435" w:type="dxa"/>
            <w:shd w:val="clear" w:color="auto" w:fill="3C78D8"/>
            <w:tcMar>
              <w:top w:w="57" w:type="dxa"/>
              <w:left w:w="57" w:type="dxa"/>
              <w:bottom w:w="57" w:type="dxa"/>
              <w:right w:w="57" w:type="dxa"/>
            </w:tcMar>
          </w:tcPr>
          <w:p w14:paraId="5663D18C" w14:textId="77777777" w:rsidR="00044CEF" w:rsidRDefault="00044CEF">
            <w:pPr>
              <w:widowControl w:val="0"/>
              <w:rPr>
                <w:sz w:val="20"/>
                <w:szCs w:val="20"/>
              </w:rPr>
            </w:pPr>
          </w:p>
        </w:tc>
        <w:tc>
          <w:tcPr>
            <w:tcW w:w="435" w:type="dxa"/>
            <w:tcMar>
              <w:top w:w="57" w:type="dxa"/>
              <w:left w:w="57" w:type="dxa"/>
              <w:bottom w:w="57" w:type="dxa"/>
              <w:right w:w="57" w:type="dxa"/>
            </w:tcMar>
          </w:tcPr>
          <w:p w14:paraId="4E6AD508" w14:textId="77777777" w:rsidR="00044CEF" w:rsidRDefault="00044CEF">
            <w:pPr>
              <w:widowControl w:val="0"/>
              <w:rPr>
                <w:sz w:val="20"/>
                <w:szCs w:val="20"/>
              </w:rPr>
            </w:pPr>
          </w:p>
        </w:tc>
        <w:tc>
          <w:tcPr>
            <w:tcW w:w="405" w:type="dxa"/>
            <w:shd w:val="clear" w:color="auto" w:fill="auto"/>
            <w:tcMar>
              <w:top w:w="57" w:type="dxa"/>
              <w:left w:w="57" w:type="dxa"/>
              <w:bottom w:w="57" w:type="dxa"/>
              <w:right w:w="57" w:type="dxa"/>
            </w:tcMar>
          </w:tcPr>
          <w:p w14:paraId="737B6055" w14:textId="77777777" w:rsidR="00044CEF" w:rsidRDefault="00044CEF">
            <w:pPr>
              <w:widowControl w:val="0"/>
              <w:rPr>
                <w:sz w:val="20"/>
                <w:szCs w:val="20"/>
              </w:rPr>
            </w:pPr>
          </w:p>
        </w:tc>
        <w:tc>
          <w:tcPr>
            <w:tcW w:w="405" w:type="dxa"/>
            <w:shd w:val="clear" w:color="auto" w:fill="auto"/>
            <w:tcMar>
              <w:top w:w="57" w:type="dxa"/>
              <w:left w:w="57" w:type="dxa"/>
              <w:bottom w:w="57" w:type="dxa"/>
              <w:right w:w="57" w:type="dxa"/>
            </w:tcMar>
          </w:tcPr>
          <w:p w14:paraId="5F2B8135" w14:textId="77777777" w:rsidR="00044CEF" w:rsidRDefault="00044CEF">
            <w:pPr>
              <w:widowControl w:val="0"/>
              <w:rPr>
                <w:sz w:val="20"/>
                <w:szCs w:val="20"/>
              </w:rPr>
            </w:pPr>
          </w:p>
        </w:tc>
        <w:tc>
          <w:tcPr>
            <w:tcW w:w="405" w:type="dxa"/>
            <w:shd w:val="clear" w:color="auto" w:fill="auto"/>
            <w:tcMar>
              <w:top w:w="57" w:type="dxa"/>
              <w:left w:w="57" w:type="dxa"/>
              <w:bottom w:w="57" w:type="dxa"/>
              <w:right w:w="57" w:type="dxa"/>
            </w:tcMar>
          </w:tcPr>
          <w:p w14:paraId="2308B07D" w14:textId="77777777" w:rsidR="00044CEF" w:rsidRDefault="00044CEF">
            <w:pPr>
              <w:widowControl w:val="0"/>
              <w:rPr>
                <w:sz w:val="20"/>
                <w:szCs w:val="20"/>
              </w:rPr>
            </w:pPr>
          </w:p>
        </w:tc>
      </w:tr>
      <w:tr w:rsidR="00044CEF" w14:paraId="40581DA4" w14:textId="77777777">
        <w:tc>
          <w:tcPr>
            <w:tcW w:w="6720" w:type="dxa"/>
            <w:shd w:val="clear" w:color="auto" w:fill="auto"/>
            <w:tcMar>
              <w:top w:w="57" w:type="dxa"/>
              <w:left w:w="57" w:type="dxa"/>
              <w:bottom w:w="57" w:type="dxa"/>
              <w:right w:w="57" w:type="dxa"/>
            </w:tcMar>
          </w:tcPr>
          <w:p w14:paraId="5C709378" w14:textId="77777777" w:rsidR="00044CEF" w:rsidRDefault="00000000">
            <w:pPr>
              <w:widowControl w:val="0"/>
              <w:rPr>
                <w:sz w:val="22"/>
                <w:szCs w:val="22"/>
              </w:rPr>
            </w:pPr>
            <w:r>
              <w:rPr>
                <w:sz w:val="22"/>
                <w:szCs w:val="22"/>
              </w:rPr>
              <w:t xml:space="preserve">Task 2.2: TBRPC contracts with a multilingual translation company to translate energy-efficient material and provide translation and ADA services, when needed, by March 2025. </w:t>
            </w:r>
          </w:p>
        </w:tc>
        <w:tc>
          <w:tcPr>
            <w:tcW w:w="555" w:type="dxa"/>
            <w:tcMar>
              <w:top w:w="57" w:type="dxa"/>
              <w:left w:w="57" w:type="dxa"/>
              <w:bottom w:w="57" w:type="dxa"/>
              <w:right w:w="57" w:type="dxa"/>
            </w:tcMar>
          </w:tcPr>
          <w:p w14:paraId="65D65AC7" w14:textId="77777777" w:rsidR="00044CEF" w:rsidRDefault="00044CEF">
            <w:pPr>
              <w:widowControl w:val="0"/>
              <w:rPr>
                <w:sz w:val="20"/>
                <w:szCs w:val="20"/>
              </w:rPr>
            </w:pPr>
          </w:p>
        </w:tc>
        <w:tc>
          <w:tcPr>
            <w:tcW w:w="435" w:type="dxa"/>
            <w:shd w:val="clear" w:color="auto" w:fill="3C78D8"/>
            <w:tcMar>
              <w:top w:w="57" w:type="dxa"/>
              <w:left w:w="57" w:type="dxa"/>
              <w:bottom w:w="57" w:type="dxa"/>
              <w:right w:w="57" w:type="dxa"/>
            </w:tcMar>
          </w:tcPr>
          <w:p w14:paraId="6B656B9E" w14:textId="77777777" w:rsidR="00044CEF" w:rsidRDefault="00044CEF">
            <w:pPr>
              <w:widowControl w:val="0"/>
              <w:rPr>
                <w:sz w:val="20"/>
                <w:szCs w:val="20"/>
              </w:rPr>
            </w:pPr>
          </w:p>
        </w:tc>
        <w:tc>
          <w:tcPr>
            <w:tcW w:w="435" w:type="dxa"/>
            <w:tcMar>
              <w:top w:w="57" w:type="dxa"/>
              <w:left w:w="57" w:type="dxa"/>
              <w:bottom w:w="57" w:type="dxa"/>
              <w:right w:w="57" w:type="dxa"/>
            </w:tcMar>
          </w:tcPr>
          <w:p w14:paraId="2CDE78BF" w14:textId="77777777" w:rsidR="00044CEF" w:rsidRDefault="00044CEF">
            <w:pPr>
              <w:widowControl w:val="0"/>
              <w:rPr>
                <w:sz w:val="20"/>
                <w:szCs w:val="20"/>
              </w:rPr>
            </w:pPr>
          </w:p>
        </w:tc>
        <w:tc>
          <w:tcPr>
            <w:tcW w:w="405" w:type="dxa"/>
            <w:shd w:val="clear" w:color="auto" w:fill="auto"/>
            <w:tcMar>
              <w:top w:w="57" w:type="dxa"/>
              <w:left w:w="57" w:type="dxa"/>
              <w:bottom w:w="57" w:type="dxa"/>
              <w:right w:w="57" w:type="dxa"/>
            </w:tcMar>
          </w:tcPr>
          <w:p w14:paraId="6DCB03E3" w14:textId="77777777" w:rsidR="00044CEF" w:rsidRDefault="00044CEF">
            <w:pPr>
              <w:widowControl w:val="0"/>
              <w:rPr>
                <w:sz w:val="20"/>
                <w:szCs w:val="20"/>
              </w:rPr>
            </w:pPr>
          </w:p>
        </w:tc>
        <w:tc>
          <w:tcPr>
            <w:tcW w:w="405" w:type="dxa"/>
            <w:shd w:val="clear" w:color="auto" w:fill="auto"/>
            <w:tcMar>
              <w:top w:w="57" w:type="dxa"/>
              <w:left w:w="57" w:type="dxa"/>
              <w:bottom w:w="57" w:type="dxa"/>
              <w:right w:w="57" w:type="dxa"/>
            </w:tcMar>
          </w:tcPr>
          <w:p w14:paraId="206106C4" w14:textId="77777777" w:rsidR="00044CEF" w:rsidRDefault="00044CEF">
            <w:pPr>
              <w:widowControl w:val="0"/>
              <w:rPr>
                <w:sz w:val="20"/>
                <w:szCs w:val="20"/>
              </w:rPr>
            </w:pPr>
          </w:p>
        </w:tc>
        <w:tc>
          <w:tcPr>
            <w:tcW w:w="405" w:type="dxa"/>
            <w:shd w:val="clear" w:color="auto" w:fill="auto"/>
            <w:tcMar>
              <w:top w:w="57" w:type="dxa"/>
              <w:left w:w="57" w:type="dxa"/>
              <w:bottom w:w="57" w:type="dxa"/>
              <w:right w:w="57" w:type="dxa"/>
            </w:tcMar>
          </w:tcPr>
          <w:p w14:paraId="454D44E0" w14:textId="77777777" w:rsidR="00044CEF" w:rsidRDefault="00044CEF">
            <w:pPr>
              <w:widowControl w:val="0"/>
              <w:rPr>
                <w:sz w:val="20"/>
                <w:szCs w:val="20"/>
              </w:rPr>
            </w:pPr>
          </w:p>
        </w:tc>
      </w:tr>
      <w:tr w:rsidR="00044CEF" w14:paraId="434CF443" w14:textId="77777777">
        <w:tc>
          <w:tcPr>
            <w:tcW w:w="6720" w:type="dxa"/>
            <w:shd w:val="clear" w:color="auto" w:fill="auto"/>
            <w:tcMar>
              <w:top w:w="57" w:type="dxa"/>
              <w:left w:w="57" w:type="dxa"/>
              <w:bottom w:w="57" w:type="dxa"/>
              <w:right w:w="57" w:type="dxa"/>
            </w:tcMar>
          </w:tcPr>
          <w:p w14:paraId="0F75F55F" w14:textId="77777777" w:rsidR="00044CEF" w:rsidRDefault="00000000">
            <w:pPr>
              <w:widowControl w:val="0"/>
              <w:rPr>
                <w:sz w:val="22"/>
                <w:szCs w:val="22"/>
              </w:rPr>
            </w:pPr>
            <w:r>
              <w:rPr>
                <w:sz w:val="22"/>
                <w:szCs w:val="22"/>
              </w:rPr>
              <w:t xml:space="preserve">Task 2.3: TBRPC and MSA Leads design outreach materials and education courses by March 2025. </w:t>
            </w:r>
          </w:p>
        </w:tc>
        <w:tc>
          <w:tcPr>
            <w:tcW w:w="555" w:type="dxa"/>
            <w:tcMar>
              <w:top w:w="57" w:type="dxa"/>
              <w:left w:w="57" w:type="dxa"/>
              <w:bottom w:w="57" w:type="dxa"/>
              <w:right w:w="57" w:type="dxa"/>
            </w:tcMar>
          </w:tcPr>
          <w:p w14:paraId="3B52FA5B" w14:textId="77777777" w:rsidR="00044CEF" w:rsidRDefault="00044CEF">
            <w:pPr>
              <w:widowControl w:val="0"/>
              <w:rPr>
                <w:sz w:val="20"/>
                <w:szCs w:val="20"/>
              </w:rPr>
            </w:pPr>
          </w:p>
        </w:tc>
        <w:tc>
          <w:tcPr>
            <w:tcW w:w="435" w:type="dxa"/>
            <w:shd w:val="clear" w:color="auto" w:fill="3C78D8"/>
            <w:tcMar>
              <w:top w:w="57" w:type="dxa"/>
              <w:left w:w="57" w:type="dxa"/>
              <w:bottom w:w="57" w:type="dxa"/>
              <w:right w:w="57" w:type="dxa"/>
            </w:tcMar>
          </w:tcPr>
          <w:p w14:paraId="795B3B6A" w14:textId="77777777" w:rsidR="00044CEF" w:rsidRDefault="00044CEF">
            <w:pPr>
              <w:widowControl w:val="0"/>
              <w:rPr>
                <w:sz w:val="20"/>
                <w:szCs w:val="20"/>
              </w:rPr>
            </w:pPr>
          </w:p>
        </w:tc>
        <w:tc>
          <w:tcPr>
            <w:tcW w:w="435" w:type="dxa"/>
            <w:tcMar>
              <w:top w:w="57" w:type="dxa"/>
              <w:left w:w="57" w:type="dxa"/>
              <w:bottom w:w="57" w:type="dxa"/>
              <w:right w:w="57" w:type="dxa"/>
            </w:tcMar>
          </w:tcPr>
          <w:p w14:paraId="3C0340DA" w14:textId="77777777" w:rsidR="00044CEF" w:rsidRDefault="00044CEF">
            <w:pPr>
              <w:widowControl w:val="0"/>
              <w:rPr>
                <w:sz w:val="20"/>
                <w:szCs w:val="20"/>
              </w:rPr>
            </w:pPr>
          </w:p>
        </w:tc>
        <w:tc>
          <w:tcPr>
            <w:tcW w:w="405" w:type="dxa"/>
            <w:shd w:val="clear" w:color="auto" w:fill="auto"/>
            <w:tcMar>
              <w:top w:w="57" w:type="dxa"/>
              <w:left w:w="57" w:type="dxa"/>
              <w:bottom w:w="57" w:type="dxa"/>
              <w:right w:w="57" w:type="dxa"/>
            </w:tcMar>
          </w:tcPr>
          <w:p w14:paraId="63DBC1E3" w14:textId="77777777" w:rsidR="00044CEF" w:rsidRDefault="00044CEF">
            <w:pPr>
              <w:widowControl w:val="0"/>
              <w:rPr>
                <w:sz w:val="20"/>
                <w:szCs w:val="20"/>
              </w:rPr>
            </w:pPr>
          </w:p>
        </w:tc>
        <w:tc>
          <w:tcPr>
            <w:tcW w:w="405" w:type="dxa"/>
            <w:shd w:val="clear" w:color="auto" w:fill="auto"/>
            <w:tcMar>
              <w:top w:w="57" w:type="dxa"/>
              <w:left w:w="57" w:type="dxa"/>
              <w:bottom w:w="57" w:type="dxa"/>
              <w:right w:w="57" w:type="dxa"/>
            </w:tcMar>
          </w:tcPr>
          <w:p w14:paraId="00AA0161" w14:textId="77777777" w:rsidR="00044CEF" w:rsidRDefault="00044CEF">
            <w:pPr>
              <w:widowControl w:val="0"/>
              <w:rPr>
                <w:sz w:val="20"/>
                <w:szCs w:val="20"/>
              </w:rPr>
            </w:pPr>
          </w:p>
        </w:tc>
        <w:tc>
          <w:tcPr>
            <w:tcW w:w="405" w:type="dxa"/>
            <w:shd w:val="clear" w:color="auto" w:fill="auto"/>
            <w:tcMar>
              <w:top w:w="57" w:type="dxa"/>
              <w:left w:w="57" w:type="dxa"/>
              <w:bottom w:w="57" w:type="dxa"/>
              <w:right w:w="57" w:type="dxa"/>
            </w:tcMar>
          </w:tcPr>
          <w:p w14:paraId="15038689" w14:textId="77777777" w:rsidR="00044CEF" w:rsidRDefault="00044CEF">
            <w:pPr>
              <w:widowControl w:val="0"/>
              <w:rPr>
                <w:sz w:val="20"/>
                <w:szCs w:val="20"/>
              </w:rPr>
            </w:pPr>
          </w:p>
        </w:tc>
      </w:tr>
      <w:tr w:rsidR="00044CEF" w14:paraId="492F6ADC" w14:textId="77777777">
        <w:tc>
          <w:tcPr>
            <w:tcW w:w="6720" w:type="dxa"/>
            <w:shd w:val="clear" w:color="auto" w:fill="auto"/>
            <w:tcMar>
              <w:top w:w="57" w:type="dxa"/>
              <w:left w:w="57" w:type="dxa"/>
              <w:bottom w:w="57" w:type="dxa"/>
              <w:right w:w="57" w:type="dxa"/>
            </w:tcMar>
          </w:tcPr>
          <w:p w14:paraId="7A43800C" w14:textId="77777777" w:rsidR="00044CEF" w:rsidRDefault="00000000">
            <w:pPr>
              <w:widowControl w:val="0"/>
              <w:rPr>
                <w:sz w:val="22"/>
                <w:szCs w:val="22"/>
                <w:highlight w:val="yellow"/>
              </w:rPr>
            </w:pPr>
            <w:r>
              <w:rPr>
                <w:sz w:val="22"/>
                <w:szCs w:val="22"/>
              </w:rPr>
              <w:t xml:space="preserve">Task 2.4: TBRPC and MSA Leads hold as many as 600 energy efficiency educational classes to begin May 2025 and occur throughout the project. </w:t>
            </w:r>
          </w:p>
        </w:tc>
        <w:tc>
          <w:tcPr>
            <w:tcW w:w="555" w:type="dxa"/>
            <w:shd w:val="clear" w:color="auto" w:fill="auto"/>
            <w:tcMar>
              <w:top w:w="57" w:type="dxa"/>
              <w:left w:w="57" w:type="dxa"/>
              <w:bottom w:w="57" w:type="dxa"/>
              <w:right w:w="57" w:type="dxa"/>
            </w:tcMar>
          </w:tcPr>
          <w:p w14:paraId="0A943C75" w14:textId="77777777" w:rsidR="00044CEF" w:rsidRDefault="00044CEF">
            <w:pPr>
              <w:widowControl w:val="0"/>
              <w:rPr>
                <w:sz w:val="20"/>
                <w:szCs w:val="20"/>
              </w:rPr>
            </w:pPr>
          </w:p>
        </w:tc>
        <w:tc>
          <w:tcPr>
            <w:tcW w:w="435" w:type="dxa"/>
            <w:shd w:val="clear" w:color="auto" w:fill="3C78D8"/>
            <w:tcMar>
              <w:top w:w="57" w:type="dxa"/>
              <w:left w:w="57" w:type="dxa"/>
              <w:bottom w:w="57" w:type="dxa"/>
              <w:right w:w="57" w:type="dxa"/>
            </w:tcMar>
          </w:tcPr>
          <w:p w14:paraId="73DFFDC9" w14:textId="77777777" w:rsidR="00044CEF" w:rsidRDefault="00044CEF">
            <w:pPr>
              <w:widowControl w:val="0"/>
              <w:rPr>
                <w:sz w:val="20"/>
                <w:szCs w:val="20"/>
                <w:shd w:val="clear" w:color="auto" w:fill="E69138"/>
              </w:rPr>
            </w:pPr>
          </w:p>
        </w:tc>
        <w:tc>
          <w:tcPr>
            <w:tcW w:w="435" w:type="dxa"/>
            <w:shd w:val="clear" w:color="auto" w:fill="3C78D8"/>
            <w:tcMar>
              <w:top w:w="57" w:type="dxa"/>
              <w:left w:w="57" w:type="dxa"/>
              <w:bottom w:w="57" w:type="dxa"/>
              <w:right w:w="57" w:type="dxa"/>
            </w:tcMar>
          </w:tcPr>
          <w:p w14:paraId="73180B71" w14:textId="77777777" w:rsidR="00044CEF" w:rsidRDefault="00044CEF">
            <w:pPr>
              <w:widowControl w:val="0"/>
              <w:rPr>
                <w:sz w:val="20"/>
                <w:szCs w:val="20"/>
              </w:rPr>
            </w:pPr>
          </w:p>
        </w:tc>
        <w:tc>
          <w:tcPr>
            <w:tcW w:w="405" w:type="dxa"/>
            <w:shd w:val="clear" w:color="auto" w:fill="3C78D8"/>
            <w:tcMar>
              <w:top w:w="57" w:type="dxa"/>
              <w:left w:w="57" w:type="dxa"/>
              <w:bottom w:w="57" w:type="dxa"/>
              <w:right w:w="57" w:type="dxa"/>
            </w:tcMar>
          </w:tcPr>
          <w:p w14:paraId="7C7BDED1" w14:textId="77777777" w:rsidR="00044CEF" w:rsidRDefault="00044CEF">
            <w:pPr>
              <w:widowControl w:val="0"/>
              <w:rPr>
                <w:sz w:val="20"/>
                <w:szCs w:val="20"/>
              </w:rPr>
            </w:pPr>
          </w:p>
        </w:tc>
        <w:tc>
          <w:tcPr>
            <w:tcW w:w="405" w:type="dxa"/>
            <w:shd w:val="clear" w:color="auto" w:fill="3C78D8"/>
            <w:tcMar>
              <w:top w:w="57" w:type="dxa"/>
              <w:left w:w="57" w:type="dxa"/>
              <w:bottom w:w="57" w:type="dxa"/>
              <w:right w:w="57" w:type="dxa"/>
            </w:tcMar>
          </w:tcPr>
          <w:p w14:paraId="371FE001" w14:textId="77777777" w:rsidR="00044CEF" w:rsidRDefault="00044CEF">
            <w:pPr>
              <w:widowControl w:val="0"/>
              <w:rPr>
                <w:sz w:val="20"/>
                <w:szCs w:val="20"/>
              </w:rPr>
            </w:pPr>
          </w:p>
        </w:tc>
        <w:tc>
          <w:tcPr>
            <w:tcW w:w="405" w:type="dxa"/>
            <w:shd w:val="clear" w:color="auto" w:fill="3C78D8"/>
            <w:tcMar>
              <w:top w:w="57" w:type="dxa"/>
              <w:left w:w="57" w:type="dxa"/>
              <w:bottom w:w="57" w:type="dxa"/>
              <w:right w:w="57" w:type="dxa"/>
            </w:tcMar>
          </w:tcPr>
          <w:p w14:paraId="5CE14560" w14:textId="77777777" w:rsidR="00044CEF" w:rsidRDefault="00044CEF">
            <w:pPr>
              <w:widowControl w:val="0"/>
              <w:rPr>
                <w:sz w:val="20"/>
                <w:szCs w:val="20"/>
              </w:rPr>
            </w:pPr>
          </w:p>
        </w:tc>
      </w:tr>
      <w:tr w:rsidR="00044CEF" w14:paraId="57E09406" w14:textId="77777777">
        <w:trPr>
          <w:trHeight w:val="458"/>
        </w:trPr>
        <w:tc>
          <w:tcPr>
            <w:tcW w:w="9360" w:type="dxa"/>
            <w:gridSpan w:val="7"/>
            <w:shd w:val="clear" w:color="auto" w:fill="CFE2F3"/>
            <w:tcMar>
              <w:top w:w="57" w:type="dxa"/>
              <w:left w:w="57" w:type="dxa"/>
              <w:bottom w:w="57" w:type="dxa"/>
              <w:right w:w="57" w:type="dxa"/>
            </w:tcMar>
            <w:vAlign w:val="center"/>
          </w:tcPr>
          <w:p w14:paraId="3B2364D8" w14:textId="77777777" w:rsidR="00044CEF" w:rsidRDefault="00000000">
            <w:pPr>
              <w:rPr>
                <w:sz w:val="22"/>
                <w:szCs w:val="22"/>
              </w:rPr>
            </w:pPr>
            <w:r>
              <w:rPr>
                <w:b/>
                <w:sz w:val="22"/>
                <w:szCs w:val="22"/>
              </w:rPr>
              <w:t>Milestone 3:</w:t>
            </w:r>
            <w:r>
              <w:rPr>
                <w:sz w:val="22"/>
                <w:szCs w:val="22"/>
              </w:rPr>
              <w:t xml:space="preserve"> Distribute 1,000 EE Toolkits in LIDAC Community Facilities Annually.</w:t>
            </w:r>
          </w:p>
        </w:tc>
      </w:tr>
      <w:tr w:rsidR="00044CEF" w14:paraId="3CC3892D" w14:textId="77777777">
        <w:trPr>
          <w:trHeight w:val="420"/>
        </w:trPr>
        <w:tc>
          <w:tcPr>
            <w:tcW w:w="6720" w:type="dxa"/>
            <w:shd w:val="clear" w:color="auto" w:fill="auto"/>
            <w:tcMar>
              <w:top w:w="57" w:type="dxa"/>
              <w:left w:w="57" w:type="dxa"/>
              <w:bottom w:w="57" w:type="dxa"/>
              <w:right w:w="57" w:type="dxa"/>
            </w:tcMar>
          </w:tcPr>
          <w:p w14:paraId="5D9B970D" w14:textId="77777777" w:rsidR="00044CEF" w:rsidRDefault="00000000">
            <w:pPr>
              <w:rPr>
                <w:sz w:val="22"/>
                <w:szCs w:val="22"/>
              </w:rPr>
            </w:pPr>
            <w:r>
              <w:rPr>
                <w:sz w:val="22"/>
                <w:szCs w:val="22"/>
              </w:rPr>
              <w:t>Task 3.1 Outreach staff at TBRPC and MSA Leads determine EE Toolkit composition by March2025.</w:t>
            </w:r>
          </w:p>
        </w:tc>
        <w:tc>
          <w:tcPr>
            <w:tcW w:w="555" w:type="dxa"/>
            <w:tcMar>
              <w:top w:w="57" w:type="dxa"/>
              <w:left w:w="57" w:type="dxa"/>
              <w:bottom w:w="57" w:type="dxa"/>
              <w:right w:w="57" w:type="dxa"/>
            </w:tcMar>
          </w:tcPr>
          <w:p w14:paraId="34FEA4A4" w14:textId="77777777" w:rsidR="00044CEF" w:rsidRDefault="00044CEF">
            <w:pPr>
              <w:widowControl w:val="0"/>
              <w:rPr>
                <w:sz w:val="20"/>
                <w:szCs w:val="20"/>
              </w:rPr>
            </w:pPr>
          </w:p>
        </w:tc>
        <w:tc>
          <w:tcPr>
            <w:tcW w:w="435" w:type="dxa"/>
            <w:shd w:val="clear" w:color="auto" w:fill="7030A0"/>
            <w:tcMar>
              <w:top w:w="57" w:type="dxa"/>
              <w:left w:w="57" w:type="dxa"/>
              <w:bottom w:w="57" w:type="dxa"/>
              <w:right w:w="57" w:type="dxa"/>
            </w:tcMar>
          </w:tcPr>
          <w:p w14:paraId="27FEF608" w14:textId="77777777" w:rsidR="00044CEF" w:rsidRDefault="00044CEF">
            <w:pPr>
              <w:widowControl w:val="0"/>
              <w:rPr>
                <w:sz w:val="20"/>
                <w:szCs w:val="20"/>
              </w:rPr>
            </w:pPr>
          </w:p>
        </w:tc>
        <w:tc>
          <w:tcPr>
            <w:tcW w:w="435" w:type="dxa"/>
            <w:shd w:val="clear" w:color="auto" w:fill="auto"/>
            <w:tcMar>
              <w:top w:w="57" w:type="dxa"/>
              <w:left w:w="57" w:type="dxa"/>
              <w:bottom w:w="57" w:type="dxa"/>
              <w:right w:w="57" w:type="dxa"/>
            </w:tcMar>
          </w:tcPr>
          <w:p w14:paraId="7B314B32" w14:textId="77777777" w:rsidR="00044CEF" w:rsidRDefault="00044CEF">
            <w:pPr>
              <w:widowControl w:val="0"/>
              <w:rPr>
                <w:sz w:val="20"/>
                <w:szCs w:val="20"/>
              </w:rPr>
            </w:pPr>
          </w:p>
        </w:tc>
        <w:tc>
          <w:tcPr>
            <w:tcW w:w="405" w:type="dxa"/>
            <w:shd w:val="clear" w:color="auto" w:fill="auto"/>
            <w:tcMar>
              <w:top w:w="57" w:type="dxa"/>
              <w:left w:w="57" w:type="dxa"/>
              <w:bottom w:w="57" w:type="dxa"/>
              <w:right w:w="57" w:type="dxa"/>
            </w:tcMar>
          </w:tcPr>
          <w:p w14:paraId="2D1EC982" w14:textId="77777777" w:rsidR="00044CEF" w:rsidRDefault="00044CEF">
            <w:pPr>
              <w:widowControl w:val="0"/>
              <w:rPr>
                <w:sz w:val="20"/>
                <w:szCs w:val="20"/>
              </w:rPr>
            </w:pPr>
          </w:p>
        </w:tc>
        <w:tc>
          <w:tcPr>
            <w:tcW w:w="405" w:type="dxa"/>
            <w:shd w:val="clear" w:color="auto" w:fill="auto"/>
            <w:tcMar>
              <w:top w:w="57" w:type="dxa"/>
              <w:left w:w="57" w:type="dxa"/>
              <w:bottom w:w="57" w:type="dxa"/>
              <w:right w:w="57" w:type="dxa"/>
            </w:tcMar>
          </w:tcPr>
          <w:p w14:paraId="11253BF3" w14:textId="77777777" w:rsidR="00044CEF" w:rsidRDefault="00044CEF">
            <w:pPr>
              <w:widowControl w:val="0"/>
              <w:rPr>
                <w:sz w:val="20"/>
                <w:szCs w:val="20"/>
              </w:rPr>
            </w:pPr>
          </w:p>
        </w:tc>
        <w:tc>
          <w:tcPr>
            <w:tcW w:w="405" w:type="dxa"/>
            <w:shd w:val="clear" w:color="auto" w:fill="auto"/>
            <w:tcMar>
              <w:top w:w="57" w:type="dxa"/>
              <w:left w:w="57" w:type="dxa"/>
              <w:bottom w:w="57" w:type="dxa"/>
              <w:right w:w="57" w:type="dxa"/>
            </w:tcMar>
          </w:tcPr>
          <w:p w14:paraId="5C7983D6" w14:textId="77777777" w:rsidR="00044CEF" w:rsidRDefault="00044CEF">
            <w:pPr>
              <w:widowControl w:val="0"/>
              <w:rPr>
                <w:sz w:val="20"/>
                <w:szCs w:val="20"/>
              </w:rPr>
            </w:pPr>
          </w:p>
        </w:tc>
      </w:tr>
      <w:tr w:rsidR="00044CEF" w14:paraId="2A5A96C7" w14:textId="77777777">
        <w:trPr>
          <w:trHeight w:val="420"/>
        </w:trPr>
        <w:tc>
          <w:tcPr>
            <w:tcW w:w="6720" w:type="dxa"/>
            <w:shd w:val="clear" w:color="auto" w:fill="auto"/>
            <w:tcMar>
              <w:top w:w="57" w:type="dxa"/>
              <w:left w:w="57" w:type="dxa"/>
              <w:bottom w:w="57" w:type="dxa"/>
              <w:right w:w="57" w:type="dxa"/>
            </w:tcMar>
          </w:tcPr>
          <w:p w14:paraId="3472546C" w14:textId="77777777" w:rsidR="00044CEF" w:rsidRDefault="00000000">
            <w:pPr>
              <w:rPr>
                <w:sz w:val="22"/>
                <w:szCs w:val="22"/>
              </w:rPr>
            </w:pPr>
            <w:r>
              <w:rPr>
                <w:sz w:val="22"/>
                <w:szCs w:val="22"/>
              </w:rPr>
              <w:t xml:space="preserve">Task 3.2 TBRPC, MSA Leads and </w:t>
            </w:r>
            <w:proofErr w:type="spellStart"/>
            <w:r>
              <w:rPr>
                <w:sz w:val="22"/>
                <w:szCs w:val="22"/>
              </w:rPr>
              <w:t>subawardees</w:t>
            </w:r>
            <w:proofErr w:type="spellEnd"/>
            <w:r>
              <w:rPr>
                <w:sz w:val="22"/>
                <w:szCs w:val="22"/>
              </w:rPr>
              <w:t xml:space="preserve"> purchase and compile EE Toolkits by May 2025. </w:t>
            </w:r>
          </w:p>
        </w:tc>
        <w:tc>
          <w:tcPr>
            <w:tcW w:w="555" w:type="dxa"/>
            <w:shd w:val="clear" w:color="auto" w:fill="auto"/>
            <w:tcMar>
              <w:top w:w="57" w:type="dxa"/>
              <w:left w:w="57" w:type="dxa"/>
              <w:bottom w:w="57" w:type="dxa"/>
              <w:right w:w="57" w:type="dxa"/>
            </w:tcMar>
          </w:tcPr>
          <w:p w14:paraId="211D7B3E" w14:textId="77777777" w:rsidR="00044CEF" w:rsidRDefault="00044CEF">
            <w:pPr>
              <w:widowControl w:val="0"/>
              <w:rPr>
                <w:sz w:val="20"/>
                <w:szCs w:val="20"/>
              </w:rPr>
            </w:pPr>
          </w:p>
        </w:tc>
        <w:tc>
          <w:tcPr>
            <w:tcW w:w="435" w:type="dxa"/>
            <w:shd w:val="clear" w:color="auto" w:fill="7030A0"/>
            <w:tcMar>
              <w:top w:w="57" w:type="dxa"/>
              <w:left w:w="57" w:type="dxa"/>
              <w:bottom w:w="57" w:type="dxa"/>
              <w:right w:w="57" w:type="dxa"/>
            </w:tcMar>
          </w:tcPr>
          <w:p w14:paraId="030DC25C" w14:textId="77777777" w:rsidR="00044CEF" w:rsidRDefault="00044CEF">
            <w:pPr>
              <w:widowControl w:val="0"/>
              <w:rPr>
                <w:sz w:val="20"/>
                <w:szCs w:val="20"/>
              </w:rPr>
            </w:pPr>
          </w:p>
        </w:tc>
        <w:tc>
          <w:tcPr>
            <w:tcW w:w="435" w:type="dxa"/>
            <w:shd w:val="clear" w:color="auto" w:fill="auto"/>
            <w:tcMar>
              <w:top w:w="57" w:type="dxa"/>
              <w:left w:w="57" w:type="dxa"/>
              <w:bottom w:w="57" w:type="dxa"/>
              <w:right w:w="57" w:type="dxa"/>
            </w:tcMar>
          </w:tcPr>
          <w:p w14:paraId="41E5E5D0" w14:textId="77777777" w:rsidR="00044CEF" w:rsidRDefault="00044CEF">
            <w:pPr>
              <w:widowControl w:val="0"/>
              <w:rPr>
                <w:sz w:val="20"/>
                <w:szCs w:val="20"/>
              </w:rPr>
            </w:pPr>
          </w:p>
        </w:tc>
        <w:tc>
          <w:tcPr>
            <w:tcW w:w="405" w:type="dxa"/>
            <w:shd w:val="clear" w:color="auto" w:fill="auto"/>
            <w:tcMar>
              <w:top w:w="57" w:type="dxa"/>
              <w:left w:w="57" w:type="dxa"/>
              <w:bottom w:w="57" w:type="dxa"/>
              <w:right w:w="57" w:type="dxa"/>
            </w:tcMar>
          </w:tcPr>
          <w:p w14:paraId="2BAE44B7" w14:textId="77777777" w:rsidR="00044CEF" w:rsidRDefault="00044CEF">
            <w:pPr>
              <w:widowControl w:val="0"/>
              <w:rPr>
                <w:sz w:val="20"/>
                <w:szCs w:val="20"/>
              </w:rPr>
            </w:pPr>
          </w:p>
        </w:tc>
        <w:tc>
          <w:tcPr>
            <w:tcW w:w="405" w:type="dxa"/>
            <w:shd w:val="clear" w:color="auto" w:fill="auto"/>
            <w:tcMar>
              <w:top w:w="57" w:type="dxa"/>
              <w:left w:w="57" w:type="dxa"/>
              <w:bottom w:w="57" w:type="dxa"/>
              <w:right w:w="57" w:type="dxa"/>
            </w:tcMar>
          </w:tcPr>
          <w:p w14:paraId="578EFD64" w14:textId="77777777" w:rsidR="00044CEF" w:rsidRDefault="00044CEF">
            <w:pPr>
              <w:widowControl w:val="0"/>
              <w:rPr>
                <w:sz w:val="20"/>
                <w:szCs w:val="20"/>
              </w:rPr>
            </w:pPr>
          </w:p>
        </w:tc>
        <w:tc>
          <w:tcPr>
            <w:tcW w:w="405" w:type="dxa"/>
            <w:shd w:val="clear" w:color="auto" w:fill="auto"/>
            <w:tcMar>
              <w:top w:w="57" w:type="dxa"/>
              <w:left w:w="57" w:type="dxa"/>
              <w:bottom w:w="57" w:type="dxa"/>
              <w:right w:w="57" w:type="dxa"/>
            </w:tcMar>
          </w:tcPr>
          <w:p w14:paraId="239BC829" w14:textId="77777777" w:rsidR="00044CEF" w:rsidRDefault="00044CEF">
            <w:pPr>
              <w:widowControl w:val="0"/>
              <w:rPr>
                <w:sz w:val="20"/>
                <w:szCs w:val="20"/>
              </w:rPr>
            </w:pPr>
          </w:p>
        </w:tc>
      </w:tr>
      <w:tr w:rsidR="00044CEF" w14:paraId="7216578E" w14:textId="77777777">
        <w:trPr>
          <w:trHeight w:val="420"/>
        </w:trPr>
        <w:tc>
          <w:tcPr>
            <w:tcW w:w="6720" w:type="dxa"/>
            <w:shd w:val="clear" w:color="auto" w:fill="auto"/>
            <w:tcMar>
              <w:top w:w="57" w:type="dxa"/>
              <w:left w:w="57" w:type="dxa"/>
              <w:bottom w:w="57" w:type="dxa"/>
              <w:right w:w="57" w:type="dxa"/>
            </w:tcMar>
          </w:tcPr>
          <w:p w14:paraId="70570783" w14:textId="77777777" w:rsidR="00044CEF" w:rsidRDefault="00000000">
            <w:pPr>
              <w:rPr>
                <w:sz w:val="22"/>
                <w:szCs w:val="22"/>
              </w:rPr>
            </w:pPr>
            <w:r>
              <w:rPr>
                <w:sz w:val="22"/>
                <w:szCs w:val="22"/>
              </w:rPr>
              <w:t xml:space="preserve">Task 3.3 TBRPC, MSA Leads and </w:t>
            </w:r>
            <w:proofErr w:type="spellStart"/>
            <w:r>
              <w:rPr>
                <w:sz w:val="22"/>
                <w:szCs w:val="22"/>
              </w:rPr>
              <w:t>subawardees</w:t>
            </w:r>
            <w:proofErr w:type="spellEnd"/>
            <w:r>
              <w:rPr>
                <w:sz w:val="22"/>
                <w:szCs w:val="22"/>
              </w:rPr>
              <w:t xml:space="preserve"> hold multi-lingual energy efficiency sessions where EE Toolkits will be distributed during Task 2.4 energy efficiency educational classes.  </w:t>
            </w:r>
          </w:p>
        </w:tc>
        <w:tc>
          <w:tcPr>
            <w:tcW w:w="555" w:type="dxa"/>
            <w:shd w:val="clear" w:color="auto" w:fill="auto"/>
            <w:tcMar>
              <w:top w:w="57" w:type="dxa"/>
              <w:left w:w="57" w:type="dxa"/>
              <w:bottom w:w="57" w:type="dxa"/>
              <w:right w:w="57" w:type="dxa"/>
            </w:tcMar>
          </w:tcPr>
          <w:p w14:paraId="55C827C5" w14:textId="77777777" w:rsidR="00044CEF" w:rsidRDefault="00044CEF">
            <w:pPr>
              <w:widowControl w:val="0"/>
              <w:rPr>
                <w:sz w:val="20"/>
                <w:szCs w:val="20"/>
              </w:rPr>
            </w:pPr>
          </w:p>
        </w:tc>
        <w:tc>
          <w:tcPr>
            <w:tcW w:w="435" w:type="dxa"/>
            <w:shd w:val="clear" w:color="auto" w:fill="7030A0"/>
            <w:tcMar>
              <w:top w:w="57" w:type="dxa"/>
              <w:left w:w="57" w:type="dxa"/>
              <w:bottom w:w="57" w:type="dxa"/>
              <w:right w:w="57" w:type="dxa"/>
            </w:tcMar>
          </w:tcPr>
          <w:p w14:paraId="7AAAA214" w14:textId="77777777" w:rsidR="00044CEF" w:rsidRDefault="00044CEF">
            <w:pPr>
              <w:widowControl w:val="0"/>
              <w:rPr>
                <w:sz w:val="20"/>
                <w:szCs w:val="20"/>
              </w:rPr>
            </w:pPr>
          </w:p>
        </w:tc>
        <w:tc>
          <w:tcPr>
            <w:tcW w:w="435" w:type="dxa"/>
            <w:shd w:val="clear" w:color="auto" w:fill="7030A0"/>
            <w:tcMar>
              <w:top w:w="57" w:type="dxa"/>
              <w:left w:w="57" w:type="dxa"/>
              <w:bottom w:w="57" w:type="dxa"/>
              <w:right w:w="57" w:type="dxa"/>
            </w:tcMar>
          </w:tcPr>
          <w:p w14:paraId="7F18E095" w14:textId="77777777" w:rsidR="00044CEF" w:rsidRDefault="00044CEF">
            <w:pPr>
              <w:widowControl w:val="0"/>
              <w:rPr>
                <w:sz w:val="20"/>
                <w:szCs w:val="20"/>
              </w:rPr>
            </w:pPr>
          </w:p>
        </w:tc>
        <w:tc>
          <w:tcPr>
            <w:tcW w:w="405" w:type="dxa"/>
            <w:shd w:val="clear" w:color="auto" w:fill="7030A0"/>
            <w:tcMar>
              <w:top w:w="57" w:type="dxa"/>
              <w:left w:w="57" w:type="dxa"/>
              <w:bottom w:w="57" w:type="dxa"/>
              <w:right w:w="57" w:type="dxa"/>
            </w:tcMar>
          </w:tcPr>
          <w:p w14:paraId="786CB5FA" w14:textId="77777777" w:rsidR="00044CEF" w:rsidRDefault="00044CEF">
            <w:pPr>
              <w:widowControl w:val="0"/>
              <w:rPr>
                <w:sz w:val="20"/>
                <w:szCs w:val="20"/>
              </w:rPr>
            </w:pPr>
          </w:p>
        </w:tc>
        <w:tc>
          <w:tcPr>
            <w:tcW w:w="405" w:type="dxa"/>
            <w:shd w:val="clear" w:color="auto" w:fill="7030A0"/>
            <w:tcMar>
              <w:top w:w="57" w:type="dxa"/>
              <w:left w:w="57" w:type="dxa"/>
              <w:bottom w:w="57" w:type="dxa"/>
              <w:right w:w="57" w:type="dxa"/>
            </w:tcMar>
          </w:tcPr>
          <w:p w14:paraId="7D8E2FC7" w14:textId="77777777" w:rsidR="00044CEF" w:rsidRDefault="00044CEF">
            <w:pPr>
              <w:widowControl w:val="0"/>
              <w:rPr>
                <w:sz w:val="20"/>
                <w:szCs w:val="20"/>
              </w:rPr>
            </w:pPr>
          </w:p>
        </w:tc>
        <w:tc>
          <w:tcPr>
            <w:tcW w:w="405" w:type="dxa"/>
            <w:shd w:val="clear" w:color="auto" w:fill="7030A0"/>
            <w:tcMar>
              <w:top w:w="57" w:type="dxa"/>
              <w:left w:w="57" w:type="dxa"/>
              <w:bottom w:w="57" w:type="dxa"/>
              <w:right w:w="57" w:type="dxa"/>
            </w:tcMar>
          </w:tcPr>
          <w:p w14:paraId="52CBDE27" w14:textId="77777777" w:rsidR="00044CEF" w:rsidRDefault="00044CEF">
            <w:pPr>
              <w:widowControl w:val="0"/>
              <w:rPr>
                <w:sz w:val="20"/>
                <w:szCs w:val="20"/>
              </w:rPr>
            </w:pPr>
          </w:p>
        </w:tc>
      </w:tr>
      <w:tr w:rsidR="00044CEF" w14:paraId="0630A51B" w14:textId="77777777">
        <w:trPr>
          <w:trHeight w:val="420"/>
        </w:trPr>
        <w:tc>
          <w:tcPr>
            <w:tcW w:w="9360" w:type="dxa"/>
            <w:gridSpan w:val="7"/>
            <w:shd w:val="clear" w:color="auto" w:fill="CFE2F3"/>
            <w:tcMar>
              <w:top w:w="57" w:type="dxa"/>
              <w:left w:w="57" w:type="dxa"/>
              <w:bottom w:w="57" w:type="dxa"/>
              <w:right w:w="57" w:type="dxa"/>
            </w:tcMar>
            <w:vAlign w:val="center"/>
          </w:tcPr>
          <w:p w14:paraId="5E29D72C" w14:textId="77777777" w:rsidR="00044CEF" w:rsidRDefault="00000000">
            <w:pPr>
              <w:rPr>
                <w:sz w:val="22"/>
                <w:szCs w:val="22"/>
              </w:rPr>
            </w:pPr>
            <w:r>
              <w:rPr>
                <w:b/>
                <w:sz w:val="22"/>
                <w:szCs w:val="22"/>
              </w:rPr>
              <w:t xml:space="preserve">Milestone 4: </w:t>
            </w:r>
            <w:r>
              <w:rPr>
                <w:sz w:val="22"/>
                <w:szCs w:val="22"/>
              </w:rPr>
              <w:t xml:space="preserve">Provide 700 REA Toolkits to LIDAC Serving Public Facilities.  </w:t>
            </w:r>
          </w:p>
        </w:tc>
      </w:tr>
      <w:tr w:rsidR="00044CEF" w14:paraId="2153339F" w14:textId="77777777">
        <w:trPr>
          <w:trHeight w:val="420"/>
        </w:trPr>
        <w:tc>
          <w:tcPr>
            <w:tcW w:w="6720" w:type="dxa"/>
            <w:shd w:val="clear" w:color="auto" w:fill="auto"/>
            <w:tcMar>
              <w:top w:w="57" w:type="dxa"/>
              <w:left w:w="57" w:type="dxa"/>
              <w:bottom w:w="57" w:type="dxa"/>
              <w:right w:w="57" w:type="dxa"/>
            </w:tcMar>
          </w:tcPr>
          <w:p w14:paraId="133AA26D" w14:textId="77777777" w:rsidR="00044CEF" w:rsidRDefault="00000000">
            <w:pPr>
              <w:rPr>
                <w:sz w:val="22"/>
                <w:szCs w:val="22"/>
              </w:rPr>
            </w:pPr>
            <w:r>
              <w:rPr>
                <w:sz w:val="22"/>
                <w:szCs w:val="22"/>
              </w:rPr>
              <w:t>Task 4.1 Outreach staff at TBRPC and MSA Leads determine REA Toolkit composition by March 2025.</w:t>
            </w:r>
          </w:p>
        </w:tc>
        <w:tc>
          <w:tcPr>
            <w:tcW w:w="555" w:type="dxa"/>
            <w:shd w:val="clear" w:color="auto" w:fill="auto"/>
            <w:tcMar>
              <w:top w:w="57" w:type="dxa"/>
              <w:left w:w="57" w:type="dxa"/>
              <w:bottom w:w="57" w:type="dxa"/>
              <w:right w:w="57" w:type="dxa"/>
            </w:tcMar>
          </w:tcPr>
          <w:p w14:paraId="4B75EA1E" w14:textId="77777777" w:rsidR="00044CEF" w:rsidRDefault="00044CEF">
            <w:pPr>
              <w:widowControl w:val="0"/>
              <w:rPr>
                <w:sz w:val="20"/>
                <w:szCs w:val="20"/>
              </w:rPr>
            </w:pPr>
          </w:p>
        </w:tc>
        <w:tc>
          <w:tcPr>
            <w:tcW w:w="435" w:type="dxa"/>
            <w:shd w:val="clear" w:color="auto" w:fill="F4CCCC"/>
            <w:tcMar>
              <w:top w:w="57" w:type="dxa"/>
              <w:left w:w="57" w:type="dxa"/>
              <w:bottom w:w="57" w:type="dxa"/>
              <w:right w:w="57" w:type="dxa"/>
            </w:tcMar>
          </w:tcPr>
          <w:p w14:paraId="05A3556C" w14:textId="77777777" w:rsidR="00044CEF" w:rsidRDefault="00044CEF">
            <w:pPr>
              <w:widowControl w:val="0"/>
              <w:rPr>
                <w:sz w:val="20"/>
                <w:szCs w:val="20"/>
              </w:rPr>
            </w:pPr>
          </w:p>
        </w:tc>
        <w:tc>
          <w:tcPr>
            <w:tcW w:w="435" w:type="dxa"/>
            <w:shd w:val="clear" w:color="auto" w:fill="auto"/>
            <w:tcMar>
              <w:top w:w="57" w:type="dxa"/>
              <w:left w:w="57" w:type="dxa"/>
              <w:bottom w:w="57" w:type="dxa"/>
              <w:right w:w="57" w:type="dxa"/>
            </w:tcMar>
          </w:tcPr>
          <w:p w14:paraId="6610BF83" w14:textId="77777777" w:rsidR="00044CEF" w:rsidRDefault="00044CEF">
            <w:pPr>
              <w:rPr>
                <w:sz w:val="20"/>
                <w:szCs w:val="20"/>
              </w:rPr>
            </w:pPr>
          </w:p>
        </w:tc>
        <w:tc>
          <w:tcPr>
            <w:tcW w:w="405" w:type="dxa"/>
            <w:shd w:val="clear" w:color="auto" w:fill="auto"/>
            <w:tcMar>
              <w:top w:w="57" w:type="dxa"/>
              <w:left w:w="57" w:type="dxa"/>
              <w:bottom w:w="57" w:type="dxa"/>
              <w:right w:w="57" w:type="dxa"/>
            </w:tcMar>
          </w:tcPr>
          <w:p w14:paraId="2B8FF608" w14:textId="77777777" w:rsidR="00044CEF" w:rsidRDefault="00044CEF">
            <w:pPr>
              <w:rPr>
                <w:sz w:val="20"/>
                <w:szCs w:val="20"/>
              </w:rPr>
            </w:pPr>
          </w:p>
        </w:tc>
        <w:tc>
          <w:tcPr>
            <w:tcW w:w="405" w:type="dxa"/>
            <w:shd w:val="clear" w:color="auto" w:fill="auto"/>
            <w:tcMar>
              <w:top w:w="57" w:type="dxa"/>
              <w:left w:w="57" w:type="dxa"/>
              <w:bottom w:w="57" w:type="dxa"/>
              <w:right w:w="57" w:type="dxa"/>
            </w:tcMar>
          </w:tcPr>
          <w:p w14:paraId="4CDE6AE5" w14:textId="77777777" w:rsidR="00044CEF" w:rsidRDefault="00044CEF">
            <w:pPr>
              <w:rPr>
                <w:sz w:val="20"/>
                <w:szCs w:val="20"/>
              </w:rPr>
            </w:pPr>
          </w:p>
        </w:tc>
        <w:tc>
          <w:tcPr>
            <w:tcW w:w="405" w:type="dxa"/>
            <w:shd w:val="clear" w:color="auto" w:fill="auto"/>
            <w:tcMar>
              <w:top w:w="57" w:type="dxa"/>
              <w:left w:w="57" w:type="dxa"/>
              <w:bottom w:w="57" w:type="dxa"/>
              <w:right w:w="57" w:type="dxa"/>
            </w:tcMar>
          </w:tcPr>
          <w:p w14:paraId="0BB7B2CE" w14:textId="77777777" w:rsidR="00044CEF" w:rsidRDefault="00044CEF">
            <w:pPr>
              <w:rPr>
                <w:sz w:val="20"/>
                <w:szCs w:val="20"/>
              </w:rPr>
            </w:pPr>
          </w:p>
        </w:tc>
      </w:tr>
      <w:tr w:rsidR="00044CEF" w14:paraId="3F4B6264" w14:textId="77777777">
        <w:trPr>
          <w:trHeight w:val="420"/>
        </w:trPr>
        <w:tc>
          <w:tcPr>
            <w:tcW w:w="6720" w:type="dxa"/>
            <w:shd w:val="clear" w:color="auto" w:fill="auto"/>
            <w:tcMar>
              <w:top w:w="57" w:type="dxa"/>
              <w:left w:w="57" w:type="dxa"/>
              <w:bottom w:w="57" w:type="dxa"/>
              <w:right w:w="57" w:type="dxa"/>
            </w:tcMar>
          </w:tcPr>
          <w:p w14:paraId="0FF029BD" w14:textId="77777777" w:rsidR="00044CEF" w:rsidRDefault="00000000">
            <w:pPr>
              <w:rPr>
                <w:sz w:val="22"/>
                <w:szCs w:val="22"/>
              </w:rPr>
            </w:pPr>
            <w:r>
              <w:rPr>
                <w:sz w:val="22"/>
                <w:szCs w:val="22"/>
              </w:rPr>
              <w:t xml:space="preserve">Task </w:t>
            </w:r>
            <w:proofErr w:type="gramStart"/>
            <w:r>
              <w:rPr>
                <w:sz w:val="22"/>
                <w:szCs w:val="22"/>
              </w:rPr>
              <w:t>4.2  TBRPC</w:t>
            </w:r>
            <w:proofErr w:type="gramEnd"/>
            <w:r>
              <w:rPr>
                <w:sz w:val="22"/>
                <w:szCs w:val="22"/>
              </w:rPr>
              <w:t xml:space="preserve">, MSA Leads and </w:t>
            </w:r>
            <w:proofErr w:type="spellStart"/>
            <w:r>
              <w:rPr>
                <w:sz w:val="22"/>
                <w:szCs w:val="22"/>
              </w:rPr>
              <w:t>subawardees</w:t>
            </w:r>
            <w:proofErr w:type="spellEnd"/>
            <w:r>
              <w:rPr>
                <w:sz w:val="22"/>
                <w:szCs w:val="22"/>
              </w:rPr>
              <w:t xml:space="preserve"> purchase and compile REA Toolkits by May 2025. </w:t>
            </w:r>
          </w:p>
        </w:tc>
        <w:tc>
          <w:tcPr>
            <w:tcW w:w="555" w:type="dxa"/>
            <w:shd w:val="clear" w:color="auto" w:fill="auto"/>
            <w:tcMar>
              <w:top w:w="57" w:type="dxa"/>
              <w:left w:w="57" w:type="dxa"/>
              <w:bottom w:w="57" w:type="dxa"/>
              <w:right w:w="57" w:type="dxa"/>
            </w:tcMar>
          </w:tcPr>
          <w:p w14:paraId="0B7DFC5F" w14:textId="77777777" w:rsidR="00044CEF" w:rsidRDefault="00044CEF">
            <w:pPr>
              <w:widowControl w:val="0"/>
              <w:rPr>
                <w:sz w:val="20"/>
                <w:szCs w:val="20"/>
              </w:rPr>
            </w:pPr>
          </w:p>
        </w:tc>
        <w:tc>
          <w:tcPr>
            <w:tcW w:w="435" w:type="dxa"/>
            <w:shd w:val="clear" w:color="auto" w:fill="F4CCCC"/>
            <w:tcMar>
              <w:top w:w="57" w:type="dxa"/>
              <w:left w:w="57" w:type="dxa"/>
              <w:bottom w:w="57" w:type="dxa"/>
              <w:right w:w="57" w:type="dxa"/>
            </w:tcMar>
          </w:tcPr>
          <w:p w14:paraId="7B4791A3" w14:textId="77777777" w:rsidR="00044CEF" w:rsidRDefault="00044CEF">
            <w:pPr>
              <w:widowControl w:val="0"/>
              <w:rPr>
                <w:sz w:val="20"/>
                <w:szCs w:val="20"/>
              </w:rPr>
            </w:pPr>
          </w:p>
        </w:tc>
        <w:tc>
          <w:tcPr>
            <w:tcW w:w="435" w:type="dxa"/>
            <w:shd w:val="clear" w:color="auto" w:fill="auto"/>
            <w:tcMar>
              <w:top w:w="57" w:type="dxa"/>
              <w:left w:w="57" w:type="dxa"/>
              <w:bottom w:w="57" w:type="dxa"/>
              <w:right w:w="57" w:type="dxa"/>
            </w:tcMar>
          </w:tcPr>
          <w:p w14:paraId="03AB2536" w14:textId="77777777" w:rsidR="00044CEF" w:rsidRDefault="00044CEF">
            <w:pPr>
              <w:rPr>
                <w:sz w:val="20"/>
                <w:szCs w:val="20"/>
              </w:rPr>
            </w:pPr>
          </w:p>
        </w:tc>
        <w:tc>
          <w:tcPr>
            <w:tcW w:w="405" w:type="dxa"/>
            <w:shd w:val="clear" w:color="auto" w:fill="auto"/>
            <w:tcMar>
              <w:top w:w="57" w:type="dxa"/>
              <w:left w:w="57" w:type="dxa"/>
              <w:bottom w:w="57" w:type="dxa"/>
              <w:right w:w="57" w:type="dxa"/>
            </w:tcMar>
          </w:tcPr>
          <w:p w14:paraId="57BF39FE" w14:textId="77777777" w:rsidR="00044CEF" w:rsidRDefault="00044CEF">
            <w:pPr>
              <w:rPr>
                <w:sz w:val="20"/>
                <w:szCs w:val="20"/>
              </w:rPr>
            </w:pPr>
          </w:p>
        </w:tc>
        <w:tc>
          <w:tcPr>
            <w:tcW w:w="405" w:type="dxa"/>
            <w:shd w:val="clear" w:color="auto" w:fill="auto"/>
            <w:tcMar>
              <w:top w:w="57" w:type="dxa"/>
              <w:left w:w="57" w:type="dxa"/>
              <w:bottom w:w="57" w:type="dxa"/>
              <w:right w:w="57" w:type="dxa"/>
            </w:tcMar>
          </w:tcPr>
          <w:p w14:paraId="5E20BA03" w14:textId="77777777" w:rsidR="00044CEF" w:rsidRDefault="00044CEF">
            <w:pPr>
              <w:rPr>
                <w:sz w:val="20"/>
                <w:szCs w:val="20"/>
              </w:rPr>
            </w:pPr>
          </w:p>
        </w:tc>
        <w:tc>
          <w:tcPr>
            <w:tcW w:w="405" w:type="dxa"/>
            <w:shd w:val="clear" w:color="auto" w:fill="auto"/>
            <w:tcMar>
              <w:top w:w="57" w:type="dxa"/>
              <w:left w:w="57" w:type="dxa"/>
              <w:bottom w:w="57" w:type="dxa"/>
              <w:right w:w="57" w:type="dxa"/>
            </w:tcMar>
          </w:tcPr>
          <w:p w14:paraId="288CDEC8" w14:textId="77777777" w:rsidR="00044CEF" w:rsidRDefault="00044CEF">
            <w:pPr>
              <w:rPr>
                <w:sz w:val="20"/>
                <w:szCs w:val="20"/>
              </w:rPr>
            </w:pPr>
          </w:p>
        </w:tc>
      </w:tr>
      <w:tr w:rsidR="00044CEF" w14:paraId="045C2F36" w14:textId="77777777">
        <w:trPr>
          <w:trHeight w:val="420"/>
        </w:trPr>
        <w:tc>
          <w:tcPr>
            <w:tcW w:w="6720" w:type="dxa"/>
            <w:shd w:val="clear" w:color="auto" w:fill="auto"/>
            <w:tcMar>
              <w:top w:w="57" w:type="dxa"/>
              <w:left w:w="57" w:type="dxa"/>
              <w:bottom w:w="57" w:type="dxa"/>
              <w:right w:w="57" w:type="dxa"/>
            </w:tcMar>
          </w:tcPr>
          <w:p w14:paraId="4A0A77F6" w14:textId="77777777" w:rsidR="00044CEF" w:rsidRDefault="00000000">
            <w:pPr>
              <w:rPr>
                <w:sz w:val="22"/>
                <w:szCs w:val="22"/>
              </w:rPr>
            </w:pPr>
            <w:r>
              <w:rPr>
                <w:sz w:val="22"/>
                <w:szCs w:val="22"/>
              </w:rPr>
              <w:t xml:space="preserve">Task </w:t>
            </w:r>
            <w:proofErr w:type="gramStart"/>
            <w:r>
              <w:rPr>
                <w:sz w:val="22"/>
                <w:szCs w:val="22"/>
              </w:rPr>
              <w:t>4.3  TBRPC</w:t>
            </w:r>
            <w:proofErr w:type="gramEnd"/>
            <w:r>
              <w:rPr>
                <w:sz w:val="22"/>
                <w:szCs w:val="22"/>
              </w:rPr>
              <w:t xml:space="preserve">, MSA Leads and </w:t>
            </w:r>
            <w:proofErr w:type="spellStart"/>
            <w:r>
              <w:rPr>
                <w:sz w:val="22"/>
                <w:szCs w:val="22"/>
              </w:rPr>
              <w:t>subawardees</w:t>
            </w:r>
            <w:proofErr w:type="spellEnd"/>
            <w:r>
              <w:rPr>
                <w:sz w:val="22"/>
                <w:szCs w:val="22"/>
              </w:rPr>
              <w:t xml:space="preserve"> provide REA Toolkits to LIDAC Community Facilities to be publicly accessible  by May 2025.  </w:t>
            </w:r>
          </w:p>
        </w:tc>
        <w:tc>
          <w:tcPr>
            <w:tcW w:w="555" w:type="dxa"/>
            <w:shd w:val="clear" w:color="auto" w:fill="auto"/>
            <w:tcMar>
              <w:top w:w="57" w:type="dxa"/>
              <w:left w:w="57" w:type="dxa"/>
              <w:bottom w:w="57" w:type="dxa"/>
              <w:right w:w="57" w:type="dxa"/>
            </w:tcMar>
          </w:tcPr>
          <w:p w14:paraId="0EA8E5D9" w14:textId="77777777" w:rsidR="00044CEF" w:rsidRDefault="00044CEF">
            <w:pPr>
              <w:widowControl w:val="0"/>
              <w:rPr>
                <w:sz w:val="20"/>
                <w:szCs w:val="20"/>
              </w:rPr>
            </w:pPr>
          </w:p>
        </w:tc>
        <w:tc>
          <w:tcPr>
            <w:tcW w:w="435" w:type="dxa"/>
            <w:shd w:val="clear" w:color="auto" w:fill="F4CCCC"/>
            <w:tcMar>
              <w:top w:w="57" w:type="dxa"/>
              <w:left w:w="57" w:type="dxa"/>
              <w:bottom w:w="57" w:type="dxa"/>
              <w:right w:w="57" w:type="dxa"/>
            </w:tcMar>
          </w:tcPr>
          <w:p w14:paraId="00866245" w14:textId="77777777" w:rsidR="00044CEF" w:rsidRDefault="00044CEF">
            <w:pPr>
              <w:widowControl w:val="0"/>
              <w:rPr>
                <w:sz w:val="20"/>
                <w:szCs w:val="20"/>
              </w:rPr>
            </w:pPr>
          </w:p>
        </w:tc>
        <w:tc>
          <w:tcPr>
            <w:tcW w:w="435" w:type="dxa"/>
            <w:shd w:val="clear" w:color="auto" w:fill="F4CCCC"/>
            <w:tcMar>
              <w:top w:w="57" w:type="dxa"/>
              <w:left w:w="57" w:type="dxa"/>
              <w:bottom w:w="57" w:type="dxa"/>
              <w:right w:w="57" w:type="dxa"/>
            </w:tcMar>
          </w:tcPr>
          <w:p w14:paraId="3E749987" w14:textId="77777777" w:rsidR="00044CEF" w:rsidRDefault="00044CEF">
            <w:pPr>
              <w:widowControl w:val="0"/>
              <w:rPr>
                <w:sz w:val="20"/>
                <w:szCs w:val="20"/>
              </w:rPr>
            </w:pPr>
          </w:p>
        </w:tc>
        <w:tc>
          <w:tcPr>
            <w:tcW w:w="405" w:type="dxa"/>
            <w:shd w:val="clear" w:color="auto" w:fill="F4CCCC"/>
            <w:tcMar>
              <w:top w:w="57" w:type="dxa"/>
              <w:left w:w="57" w:type="dxa"/>
              <w:bottom w:w="57" w:type="dxa"/>
              <w:right w:w="57" w:type="dxa"/>
            </w:tcMar>
          </w:tcPr>
          <w:p w14:paraId="1A32AD2F" w14:textId="77777777" w:rsidR="00044CEF" w:rsidRDefault="00044CEF">
            <w:pPr>
              <w:widowControl w:val="0"/>
              <w:rPr>
                <w:sz w:val="20"/>
                <w:szCs w:val="20"/>
              </w:rPr>
            </w:pPr>
          </w:p>
        </w:tc>
        <w:tc>
          <w:tcPr>
            <w:tcW w:w="405" w:type="dxa"/>
            <w:shd w:val="clear" w:color="auto" w:fill="F4CCCC"/>
            <w:tcMar>
              <w:top w:w="57" w:type="dxa"/>
              <w:left w:w="57" w:type="dxa"/>
              <w:bottom w:w="57" w:type="dxa"/>
              <w:right w:w="57" w:type="dxa"/>
            </w:tcMar>
          </w:tcPr>
          <w:p w14:paraId="252A9A8D" w14:textId="77777777" w:rsidR="00044CEF" w:rsidRDefault="00044CEF">
            <w:pPr>
              <w:widowControl w:val="0"/>
              <w:rPr>
                <w:sz w:val="20"/>
                <w:szCs w:val="20"/>
              </w:rPr>
            </w:pPr>
          </w:p>
        </w:tc>
        <w:tc>
          <w:tcPr>
            <w:tcW w:w="405" w:type="dxa"/>
            <w:shd w:val="clear" w:color="auto" w:fill="F4CCCC"/>
            <w:tcMar>
              <w:top w:w="57" w:type="dxa"/>
              <w:left w:w="57" w:type="dxa"/>
              <w:bottom w:w="57" w:type="dxa"/>
              <w:right w:w="57" w:type="dxa"/>
            </w:tcMar>
          </w:tcPr>
          <w:p w14:paraId="6E77C8B8" w14:textId="77777777" w:rsidR="00044CEF" w:rsidRDefault="00044CEF">
            <w:pPr>
              <w:widowControl w:val="0"/>
              <w:rPr>
                <w:sz w:val="20"/>
                <w:szCs w:val="20"/>
              </w:rPr>
            </w:pPr>
          </w:p>
        </w:tc>
      </w:tr>
    </w:tbl>
    <w:p w14:paraId="5F8BE18A" w14:textId="77777777" w:rsidR="00044CEF" w:rsidRDefault="00044CEF">
      <w:pPr>
        <w:jc w:val="both"/>
        <w:rPr>
          <w:sz w:val="22"/>
          <w:szCs w:val="22"/>
        </w:rPr>
      </w:pPr>
    </w:p>
    <w:p w14:paraId="14584A72" w14:textId="77777777" w:rsidR="00044CEF" w:rsidRDefault="00000000">
      <w:pPr>
        <w:jc w:val="both"/>
        <w:rPr>
          <w:sz w:val="22"/>
          <w:szCs w:val="22"/>
        </w:rPr>
      </w:pPr>
      <w:r>
        <w:rPr>
          <w:b/>
          <w:color w:val="467886"/>
          <w:sz w:val="22"/>
          <w:szCs w:val="22"/>
        </w:rPr>
        <w:t xml:space="preserve">A.1.v Ensure Success of the Measures: </w:t>
      </w:r>
      <w:r>
        <w:rPr>
          <w:sz w:val="22"/>
          <w:szCs w:val="22"/>
        </w:rPr>
        <w:t xml:space="preserve">The project will create a robust energy efficiency outreach and education program that is focused on benefiting LIDAC residents to reduce GHG emissions and energy cost burden. The GHG Reduction Strategy will be a success since the project will bring educational events and tools directly to the residents who need them the most, with the assistance of trusted local advocates. Leveraging existing federal and state rebate programs, the project will reduce additional GHG emissions while further easing energy burdens on low-income residents. </w:t>
      </w:r>
    </w:p>
    <w:p w14:paraId="1A2CACB1" w14:textId="77777777" w:rsidR="00044CEF" w:rsidRDefault="00044CEF">
      <w:pPr>
        <w:jc w:val="both"/>
        <w:rPr>
          <w:sz w:val="22"/>
          <w:szCs w:val="22"/>
        </w:rPr>
      </w:pPr>
    </w:p>
    <w:p w14:paraId="3EE9BB66" w14:textId="77777777" w:rsidR="00044CEF" w:rsidRDefault="00000000">
      <w:pPr>
        <w:jc w:val="both"/>
        <w:rPr>
          <w:sz w:val="22"/>
          <w:szCs w:val="22"/>
        </w:rPr>
      </w:pPr>
      <w:r>
        <w:rPr>
          <w:b/>
          <w:color w:val="467886"/>
          <w:sz w:val="22"/>
          <w:szCs w:val="22"/>
        </w:rPr>
        <w:t xml:space="preserve">A.1.iv Goals of the CPRG Program: </w:t>
      </w:r>
      <w:r>
        <w:rPr>
          <w:sz w:val="22"/>
          <w:szCs w:val="22"/>
        </w:rPr>
        <w:t>GHG Reduction Measure #1 meets program goals by:</w:t>
      </w:r>
    </w:p>
    <w:p w14:paraId="27C6FB44" w14:textId="77777777" w:rsidR="00044CEF" w:rsidRDefault="00000000">
      <w:pPr>
        <w:numPr>
          <w:ilvl w:val="0"/>
          <w:numId w:val="5"/>
        </w:numPr>
        <w:ind w:left="360"/>
        <w:jc w:val="both"/>
        <w:rPr>
          <w:sz w:val="22"/>
          <w:szCs w:val="22"/>
        </w:rPr>
      </w:pPr>
      <w:r>
        <w:rPr>
          <w:sz w:val="22"/>
          <w:szCs w:val="22"/>
        </w:rPr>
        <w:lastRenderedPageBreak/>
        <w:t>Reducing GHG emissions by 10,296 metric tons by 2030 and 17,484 metric tons by 2050.</w:t>
      </w:r>
    </w:p>
    <w:p w14:paraId="17A236EC" w14:textId="77777777" w:rsidR="00044CEF" w:rsidRDefault="00000000">
      <w:pPr>
        <w:numPr>
          <w:ilvl w:val="0"/>
          <w:numId w:val="5"/>
        </w:numPr>
        <w:ind w:left="360"/>
        <w:jc w:val="both"/>
        <w:rPr>
          <w:sz w:val="22"/>
          <w:szCs w:val="22"/>
        </w:rPr>
      </w:pPr>
      <w:r>
        <w:rPr>
          <w:sz w:val="22"/>
          <w:szCs w:val="22"/>
        </w:rPr>
        <w:t>Reducing CAP pollutants such as SO</w:t>
      </w:r>
      <w:r>
        <w:rPr>
          <w:sz w:val="22"/>
          <w:szCs w:val="22"/>
          <w:vertAlign w:val="subscript"/>
        </w:rPr>
        <w:t>2</w:t>
      </w:r>
      <w:r>
        <w:rPr>
          <w:sz w:val="22"/>
          <w:szCs w:val="22"/>
        </w:rPr>
        <w:t xml:space="preserve"> by 9,160 </w:t>
      </w:r>
      <w:proofErr w:type="spellStart"/>
      <w:r>
        <w:rPr>
          <w:sz w:val="22"/>
          <w:szCs w:val="22"/>
        </w:rPr>
        <w:t>lbs</w:t>
      </w:r>
      <w:proofErr w:type="spellEnd"/>
      <w:r>
        <w:rPr>
          <w:sz w:val="22"/>
          <w:szCs w:val="22"/>
        </w:rPr>
        <w:t>; NO</w:t>
      </w:r>
      <w:r>
        <w:rPr>
          <w:sz w:val="22"/>
          <w:szCs w:val="22"/>
          <w:vertAlign w:val="subscript"/>
        </w:rPr>
        <w:t xml:space="preserve">X </w:t>
      </w:r>
      <w:r>
        <w:rPr>
          <w:sz w:val="22"/>
          <w:szCs w:val="22"/>
        </w:rPr>
        <w:t xml:space="preserve">by 47,360 </w:t>
      </w:r>
      <w:proofErr w:type="spellStart"/>
      <w:r>
        <w:rPr>
          <w:sz w:val="22"/>
          <w:szCs w:val="22"/>
        </w:rPr>
        <w:t>lbs</w:t>
      </w:r>
      <w:proofErr w:type="spellEnd"/>
      <w:r>
        <w:rPr>
          <w:sz w:val="22"/>
          <w:szCs w:val="22"/>
        </w:rPr>
        <w:t>; PM</w:t>
      </w:r>
      <w:r>
        <w:rPr>
          <w:sz w:val="22"/>
          <w:szCs w:val="22"/>
          <w:vertAlign w:val="subscript"/>
        </w:rPr>
        <w:t xml:space="preserve">2.5 </w:t>
      </w:r>
      <w:r>
        <w:rPr>
          <w:sz w:val="22"/>
          <w:szCs w:val="22"/>
        </w:rPr>
        <w:t xml:space="preserve">by 5,420 </w:t>
      </w:r>
      <w:proofErr w:type="spellStart"/>
      <w:r>
        <w:rPr>
          <w:sz w:val="22"/>
          <w:szCs w:val="22"/>
        </w:rPr>
        <w:t>lbs</w:t>
      </w:r>
      <w:proofErr w:type="spellEnd"/>
      <w:r>
        <w:rPr>
          <w:sz w:val="22"/>
          <w:szCs w:val="22"/>
        </w:rPr>
        <w:t xml:space="preserve">; VOC by 1,650 </w:t>
      </w:r>
      <w:proofErr w:type="spellStart"/>
      <w:r>
        <w:rPr>
          <w:sz w:val="22"/>
          <w:szCs w:val="22"/>
        </w:rPr>
        <w:t>lbs</w:t>
      </w:r>
      <w:proofErr w:type="spellEnd"/>
      <w:r>
        <w:rPr>
          <w:sz w:val="22"/>
          <w:szCs w:val="22"/>
        </w:rPr>
        <w:t>; and NH</w:t>
      </w:r>
      <w:r>
        <w:rPr>
          <w:sz w:val="22"/>
          <w:szCs w:val="22"/>
          <w:vertAlign w:val="subscript"/>
        </w:rPr>
        <w:t xml:space="preserve">3 </w:t>
      </w:r>
      <w:r>
        <w:rPr>
          <w:sz w:val="22"/>
          <w:szCs w:val="22"/>
        </w:rPr>
        <w:t xml:space="preserve">by 2,600 </w:t>
      </w:r>
      <w:proofErr w:type="spellStart"/>
      <w:r>
        <w:rPr>
          <w:sz w:val="22"/>
          <w:szCs w:val="22"/>
        </w:rPr>
        <w:t>lbs</w:t>
      </w:r>
      <w:proofErr w:type="spellEnd"/>
      <w:r>
        <w:rPr>
          <w:sz w:val="22"/>
          <w:szCs w:val="22"/>
        </w:rPr>
        <w:t xml:space="preserve">).  </w:t>
      </w:r>
    </w:p>
    <w:p w14:paraId="4521BFB2" w14:textId="77777777" w:rsidR="00044CEF" w:rsidRDefault="00000000">
      <w:pPr>
        <w:numPr>
          <w:ilvl w:val="0"/>
          <w:numId w:val="5"/>
        </w:numPr>
        <w:ind w:left="360"/>
        <w:jc w:val="both"/>
        <w:rPr>
          <w:sz w:val="22"/>
          <w:szCs w:val="22"/>
        </w:rPr>
      </w:pPr>
      <w:r>
        <w:rPr>
          <w:sz w:val="22"/>
          <w:szCs w:val="22"/>
        </w:rPr>
        <w:t xml:space="preserve">Easing the energy burden on LIDAC residents through educational seminars and distributing energy efficiency tool kits within LIDAC areas. </w:t>
      </w:r>
    </w:p>
    <w:p w14:paraId="3AC3DFD7" w14:textId="77777777" w:rsidR="00044CEF" w:rsidRDefault="00000000">
      <w:pPr>
        <w:numPr>
          <w:ilvl w:val="0"/>
          <w:numId w:val="5"/>
        </w:numPr>
        <w:ind w:left="360"/>
        <w:jc w:val="both"/>
        <w:rPr>
          <w:sz w:val="22"/>
          <w:szCs w:val="22"/>
        </w:rPr>
      </w:pPr>
      <w:r>
        <w:rPr>
          <w:sz w:val="22"/>
          <w:szCs w:val="22"/>
        </w:rPr>
        <w:t xml:space="preserve">Providing information on existing energy efficiency rebate programs and directing residents to existing community programs during educational sessions held in LIDAC serving facilities. </w:t>
      </w:r>
    </w:p>
    <w:p w14:paraId="076EFC39" w14:textId="77777777" w:rsidR="00044CEF" w:rsidRDefault="00000000">
      <w:pPr>
        <w:numPr>
          <w:ilvl w:val="0"/>
          <w:numId w:val="5"/>
        </w:numPr>
        <w:ind w:left="360"/>
        <w:jc w:val="both"/>
        <w:rPr>
          <w:sz w:val="22"/>
          <w:szCs w:val="22"/>
        </w:rPr>
      </w:pPr>
      <w:r>
        <w:rPr>
          <w:sz w:val="22"/>
          <w:szCs w:val="22"/>
        </w:rPr>
        <w:t xml:space="preserve">Providing multilingual energy efficiency education and EE Toolkits and REA Toolkits that can be scaled and replicated in municipalities across the country. </w:t>
      </w:r>
    </w:p>
    <w:p w14:paraId="47CEC443" w14:textId="77777777" w:rsidR="00044CEF" w:rsidRDefault="00044CEF">
      <w:pPr>
        <w:jc w:val="both"/>
        <w:rPr>
          <w:b/>
          <w:sz w:val="22"/>
          <w:szCs w:val="22"/>
        </w:rPr>
      </w:pPr>
    </w:p>
    <w:p w14:paraId="624C28F6" w14:textId="77777777" w:rsidR="00044CEF" w:rsidRDefault="00000000">
      <w:pPr>
        <w:jc w:val="both"/>
        <w:rPr>
          <w:b/>
          <w:color w:val="E69243"/>
          <w:sz w:val="22"/>
          <w:szCs w:val="22"/>
        </w:rPr>
      </w:pPr>
      <w:r>
        <w:rPr>
          <w:b/>
          <w:color w:val="E69243"/>
          <w:sz w:val="22"/>
          <w:szCs w:val="22"/>
        </w:rPr>
        <w:t>A.2 GHG RM #2: Large-Scale Solar and High-Performing Buildings for Climate &amp; Community Resilience</w:t>
      </w:r>
    </w:p>
    <w:p w14:paraId="1ECC516B" w14:textId="77777777" w:rsidR="00044CEF" w:rsidRDefault="00000000">
      <w:pPr>
        <w:jc w:val="both"/>
        <w:rPr>
          <w:sz w:val="22"/>
          <w:szCs w:val="22"/>
        </w:rPr>
      </w:pPr>
      <w:r>
        <w:rPr>
          <w:sz w:val="22"/>
          <w:szCs w:val="22"/>
        </w:rPr>
        <w:t xml:space="preserve">SSERC Coalition members and </w:t>
      </w:r>
      <w:proofErr w:type="spellStart"/>
      <w:r>
        <w:rPr>
          <w:sz w:val="22"/>
          <w:szCs w:val="22"/>
        </w:rPr>
        <w:t>subawardees</w:t>
      </w:r>
      <w:proofErr w:type="spellEnd"/>
      <w:r>
        <w:rPr>
          <w:sz w:val="22"/>
          <w:szCs w:val="22"/>
        </w:rPr>
        <w:t xml:space="preserve"> will create more climate and community resilient communities through two interrelated strategies: (1) deploying large-scale solar arrays on municipally owned properties and in partnership with local utilities; and (2) identifying community-serving buildings that LIDAC residents rely upon for social, fiscal, educational, or health programs for operational decarbonization upgrades and/or solar deployment with solar backup batteries, if feasible. Together, these strategies will reduce GHG emissions by 241,623 metric tons by 2030 and 1,009,506 metric tons by 2050 tons while bolstering the climate and community resilience of LIDAC residents and improving the resilience of the energy grid throughout Florida. </w:t>
      </w:r>
    </w:p>
    <w:p w14:paraId="1F5C2680" w14:textId="77777777" w:rsidR="00044CEF" w:rsidRDefault="00044CEF">
      <w:pPr>
        <w:jc w:val="both"/>
        <w:rPr>
          <w:sz w:val="22"/>
          <w:szCs w:val="22"/>
        </w:rPr>
      </w:pPr>
    </w:p>
    <w:p w14:paraId="2D3DD1EB" w14:textId="77777777" w:rsidR="00044CEF" w:rsidRDefault="00000000">
      <w:pPr>
        <w:jc w:val="both"/>
        <w:rPr>
          <w:b/>
          <w:sz w:val="22"/>
          <w:szCs w:val="22"/>
        </w:rPr>
      </w:pPr>
      <w:r>
        <w:rPr>
          <w:b/>
          <w:sz w:val="22"/>
          <w:szCs w:val="22"/>
        </w:rPr>
        <w:t xml:space="preserve">Program Features: Coalition members will implement the following activities. </w:t>
      </w:r>
    </w:p>
    <w:p w14:paraId="37AB00E9" w14:textId="77777777" w:rsidR="00044CEF" w:rsidRDefault="00000000">
      <w:pPr>
        <w:rPr>
          <w:sz w:val="22"/>
          <w:szCs w:val="22"/>
        </w:rPr>
      </w:pPr>
      <w:r>
        <w:rPr>
          <w:sz w:val="22"/>
          <w:szCs w:val="22"/>
        </w:rPr>
        <w:t xml:space="preserve">Projects will take place in community-serving buildings that are among the first places people turn to for help after natural disasters, such as schools, community or neighborhood centers, and libraries. </w:t>
      </w:r>
    </w:p>
    <w:p w14:paraId="364EAAA2" w14:textId="77777777" w:rsidR="00044CEF" w:rsidRDefault="00000000">
      <w:pPr>
        <w:numPr>
          <w:ilvl w:val="0"/>
          <w:numId w:val="11"/>
        </w:numPr>
        <w:ind w:left="360"/>
        <w:jc w:val="both"/>
        <w:rPr>
          <w:sz w:val="22"/>
          <w:szCs w:val="22"/>
        </w:rPr>
      </w:pPr>
      <w:r>
        <w:rPr>
          <w:sz w:val="22"/>
          <w:szCs w:val="22"/>
        </w:rPr>
        <w:t>The project will include critical infrastructure such as fire stations and utility pump stations that provide life and safety services during natural disasters.</w:t>
      </w:r>
    </w:p>
    <w:p w14:paraId="02F4E757" w14:textId="77777777" w:rsidR="00044CEF" w:rsidRDefault="00000000">
      <w:pPr>
        <w:numPr>
          <w:ilvl w:val="0"/>
          <w:numId w:val="11"/>
        </w:numPr>
        <w:ind w:left="360"/>
        <w:jc w:val="both"/>
        <w:rPr>
          <w:sz w:val="22"/>
          <w:szCs w:val="22"/>
        </w:rPr>
      </w:pPr>
      <w:r>
        <w:rPr>
          <w:sz w:val="22"/>
          <w:szCs w:val="22"/>
        </w:rPr>
        <w:t>Coalition members will have the flexibility to use different criteria and methods for selecting facilities, though the vision of creating high-performing buildings and critical infrastructure to serve LIDAC residents will be a unifying theme.</w:t>
      </w:r>
    </w:p>
    <w:p w14:paraId="085BA9F5" w14:textId="77777777" w:rsidR="00044CEF" w:rsidRDefault="00000000">
      <w:pPr>
        <w:numPr>
          <w:ilvl w:val="0"/>
          <w:numId w:val="11"/>
        </w:numPr>
        <w:ind w:left="360"/>
        <w:jc w:val="both"/>
        <w:rPr>
          <w:sz w:val="22"/>
          <w:szCs w:val="22"/>
        </w:rPr>
      </w:pPr>
      <w:proofErr w:type="gramStart"/>
      <w:r>
        <w:rPr>
          <w:sz w:val="22"/>
          <w:szCs w:val="22"/>
        </w:rPr>
        <w:t>TSPC  MSA</w:t>
      </w:r>
      <w:proofErr w:type="gramEnd"/>
      <w:r>
        <w:rPr>
          <w:sz w:val="22"/>
          <w:szCs w:val="22"/>
        </w:rPr>
        <w:t xml:space="preserve"> and NPSB MSA will implement a grant program based on benefits to LIDAC communities, project cost, and reduction of greenhouse gas emissions.  </w:t>
      </w:r>
    </w:p>
    <w:p w14:paraId="3F93DC12" w14:textId="77777777" w:rsidR="00044CEF" w:rsidRDefault="00000000">
      <w:pPr>
        <w:numPr>
          <w:ilvl w:val="0"/>
          <w:numId w:val="11"/>
        </w:numPr>
        <w:ind w:left="360"/>
        <w:jc w:val="both"/>
        <w:rPr>
          <w:sz w:val="22"/>
          <w:szCs w:val="22"/>
        </w:rPr>
      </w:pPr>
      <w:r>
        <w:rPr>
          <w:sz w:val="22"/>
          <w:szCs w:val="22"/>
        </w:rPr>
        <w:t xml:space="preserve">OKS MSA projects are </w:t>
      </w:r>
      <w:proofErr w:type="gramStart"/>
      <w:r>
        <w:rPr>
          <w:sz w:val="22"/>
          <w:szCs w:val="22"/>
        </w:rPr>
        <w:t>preselected</w:t>
      </w:r>
      <w:proofErr w:type="gramEnd"/>
      <w:r>
        <w:rPr>
          <w:sz w:val="22"/>
          <w:szCs w:val="22"/>
        </w:rPr>
        <w:t xml:space="preserve"> and short summaries are included in the budget narrative. </w:t>
      </w:r>
    </w:p>
    <w:p w14:paraId="266E74A0" w14:textId="77777777" w:rsidR="00044CEF" w:rsidRDefault="00000000">
      <w:pPr>
        <w:numPr>
          <w:ilvl w:val="0"/>
          <w:numId w:val="11"/>
        </w:numPr>
        <w:ind w:left="360"/>
        <w:jc w:val="both"/>
        <w:rPr>
          <w:sz w:val="22"/>
          <w:szCs w:val="22"/>
        </w:rPr>
      </w:pPr>
      <w:proofErr w:type="gramStart"/>
      <w:r>
        <w:rPr>
          <w:sz w:val="22"/>
          <w:szCs w:val="22"/>
        </w:rPr>
        <w:t>JF  MSA</w:t>
      </w:r>
      <w:proofErr w:type="gramEnd"/>
      <w:r>
        <w:rPr>
          <w:sz w:val="22"/>
          <w:szCs w:val="22"/>
        </w:rPr>
        <w:t xml:space="preserve"> projects are pre-vetted, but final selections will be made after the award of grant funding. </w:t>
      </w:r>
    </w:p>
    <w:p w14:paraId="767CDD5D" w14:textId="77777777" w:rsidR="00044CEF" w:rsidRDefault="00000000">
      <w:pPr>
        <w:numPr>
          <w:ilvl w:val="0"/>
          <w:numId w:val="11"/>
        </w:numPr>
        <w:ind w:left="360"/>
        <w:jc w:val="both"/>
        <w:rPr>
          <w:sz w:val="22"/>
          <w:szCs w:val="22"/>
        </w:rPr>
      </w:pPr>
      <w:r>
        <w:rPr>
          <w:sz w:val="22"/>
          <w:szCs w:val="22"/>
        </w:rPr>
        <w:t xml:space="preserve">Energy retrofits will include building envelope improvements, including roof assessments/replacements, heat pump installations, LED lighting, smart thermostats, and HVAC retrofits. </w:t>
      </w:r>
    </w:p>
    <w:p w14:paraId="2F451E50" w14:textId="77777777" w:rsidR="00044CEF" w:rsidRDefault="00000000">
      <w:pPr>
        <w:numPr>
          <w:ilvl w:val="0"/>
          <w:numId w:val="11"/>
        </w:numPr>
        <w:ind w:left="360"/>
        <w:jc w:val="both"/>
        <w:rPr>
          <w:sz w:val="22"/>
          <w:szCs w:val="22"/>
        </w:rPr>
      </w:pPr>
      <w:r>
        <w:rPr>
          <w:sz w:val="22"/>
          <w:szCs w:val="22"/>
        </w:rPr>
        <w:t xml:space="preserve">Historic building energy usage will be reviewed, analyzed, and notated before energy upgrades are done in order to accurately capture GHG reductions afterwards. </w:t>
      </w:r>
    </w:p>
    <w:p w14:paraId="09A8C1B3" w14:textId="77777777" w:rsidR="00044CEF" w:rsidRDefault="00000000">
      <w:pPr>
        <w:numPr>
          <w:ilvl w:val="0"/>
          <w:numId w:val="11"/>
        </w:numPr>
        <w:ind w:left="360"/>
        <w:jc w:val="both"/>
        <w:rPr>
          <w:sz w:val="22"/>
          <w:szCs w:val="22"/>
        </w:rPr>
      </w:pPr>
      <w:r>
        <w:rPr>
          <w:sz w:val="22"/>
          <w:szCs w:val="22"/>
        </w:rPr>
        <w:t>Emissions will further be reduced by installing solar panels on building roofs, covered parking, or standalone arrays.</w:t>
      </w:r>
    </w:p>
    <w:p w14:paraId="2A1BB351" w14:textId="77777777" w:rsidR="00044CEF" w:rsidRDefault="00044CEF">
      <w:pPr>
        <w:ind w:left="720"/>
        <w:rPr>
          <w:sz w:val="22"/>
          <w:szCs w:val="22"/>
        </w:rPr>
      </w:pPr>
    </w:p>
    <w:p w14:paraId="03BAE240" w14:textId="77777777" w:rsidR="00044CEF" w:rsidRDefault="00000000">
      <w:pPr>
        <w:jc w:val="both"/>
        <w:rPr>
          <w:sz w:val="22"/>
          <w:szCs w:val="22"/>
        </w:rPr>
      </w:pPr>
      <w:r>
        <w:rPr>
          <w:b/>
          <w:sz w:val="22"/>
          <w:szCs w:val="22"/>
        </w:rPr>
        <w:t>Resiliency Assumptions:</w:t>
      </w:r>
      <w:r>
        <w:rPr>
          <w:sz w:val="22"/>
          <w:szCs w:val="22"/>
        </w:rPr>
        <w:t xml:space="preserve"> Community facilities selected for energy efficiency and solar upgrades will require less energy to operate. If additional solar arrays are then installed, they will produce a greater percentage of the buildings’ overall energy consumption, </w:t>
      </w:r>
      <w:r>
        <w:rPr>
          <w:color w:val="444746"/>
          <w:sz w:val="22"/>
          <w:szCs w:val="22"/>
          <w:highlight w:val="white"/>
        </w:rPr>
        <w:t>reducing consumption of energy produced at the power grid</w:t>
      </w:r>
      <w:r>
        <w:rPr>
          <w:sz w:val="22"/>
          <w:szCs w:val="22"/>
        </w:rPr>
        <w:t xml:space="preserve">. These facilities will also improve climate and community resilience for LIDAC residents, who are most at risk from climate change and have the least ability to recover following natural disasters.  The buildings will offer critical services such as fire stations and water treatment plants and may provide safe locations to charge phones, escape heat, and receive communications. According to the Federal Emergency Management Agency’s (FEMA) </w:t>
      </w:r>
      <w:hyperlink r:id="rId8">
        <w:r>
          <w:rPr>
            <w:color w:val="1155CC"/>
            <w:sz w:val="22"/>
            <w:szCs w:val="22"/>
            <w:u w:val="single"/>
          </w:rPr>
          <w:t xml:space="preserve">Achieving Equitable Recovery: A Post-Disaster Guide for Local </w:t>
        </w:r>
        <w:r>
          <w:rPr>
            <w:color w:val="1155CC"/>
            <w:sz w:val="22"/>
            <w:szCs w:val="22"/>
            <w:u w:val="single"/>
          </w:rPr>
          <w:lastRenderedPageBreak/>
          <w:t>Officials and Leaders,</w:t>
        </w:r>
      </w:hyperlink>
      <w:r>
        <w:rPr>
          <w:sz w:val="22"/>
          <w:szCs w:val="22"/>
        </w:rPr>
        <w:t xml:space="preserve"> historically marginalized, disadvantaged, or underserved populations are often at the highest risk from the impacts of climate change due to a combination of social, economic, physical, and geographic conditions (Page 4) and are socially vulnerable, which can create barriers to a community’s or individual’s ability to recover from a disaster (Page 5). </w:t>
      </w:r>
    </w:p>
    <w:p w14:paraId="33867117" w14:textId="77777777" w:rsidR="00044CEF" w:rsidRDefault="00044CEF">
      <w:pPr>
        <w:jc w:val="both"/>
        <w:rPr>
          <w:sz w:val="22"/>
          <w:szCs w:val="22"/>
        </w:rPr>
      </w:pPr>
    </w:p>
    <w:p w14:paraId="47AD4FE7" w14:textId="77777777" w:rsidR="00044CEF" w:rsidRDefault="00000000">
      <w:pPr>
        <w:jc w:val="both"/>
        <w:rPr>
          <w:sz w:val="22"/>
          <w:szCs w:val="22"/>
        </w:rPr>
      </w:pPr>
      <w:r>
        <w:rPr>
          <w:sz w:val="22"/>
          <w:szCs w:val="22"/>
        </w:rPr>
        <w:t xml:space="preserve">The SSERC project will also create a more resilient power grid by deploying large-scale solar. According to the </w:t>
      </w:r>
      <w:hyperlink r:id="rId9">
        <w:r>
          <w:rPr>
            <w:color w:val="1155CC"/>
            <w:sz w:val="22"/>
            <w:szCs w:val="22"/>
            <w:u w:val="single"/>
          </w:rPr>
          <w:t>U.S. Department of Energy,</w:t>
        </w:r>
      </w:hyperlink>
      <w:r>
        <w:rPr>
          <w:sz w:val="22"/>
          <w:szCs w:val="22"/>
        </w:rPr>
        <w:t xml:space="preserve"> a resilient power system “</w:t>
      </w:r>
      <w:r>
        <w:rPr>
          <w:color w:val="292929"/>
          <w:sz w:val="22"/>
          <w:szCs w:val="22"/>
        </w:rPr>
        <w:t>must be capable of lessening the likelihood of long-duration electrical outages occurring over large service areas, limiting the scope and impact of outages when they do occur, and rapidly restoring power after an outage.” In</w:t>
      </w:r>
      <w:r>
        <w:rPr>
          <w:sz w:val="22"/>
          <w:szCs w:val="22"/>
        </w:rPr>
        <w:t xml:space="preserve"> </w:t>
      </w:r>
      <w:hyperlink r:id="rId10">
        <w:r>
          <w:rPr>
            <w:color w:val="1155CC"/>
            <w:sz w:val="22"/>
            <w:szCs w:val="22"/>
            <w:u w:val="single"/>
          </w:rPr>
          <w:t>Florida</w:t>
        </w:r>
      </w:hyperlink>
      <w:r>
        <w:rPr>
          <w:sz w:val="22"/>
          <w:szCs w:val="22"/>
        </w:rPr>
        <w:t>, almost all of electric power is generated in large power plants that distribute power through a region using above-ground power lines that are vulnerable during hurricanes or tornadoes. Large storms in the summer leave households without access to electricity during the hottest time of the year, most heavily affecting residents who are unable to evacuate and face hotter temperatures without electricity to keep cool and store basic refrigerated necessities. It is significantly more difficult for low-income residents to evacuate in advance of a hurricane because of a lack of transportation and financial resources. Increased resilience in the energy grid through the deployment of large-scale solar reduces the risk that low-income residents will become trapped without power.</w:t>
      </w:r>
    </w:p>
    <w:p w14:paraId="5EDF34DF" w14:textId="77777777" w:rsidR="00044CEF" w:rsidRDefault="00044CEF">
      <w:pPr>
        <w:jc w:val="both"/>
        <w:rPr>
          <w:sz w:val="22"/>
          <w:szCs w:val="22"/>
        </w:rPr>
      </w:pPr>
    </w:p>
    <w:p w14:paraId="33FC34B1" w14:textId="77777777" w:rsidR="00044CEF" w:rsidRDefault="00000000">
      <w:pPr>
        <w:jc w:val="both"/>
        <w:rPr>
          <w:b/>
          <w:color w:val="E69243"/>
          <w:sz w:val="22"/>
          <w:szCs w:val="22"/>
        </w:rPr>
      </w:pPr>
      <w:r>
        <w:rPr>
          <w:b/>
          <w:color w:val="E69243"/>
          <w:sz w:val="22"/>
          <w:szCs w:val="22"/>
        </w:rPr>
        <w:t>A.3 Potential Risks for the SSERC Project</w:t>
      </w:r>
    </w:p>
    <w:p w14:paraId="6D7E306E" w14:textId="77777777" w:rsidR="00044CEF" w:rsidRDefault="00000000">
      <w:pPr>
        <w:jc w:val="both"/>
        <w:rPr>
          <w:sz w:val="22"/>
          <w:szCs w:val="22"/>
        </w:rPr>
      </w:pPr>
      <w:r>
        <w:rPr>
          <w:sz w:val="22"/>
          <w:szCs w:val="22"/>
        </w:rPr>
        <w:t xml:space="preserve">The unprecedented Coalition that has come together in Florida has the most important element for success – the political will necessary to reduce GHGs by 251,191 metric tons by 2030 and 1,009,506 metric tons by 2050.  Working together, the partnership which spans over 8.6 million residents, will create a sustainable future for Florida through the synergy of collaboration. The Coalition must now work together to hire, train, and retain the workforce needed to deploy and construct the infrastructure improvements funded by CPRG dollars. An inability to build a green workforce pipeline is a risk for successful implementation of the GHG Reduction Measure.   </w:t>
      </w:r>
    </w:p>
    <w:p w14:paraId="1D14ECC4" w14:textId="77777777" w:rsidR="00044CEF" w:rsidRDefault="00044CEF">
      <w:pPr>
        <w:jc w:val="both"/>
        <w:rPr>
          <w:sz w:val="22"/>
          <w:szCs w:val="22"/>
        </w:rPr>
      </w:pPr>
    </w:p>
    <w:p w14:paraId="46CBD7F8" w14:textId="77777777" w:rsidR="00044CEF" w:rsidRDefault="00000000">
      <w:pPr>
        <w:jc w:val="both"/>
        <w:rPr>
          <w:sz w:val="22"/>
          <w:szCs w:val="22"/>
        </w:rPr>
      </w:pPr>
      <w:r>
        <w:rPr>
          <w:b/>
          <w:sz w:val="22"/>
          <w:szCs w:val="22"/>
        </w:rPr>
        <w:t xml:space="preserve">Solution: </w:t>
      </w:r>
      <w:r>
        <w:rPr>
          <w:sz w:val="22"/>
          <w:szCs w:val="22"/>
        </w:rPr>
        <w:t xml:space="preserve">As a Coalition that covers 40% of Florida’s population, SSERC is well positioned to leverage U.S. EPA’s investment in energy-efficient retrofits and solar installation into the development of the workforce needed to not only carry out the EPA's initial investment but also lead to increased job quality and wealth creation for its disadvantaged and underrepresented residents. SSERC decided to focus first on solar apprenticeships since 57% of the project involves installing solar. The </w:t>
      </w:r>
      <w:hyperlink r:id="rId11">
        <w:r>
          <w:rPr>
            <w:color w:val="1155CC"/>
            <w:sz w:val="22"/>
            <w:szCs w:val="22"/>
            <w:u w:val="single"/>
          </w:rPr>
          <w:t>U.S. Bureau of Labor Statistics</w:t>
        </w:r>
      </w:hyperlink>
      <w:r>
        <w:rPr>
          <w:sz w:val="22"/>
          <w:szCs w:val="22"/>
        </w:rPr>
        <w:t xml:space="preserve"> has identified 20 of the fastest growing occupations, and solar photovoltaic installers rank 15 with an expected job growth rate of 22% and a median pay rate of $45,230 a year.  According to</w:t>
      </w:r>
      <w:hyperlink r:id="rId12">
        <w:r>
          <w:rPr>
            <w:color w:val="1155CC"/>
            <w:sz w:val="22"/>
            <w:szCs w:val="22"/>
            <w:u w:val="single"/>
          </w:rPr>
          <w:t xml:space="preserve"> O*Net Online</w:t>
        </w:r>
      </w:hyperlink>
      <w:r>
        <w:rPr>
          <w:sz w:val="22"/>
          <w:szCs w:val="22"/>
        </w:rPr>
        <w:t xml:space="preserve">, in the photovoltaics sector alone, there are currently 11,800 employees in Florida, with an anticipated 2,300 openings expected during the period 2020-2030. This field has a much faster than average growth rate of 15% or higher. </w:t>
      </w:r>
    </w:p>
    <w:p w14:paraId="15292AD9" w14:textId="77777777" w:rsidR="00044CEF" w:rsidRDefault="00044CEF">
      <w:pPr>
        <w:jc w:val="both"/>
        <w:rPr>
          <w:sz w:val="22"/>
          <w:szCs w:val="22"/>
        </w:rPr>
      </w:pPr>
    </w:p>
    <w:p w14:paraId="675D93EE" w14:textId="77777777" w:rsidR="00044CEF" w:rsidRDefault="00000000">
      <w:pPr>
        <w:jc w:val="both"/>
        <w:rPr>
          <w:sz w:val="22"/>
          <w:szCs w:val="22"/>
        </w:rPr>
      </w:pPr>
      <w:r>
        <w:rPr>
          <w:sz w:val="22"/>
          <w:szCs w:val="22"/>
        </w:rPr>
        <w:t xml:space="preserve">To overcome this challenge, SSERC is working with the </w:t>
      </w:r>
      <w:hyperlink r:id="rId13">
        <w:r>
          <w:rPr>
            <w:color w:val="1155CC"/>
            <w:sz w:val="22"/>
            <w:szCs w:val="22"/>
            <w:u w:val="single"/>
          </w:rPr>
          <w:t>Florida Solar Energy Center</w:t>
        </w:r>
      </w:hyperlink>
      <w:r>
        <w:rPr>
          <w:sz w:val="22"/>
          <w:szCs w:val="22"/>
        </w:rPr>
        <w:t xml:space="preserve"> (FSEC), which is a committed partner that runs the Florida Solar Energy Apprenticeship Program. The apprenticeship model provides structured training and education, with prevailing and progressive wages offered to participants enrolled in the program. Apprentices earn industry-recognized credentials at specified intervals during the training. FSEC’s </w:t>
      </w:r>
      <w:hyperlink r:id="rId14">
        <w:r>
          <w:rPr>
            <w:color w:val="1155CC"/>
            <w:sz w:val="22"/>
            <w:szCs w:val="22"/>
            <w:u w:val="single"/>
          </w:rPr>
          <w:t>apprenticeship program</w:t>
        </w:r>
      </w:hyperlink>
      <w:r>
        <w:rPr>
          <w:sz w:val="22"/>
          <w:szCs w:val="22"/>
        </w:rPr>
        <w:t xml:space="preserve"> has a presence throughout the four-MSA areas to recruit participating employers and prospective apprentices in underserved regions of the MSAs. The project will offer online apprenticeship training and hands-on instruction in LIDAC areas. The facilities that SSERC will retrofit with solar installations will serve as the focal point for training.  SSERC will also work with the Florida Solar Energy Industries Association (FLASEIA), which partnered with the FSEC to develop the Florida Solar Energy Apprenticeship Program.  By providing education and training from the earliest grade </w:t>
      </w:r>
      <w:r>
        <w:rPr>
          <w:sz w:val="22"/>
          <w:szCs w:val="22"/>
        </w:rPr>
        <w:lastRenderedPageBreak/>
        <w:t>levels through post-secondary and beyond, FSEC has facilitated the creation of a pipeline to clean energy career opportunities and will bring this model of education and employment to the SSERC project.</w:t>
      </w:r>
    </w:p>
    <w:p w14:paraId="0C010E25" w14:textId="77777777" w:rsidR="00044CEF" w:rsidRDefault="00044CEF">
      <w:pPr>
        <w:jc w:val="both"/>
        <w:rPr>
          <w:sz w:val="22"/>
          <w:szCs w:val="22"/>
        </w:rPr>
      </w:pPr>
    </w:p>
    <w:p w14:paraId="1F885E83" w14:textId="77777777" w:rsidR="00044CEF" w:rsidRDefault="00000000">
      <w:pPr>
        <w:jc w:val="both"/>
        <w:rPr>
          <w:sz w:val="22"/>
          <w:szCs w:val="22"/>
        </w:rPr>
      </w:pPr>
      <w:r>
        <w:rPr>
          <w:sz w:val="22"/>
          <w:szCs w:val="22"/>
        </w:rPr>
        <w:t xml:space="preserve">SSERC is working to create partnerships with the local branches of </w:t>
      </w:r>
      <w:hyperlink r:id="rId15">
        <w:r>
          <w:rPr>
            <w:color w:val="1155CC"/>
            <w:sz w:val="22"/>
            <w:szCs w:val="22"/>
            <w:u w:val="single"/>
          </w:rPr>
          <w:t>CareerSource Florida</w:t>
        </w:r>
      </w:hyperlink>
      <w:r>
        <w:rPr>
          <w:sz w:val="22"/>
          <w:szCs w:val="22"/>
        </w:rPr>
        <w:t xml:space="preserve"> (CSF) to provide financial support to businesses that hire new or upgrade incumbent workers in the clean energy sector and offer work skills classes as part of the apprenticeship program. CSF is the statewide workforce policy and investment board that works with the Department of Commerce, local workforce development boards, and career centers throughout Florida. SSERC will partner with CSF because (1) they offer workforce development programs that align with the needs of the GHG Reduction Measures; (2) each MSA has a CSF branch in their region; (3) CSF has established and trusted relationships with CBO groups and connections in LIDAC communities to ensure investment is prioritized in disadvantaged areas; and (4) CSF can provide wraparound services such as daycare and transportation services for qualifying individuals to increase equitable investment.  </w:t>
      </w:r>
    </w:p>
    <w:p w14:paraId="4D9E7C7D" w14:textId="77777777" w:rsidR="00044CEF" w:rsidRDefault="00044CEF">
      <w:pPr>
        <w:jc w:val="both"/>
        <w:rPr>
          <w:sz w:val="22"/>
          <w:szCs w:val="22"/>
        </w:rPr>
      </w:pPr>
    </w:p>
    <w:p w14:paraId="541AAA64" w14:textId="77777777" w:rsidR="00044CEF" w:rsidRDefault="00000000">
      <w:pPr>
        <w:jc w:val="both"/>
        <w:rPr>
          <w:sz w:val="22"/>
          <w:szCs w:val="22"/>
        </w:rPr>
      </w:pPr>
      <w:r>
        <w:rPr>
          <w:sz w:val="22"/>
          <w:szCs w:val="22"/>
        </w:rPr>
        <w:t xml:space="preserve">In order to continue workforce development in the energy and solar fields, Coalition members are also having conversations with universities and state colleges.  Working with partners, SSERC will explore opportunities for program expansion to accommodate the growing demand for skilled workers in the solar installation fields.  Letters of support from regional partners are included to highlight these burgeoning partnerships.  SSERC Coalition members have budgeted funds for additional wraparound services as needed as the program unfolds.  </w:t>
      </w:r>
    </w:p>
    <w:p w14:paraId="1E079625" w14:textId="77777777" w:rsidR="00044CEF" w:rsidRDefault="00044CEF">
      <w:pPr>
        <w:jc w:val="both"/>
        <w:rPr>
          <w:sz w:val="22"/>
          <w:szCs w:val="22"/>
        </w:rPr>
      </w:pPr>
    </w:p>
    <w:p w14:paraId="2417DEC9" w14:textId="77777777" w:rsidR="00044CEF" w:rsidRDefault="00000000">
      <w:pPr>
        <w:jc w:val="both"/>
        <w:rPr>
          <w:b/>
          <w:sz w:val="22"/>
          <w:szCs w:val="22"/>
        </w:rPr>
      </w:pPr>
      <w:r>
        <w:rPr>
          <w:b/>
          <w:sz w:val="22"/>
          <w:szCs w:val="22"/>
        </w:rPr>
        <w:t>Table 2 — Milestones &amp; Tasks for GHG Reduction Measure #2: Large-Scale Solar and High-Performing Buildings for Climate &amp; Community Resilience.</w:t>
      </w:r>
    </w:p>
    <w:tbl>
      <w:tblPr>
        <w:tblStyle w:val="a0"/>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705"/>
        <w:gridCol w:w="570"/>
        <w:gridCol w:w="435"/>
        <w:gridCol w:w="435"/>
        <w:gridCol w:w="405"/>
        <w:gridCol w:w="405"/>
        <w:gridCol w:w="405"/>
      </w:tblGrid>
      <w:tr w:rsidR="00044CEF" w14:paraId="574F224E" w14:textId="77777777">
        <w:tc>
          <w:tcPr>
            <w:tcW w:w="6705" w:type="dxa"/>
            <w:shd w:val="clear" w:color="auto" w:fill="CFE2F3"/>
            <w:tcMar>
              <w:top w:w="57" w:type="dxa"/>
              <w:left w:w="57" w:type="dxa"/>
              <w:bottom w:w="57" w:type="dxa"/>
              <w:right w:w="57" w:type="dxa"/>
            </w:tcMar>
            <w:vAlign w:val="center"/>
          </w:tcPr>
          <w:p w14:paraId="42CA9A96" w14:textId="77777777" w:rsidR="00044CEF" w:rsidRDefault="00000000">
            <w:pPr>
              <w:widowControl w:val="0"/>
              <w:rPr>
                <w:b/>
                <w:sz w:val="22"/>
                <w:szCs w:val="22"/>
              </w:rPr>
            </w:pPr>
            <w:r>
              <w:rPr>
                <w:b/>
                <w:sz w:val="22"/>
                <w:szCs w:val="22"/>
              </w:rPr>
              <w:t>Milestone/Task</w:t>
            </w:r>
          </w:p>
        </w:tc>
        <w:tc>
          <w:tcPr>
            <w:tcW w:w="570" w:type="dxa"/>
            <w:shd w:val="clear" w:color="auto" w:fill="CFE2F3"/>
            <w:tcMar>
              <w:top w:w="57" w:type="dxa"/>
              <w:left w:w="57" w:type="dxa"/>
              <w:bottom w:w="57" w:type="dxa"/>
              <w:right w:w="57" w:type="dxa"/>
            </w:tcMar>
            <w:vAlign w:val="center"/>
          </w:tcPr>
          <w:p w14:paraId="719956F6" w14:textId="77777777" w:rsidR="00044CEF" w:rsidRDefault="00000000">
            <w:pPr>
              <w:widowControl w:val="0"/>
              <w:jc w:val="center"/>
              <w:rPr>
                <w:b/>
                <w:sz w:val="16"/>
                <w:szCs w:val="16"/>
              </w:rPr>
            </w:pPr>
            <w:r>
              <w:rPr>
                <w:b/>
                <w:sz w:val="16"/>
                <w:szCs w:val="16"/>
              </w:rPr>
              <w:t>Pre-</w:t>
            </w:r>
          </w:p>
          <w:p w14:paraId="22AA1FD8" w14:textId="77777777" w:rsidR="00044CEF" w:rsidRDefault="00000000">
            <w:pPr>
              <w:widowControl w:val="0"/>
              <w:jc w:val="center"/>
              <w:rPr>
                <w:b/>
                <w:sz w:val="16"/>
                <w:szCs w:val="16"/>
              </w:rPr>
            </w:pPr>
            <w:r>
              <w:rPr>
                <w:b/>
                <w:sz w:val="16"/>
                <w:szCs w:val="16"/>
              </w:rPr>
              <w:t>Award</w:t>
            </w:r>
          </w:p>
        </w:tc>
        <w:tc>
          <w:tcPr>
            <w:tcW w:w="435" w:type="dxa"/>
            <w:shd w:val="clear" w:color="auto" w:fill="CFE2F3"/>
            <w:tcMar>
              <w:top w:w="57" w:type="dxa"/>
              <w:left w:w="57" w:type="dxa"/>
              <w:bottom w:w="57" w:type="dxa"/>
              <w:right w:w="57" w:type="dxa"/>
            </w:tcMar>
            <w:vAlign w:val="center"/>
          </w:tcPr>
          <w:p w14:paraId="73945A56" w14:textId="77777777" w:rsidR="00044CEF" w:rsidRDefault="00000000">
            <w:pPr>
              <w:widowControl w:val="0"/>
              <w:jc w:val="center"/>
              <w:rPr>
                <w:b/>
                <w:sz w:val="20"/>
                <w:szCs w:val="20"/>
              </w:rPr>
            </w:pPr>
            <w:r>
              <w:rPr>
                <w:b/>
                <w:sz w:val="20"/>
                <w:szCs w:val="20"/>
              </w:rPr>
              <w:t>Y1</w:t>
            </w:r>
          </w:p>
        </w:tc>
        <w:tc>
          <w:tcPr>
            <w:tcW w:w="435" w:type="dxa"/>
            <w:shd w:val="clear" w:color="auto" w:fill="CFE2F3"/>
            <w:tcMar>
              <w:top w:w="57" w:type="dxa"/>
              <w:left w:w="57" w:type="dxa"/>
              <w:bottom w:w="57" w:type="dxa"/>
              <w:right w:w="57" w:type="dxa"/>
            </w:tcMar>
            <w:vAlign w:val="center"/>
          </w:tcPr>
          <w:p w14:paraId="1D5A9047" w14:textId="77777777" w:rsidR="00044CEF" w:rsidRDefault="00000000">
            <w:pPr>
              <w:widowControl w:val="0"/>
              <w:jc w:val="center"/>
              <w:rPr>
                <w:b/>
                <w:sz w:val="20"/>
                <w:szCs w:val="20"/>
              </w:rPr>
            </w:pPr>
            <w:r>
              <w:rPr>
                <w:b/>
                <w:sz w:val="20"/>
                <w:szCs w:val="20"/>
              </w:rPr>
              <w:t>Y2</w:t>
            </w:r>
          </w:p>
        </w:tc>
        <w:tc>
          <w:tcPr>
            <w:tcW w:w="405" w:type="dxa"/>
            <w:shd w:val="clear" w:color="auto" w:fill="CFE2F3"/>
            <w:tcMar>
              <w:top w:w="57" w:type="dxa"/>
              <w:left w:w="57" w:type="dxa"/>
              <w:bottom w:w="57" w:type="dxa"/>
              <w:right w:w="57" w:type="dxa"/>
            </w:tcMar>
            <w:vAlign w:val="center"/>
          </w:tcPr>
          <w:p w14:paraId="365DB103" w14:textId="77777777" w:rsidR="00044CEF" w:rsidRDefault="00000000">
            <w:pPr>
              <w:widowControl w:val="0"/>
              <w:jc w:val="center"/>
              <w:rPr>
                <w:b/>
                <w:sz w:val="20"/>
                <w:szCs w:val="20"/>
              </w:rPr>
            </w:pPr>
            <w:r>
              <w:rPr>
                <w:b/>
                <w:sz w:val="20"/>
                <w:szCs w:val="20"/>
              </w:rPr>
              <w:t>Y3</w:t>
            </w:r>
          </w:p>
        </w:tc>
        <w:tc>
          <w:tcPr>
            <w:tcW w:w="405" w:type="dxa"/>
            <w:shd w:val="clear" w:color="auto" w:fill="CFE2F3"/>
            <w:tcMar>
              <w:top w:w="57" w:type="dxa"/>
              <w:left w:w="57" w:type="dxa"/>
              <w:bottom w:w="57" w:type="dxa"/>
              <w:right w:w="57" w:type="dxa"/>
            </w:tcMar>
            <w:vAlign w:val="center"/>
          </w:tcPr>
          <w:p w14:paraId="435C82ED" w14:textId="77777777" w:rsidR="00044CEF" w:rsidRDefault="00000000">
            <w:pPr>
              <w:widowControl w:val="0"/>
              <w:jc w:val="center"/>
              <w:rPr>
                <w:b/>
                <w:sz w:val="20"/>
                <w:szCs w:val="20"/>
              </w:rPr>
            </w:pPr>
            <w:r>
              <w:rPr>
                <w:b/>
                <w:sz w:val="20"/>
                <w:szCs w:val="20"/>
              </w:rPr>
              <w:t>Y4</w:t>
            </w:r>
          </w:p>
        </w:tc>
        <w:tc>
          <w:tcPr>
            <w:tcW w:w="405" w:type="dxa"/>
            <w:shd w:val="clear" w:color="auto" w:fill="CFE2F3"/>
            <w:tcMar>
              <w:top w:w="57" w:type="dxa"/>
              <w:left w:w="57" w:type="dxa"/>
              <w:bottom w:w="57" w:type="dxa"/>
              <w:right w:w="57" w:type="dxa"/>
            </w:tcMar>
            <w:vAlign w:val="center"/>
          </w:tcPr>
          <w:p w14:paraId="4F1798D6" w14:textId="77777777" w:rsidR="00044CEF" w:rsidRDefault="00000000">
            <w:pPr>
              <w:widowControl w:val="0"/>
              <w:jc w:val="center"/>
              <w:rPr>
                <w:b/>
                <w:sz w:val="20"/>
                <w:szCs w:val="20"/>
              </w:rPr>
            </w:pPr>
            <w:r>
              <w:rPr>
                <w:b/>
                <w:sz w:val="20"/>
                <w:szCs w:val="20"/>
              </w:rPr>
              <w:t>Y5</w:t>
            </w:r>
          </w:p>
        </w:tc>
      </w:tr>
      <w:tr w:rsidR="00044CEF" w14:paraId="72BA75B8" w14:textId="77777777">
        <w:trPr>
          <w:trHeight w:val="314"/>
        </w:trPr>
        <w:tc>
          <w:tcPr>
            <w:tcW w:w="9360" w:type="dxa"/>
            <w:gridSpan w:val="7"/>
            <w:shd w:val="clear" w:color="auto" w:fill="CFE2F3"/>
            <w:tcMar>
              <w:top w:w="57" w:type="dxa"/>
              <w:left w:w="57" w:type="dxa"/>
              <w:bottom w:w="57" w:type="dxa"/>
              <w:right w:w="57" w:type="dxa"/>
            </w:tcMar>
          </w:tcPr>
          <w:p w14:paraId="11E3FF01" w14:textId="77777777" w:rsidR="00044CEF" w:rsidRDefault="00000000">
            <w:pPr>
              <w:widowControl w:val="0"/>
              <w:rPr>
                <w:b/>
                <w:sz w:val="22"/>
                <w:szCs w:val="22"/>
              </w:rPr>
            </w:pPr>
            <w:r>
              <w:rPr>
                <w:b/>
                <w:sz w:val="22"/>
                <w:szCs w:val="22"/>
              </w:rPr>
              <w:t>Milestone 1:</w:t>
            </w:r>
            <w:r>
              <w:rPr>
                <w:sz w:val="22"/>
                <w:szCs w:val="22"/>
              </w:rPr>
              <w:t xml:space="preserve"> Tampa Bay Regional Planning Council (TBRPC) manages the SSERC Project, including grant management and oversight. See Milestone 1 - GHG Reduction Measure #1: Energy Efficiency Education and Tools.</w:t>
            </w:r>
          </w:p>
        </w:tc>
      </w:tr>
      <w:tr w:rsidR="00044CEF" w14:paraId="03B30126" w14:textId="77777777">
        <w:trPr>
          <w:trHeight w:val="420"/>
        </w:trPr>
        <w:tc>
          <w:tcPr>
            <w:tcW w:w="9360" w:type="dxa"/>
            <w:gridSpan w:val="7"/>
            <w:shd w:val="clear" w:color="auto" w:fill="auto"/>
            <w:tcMar>
              <w:top w:w="57" w:type="dxa"/>
              <w:left w:w="57" w:type="dxa"/>
              <w:bottom w:w="57" w:type="dxa"/>
              <w:right w:w="57" w:type="dxa"/>
            </w:tcMar>
          </w:tcPr>
          <w:p w14:paraId="7643020F" w14:textId="77777777" w:rsidR="00044CEF" w:rsidRDefault="00000000">
            <w:pPr>
              <w:widowControl w:val="0"/>
              <w:rPr>
                <w:sz w:val="22"/>
                <w:szCs w:val="22"/>
              </w:rPr>
            </w:pPr>
            <w:r>
              <w:rPr>
                <w:sz w:val="22"/>
                <w:szCs w:val="22"/>
              </w:rPr>
              <w:t>See Table 1, Milestone 1 - GHG Reduction Measure #1: Energy Efficiency Education and Tools.</w:t>
            </w:r>
          </w:p>
        </w:tc>
      </w:tr>
      <w:tr w:rsidR="00044CEF" w14:paraId="79C818EE" w14:textId="77777777">
        <w:trPr>
          <w:trHeight w:val="420"/>
        </w:trPr>
        <w:tc>
          <w:tcPr>
            <w:tcW w:w="9360" w:type="dxa"/>
            <w:gridSpan w:val="7"/>
            <w:shd w:val="clear" w:color="auto" w:fill="CFE2F3"/>
            <w:tcMar>
              <w:top w:w="57" w:type="dxa"/>
              <w:left w:w="57" w:type="dxa"/>
              <w:bottom w:w="57" w:type="dxa"/>
              <w:right w:w="57" w:type="dxa"/>
            </w:tcMar>
          </w:tcPr>
          <w:p w14:paraId="053FC07C" w14:textId="77777777" w:rsidR="00044CEF" w:rsidRDefault="00000000">
            <w:pPr>
              <w:widowControl w:val="0"/>
              <w:rPr>
                <w:sz w:val="22"/>
                <w:szCs w:val="22"/>
              </w:rPr>
            </w:pPr>
            <w:r>
              <w:rPr>
                <w:b/>
                <w:sz w:val="22"/>
                <w:szCs w:val="22"/>
              </w:rPr>
              <w:t xml:space="preserve">Milestone 2: </w:t>
            </w:r>
            <w:r>
              <w:rPr>
                <w:sz w:val="22"/>
                <w:szCs w:val="22"/>
              </w:rPr>
              <w:t xml:space="preserve">Complete 500 Energy </w:t>
            </w:r>
            <w:proofErr w:type="gramStart"/>
            <w:r>
              <w:rPr>
                <w:sz w:val="22"/>
                <w:szCs w:val="22"/>
              </w:rPr>
              <w:t>Retrofits  in</w:t>
            </w:r>
            <w:proofErr w:type="gramEnd"/>
            <w:r>
              <w:rPr>
                <w:sz w:val="22"/>
                <w:szCs w:val="22"/>
              </w:rPr>
              <w:t xml:space="preserve"> Community Facilities. </w:t>
            </w:r>
          </w:p>
        </w:tc>
      </w:tr>
      <w:tr w:rsidR="00044CEF" w14:paraId="4F2C8693" w14:textId="77777777">
        <w:tc>
          <w:tcPr>
            <w:tcW w:w="6705" w:type="dxa"/>
            <w:shd w:val="clear" w:color="auto" w:fill="auto"/>
            <w:tcMar>
              <w:top w:w="57" w:type="dxa"/>
              <w:left w:w="57" w:type="dxa"/>
              <w:bottom w:w="57" w:type="dxa"/>
              <w:right w:w="57" w:type="dxa"/>
            </w:tcMar>
          </w:tcPr>
          <w:p w14:paraId="0C715208" w14:textId="77777777" w:rsidR="00044CEF" w:rsidRDefault="00000000">
            <w:pPr>
              <w:widowControl w:val="0"/>
              <w:rPr>
                <w:sz w:val="22"/>
                <w:szCs w:val="22"/>
              </w:rPr>
            </w:pPr>
            <w:r>
              <w:rPr>
                <w:sz w:val="22"/>
                <w:szCs w:val="22"/>
              </w:rPr>
              <w:t xml:space="preserve">Task 2.1: TBRPC distributes funding to Coalition members and sub awardees named in application by February </w:t>
            </w:r>
            <w:proofErr w:type="gramStart"/>
            <w:r>
              <w:rPr>
                <w:sz w:val="22"/>
                <w:szCs w:val="22"/>
              </w:rPr>
              <w:t>2025 .</w:t>
            </w:r>
            <w:proofErr w:type="gramEnd"/>
            <w:r>
              <w:rPr>
                <w:sz w:val="22"/>
                <w:szCs w:val="22"/>
              </w:rPr>
              <w:t xml:space="preserve"> </w:t>
            </w:r>
          </w:p>
        </w:tc>
        <w:tc>
          <w:tcPr>
            <w:tcW w:w="570" w:type="dxa"/>
            <w:shd w:val="clear" w:color="auto" w:fill="A64D79"/>
            <w:tcMar>
              <w:top w:w="57" w:type="dxa"/>
              <w:left w:w="57" w:type="dxa"/>
              <w:bottom w:w="57" w:type="dxa"/>
              <w:right w:w="57" w:type="dxa"/>
            </w:tcMar>
          </w:tcPr>
          <w:p w14:paraId="7264C236" w14:textId="77777777" w:rsidR="00044CEF" w:rsidRDefault="00044CEF">
            <w:pPr>
              <w:widowControl w:val="0"/>
              <w:rPr>
                <w:sz w:val="22"/>
                <w:szCs w:val="22"/>
              </w:rPr>
            </w:pPr>
          </w:p>
        </w:tc>
        <w:tc>
          <w:tcPr>
            <w:tcW w:w="435" w:type="dxa"/>
            <w:shd w:val="clear" w:color="auto" w:fill="auto"/>
            <w:tcMar>
              <w:top w:w="57" w:type="dxa"/>
              <w:left w:w="57" w:type="dxa"/>
              <w:bottom w:w="57" w:type="dxa"/>
              <w:right w:w="57" w:type="dxa"/>
            </w:tcMar>
          </w:tcPr>
          <w:p w14:paraId="1E7B927F" w14:textId="77777777" w:rsidR="00044CEF" w:rsidRDefault="00044CEF">
            <w:pPr>
              <w:widowControl w:val="0"/>
              <w:rPr>
                <w:sz w:val="22"/>
                <w:szCs w:val="22"/>
              </w:rPr>
            </w:pPr>
          </w:p>
        </w:tc>
        <w:tc>
          <w:tcPr>
            <w:tcW w:w="435" w:type="dxa"/>
            <w:shd w:val="clear" w:color="auto" w:fill="auto"/>
            <w:tcMar>
              <w:top w:w="57" w:type="dxa"/>
              <w:left w:w="57" w:type="dxa"/>
              <w:bottom w:w="57" w:type="dxa"/>
              <w:right w:w="57" w:type="dxa"/>
            </w:tcMar>
          </w:tcPr>
          <w:p w14:paraId="05AFD5CD" w14:textId="77777777" w:rsidR="00044CEF" w:rsidRDefault="00044CEF">
            <w:pPr>
              <w:widowControl w:val="0"/>
              <w:rPr>
                <w:sz w:val="22"/>
                <w:szCs w:val="22"/>
              </w:rPr>
            </w:pPr>
          </w:p>
        </w:tc>
        <w:tc>
          <w:tcPr>
            <w:tcW w:w="405" w:type="dxa"/>
            <w:shd w:val="clear" w:color="auto" w:fill="auto"/>
            <w:tcMar>
              <w:top w:w="57" w:type="dxa"/>
              <w:left w:w="57" w:type="dxa"/>
              <w:bottom w:w="57" w:type="dxa"/>
              <w:right w:w="57" w:type="dxa"/>
            </w:tcMar>
          </w:tcPr>
          <w:p w14:paraId="45A9CDC6" w14:textId="77777777" w:rsidR="00044CEF" w:rsidRDefault="00044CEF">
            <w:pPr>
              <w:widowControl w:val="0"/>
              <w:rPr>
                <w:sz w:val="22"/>
                <w:szCs w:val="22"/>
              </w:rPr>
            </w:pPr>
          </w:p>
        </w:tc>
        <w:tc>
          <w:tcPr>
            <w:tcW w:w="405" w:type="dxa"/>
            <w:shd w:val="clear" w:color="auto" w:fill="auto"/>
            <w:tcMar>
              <w:top w:w="57" w:type="dxa"/>
              <w:left w:w="57" w:type="dxa"/>
              <w:bottom w:w="57" w:type="dxa"/>
              <w:right w:w="57" w:type="dxa"/>
            </w:tcMar>
          </w:tcPr>
          <w:p w14:paraId="1E47F687" w14:textId="77777777" w:rsidR="00044CEF" w:rsidRDefault="00044CEF">
            <w:pPr>
              <w:widowControl w:val="0"/>
              <w:rPr>
                <w:sz w:val="22"/>
                <w:szCs w:val="22"/>
              </w:rPr>
            </w:pPr>
          </w:p>
        </w:tc>
        <w:tc>
          <w:tcPr>
            <w:tcW w:w="405" w:type="dxa"/>
            <w:shd w:val="clear" w:color="auto" w:fill="auto"/>
            <w:tcMar>
              <w:top w:w="57" w:type="dxa"/>
              <w:left w:w="57" w:type="dxa"/>
              <w:bottom w:w="57" w:type="dxa"/>
              <w:right w:w="57" w:type="dxa"/>
            </w:tcMar>
          </w:tcPr>
          <w:p w14:paraId="49C96B77" w14:textId="77777777" w:rsidR="00044CEF" w:rsidRDefault="00044CEF">
            <w:pPr>
              <w:widowControl w:val="0"/>
              <w:rPr>
                <w:sz w:val="22"/>
                <w:szCs w:val="22"/>
              </w:rPr>
            </w:pPr>
          </w:p>
        </w:tc>
      </w:tr>
      <w:tr w:rsidR="00044CEF" w14:paraId="274DCCDF" w14:textId="77777777">
        <w:tc>
          <w:tcPr>
            <w:tcW w:w="6705" w:type="dxa"/>
            <w:shd w:val="clear" w:color="auto" w:fill="auto"/>
            <w:tcMar>
              <w:top w:w="57" w:type="dxa"/>
              <w:left w:w="57" w:type="dxa"/>
              <w:bottom w:w="57" w:type="dxa"/>
              <w:right w:w="57" w:type="dxa"/>
            </w:tcMar>
          </w:tcPr>
          <w:p w14:paraId="7A33A724" w14:textId="77777777" w:rsidR="00044CEF" w:rsidRDefault="00000000">
            <w:pPr>
              <w:widowControl w:val="0"/>
              <w:rPr>
                <w:sz w:val="22"/>
                <w:szCs w:val="22"/>
              </w:rPr>
            </w:pPr>
            <w:r>
              <w:rPr>
                <w:sz w:val="22"/>
                <w:szCs w:val="22"/>
              </w:rPr>
              <w:t xml:space="preserve">Task 2.2: Coalition Members and </w:t>
            </w:r>
            <w:proofErr w:type="spellStart"/>
            <w:r>
              <w:rPr>
                <w:sz w:val="22"/>
                <w:szCs w:val="22"/>
              </w:rPr>
              <w:t>Subawardees</w:t>
            </w:r>
            <w:proofErr w:type="spellEnd"/>
            <w:r>
              <w:rPr>
                <w:sz w:val="22"/>
                <w:szCs w:val="22"/>
              </w:rPr>
              <w:t xml:space="preserve"> begin procurement of community facility retrofits and solar by March 2025.</w:t>
            </w:r>
          </w:p>
        </w:tc>
        <w:tc>
          <w:tcPr>
            <w:tcW w:w="570" w:type="dxa"/>
            <w:tcMar>
              <w:top w:w="57" w:type="dxa"/>
              <w:left w:w="57" w:type="dxa"/>
              <w:bottom w:w="57" w:type="dxa"/>
              <w:right w:w="57" w:type="dxa"/>
            </w:tcMar>
          </w:tcPr>
          <w:p w14:paraId="2AA005F1" w14:textId="77777777" w:rsidR="00044CEF" w:rsidRDefault="00044CEF">
            <w:pPr>
              <w:widowControl w:val="0"/>
              <w:rPr>
                <w:sz w:val="22"/>
                <w:szCs w:val="22"/>
              </w:rPr>
            </w:pPr>
          </w:p>
        </w:tc>
        <w:tc>
          <w:tcPr>
            <w:tcW w:w="435" w:type="dxa"/>
            <w:shd w:val="clear" w:color="auto" w:fill="A64D79"/>
            <w:tcMar>
              <w:top w:w="57" w:type="dxa"/>
              <w:left w:w="57" w:type="dxa"/>
              <w:bottom w:w="57" w:type="dxa"/>
              <w:right w:w="57" w:type="dxa"/>
            </w:tcMar>
          </w:tcPr>
          <w:p w14:paraId="5810BDC0" w14:textId="77777777" w:rsidR="00044CEF" w:rsidRDefault="00044CEF">
            <w:pPr>
              <w:widowControl w:val="0"/>
              <w:rPr>
                <w:sz w:val="22"/>
                <w:szCs w:val="22"/>
              </w:rPr>
            </w:pPr>
          </w:p>
        </w:tc>
        <w:tc>
          <w:tcPr>
            <w:tcW w:w="435" w:type="dxa"/>
            <w:shd w:val="clear" w:color="auto" w:fill="auto"/>
            <w:tcMar>
              <w:top w:w="57" w:type="dxa"/>
              <w:left w:w="57" w:type="dxa"/>
              <w:bottom w:w="57" w:type="dxa"/>
              <w:right w:w="57" w:type="dxa"/>
            </w:tcMar>
          </w:tcPr>
          <w:p w14:paraId="154C485E" w14:textId="77777777" w:rsidR="00044CEF" w:rsidRDefault="00044CEF">
            <w:pPr>
              <w:widowControl w:val="0"/>
              <w:rPr>
                <w:sz w:val="22"/>
                <w:szCs w:val="22"/>
              </w:rPr>
            </w:pPr>
          </w:p>
        </w:tc>
        <w:tc>
          <w:tcPr>
            <w:tcW w:w="405" w:type="dxa"/>
            <w:shd w:val="clear" w:color="auto" w:fill="auto"/>
            <w:tcMar>
              <w:top w:w="57" w:type="dxa"/>
              <w:left w:w="57" w:type="dxa"/>
              <w:bottom w:w="57" w:type="dxa"/>
              <w:right w:w="57" w:type="dxa"/>
            </w:tcMar>
          </w:tcPr>
          <w:p w14:paraId="2A80FAEB" w14:textId="77777777" w:rsidR="00044CEF" w:rsidRDefault="00044CEF">
            <w:pPr>
              <w:widowControl w:val="0"/>
              <w:rPr>
                <w:sz w:val="22"/>
                <w:szCs w:val="22"/>
              </w:rPr>
            </w:pPr>
          </w:p>
        </w:tc>
        <w:tc>
          <w:tcPr>
            <w:tcW w:w="405" w:type="dxa"/>
            <w:shd w:val="clear" w:color="auto" w:fill="auto"/>
            <w:tcMar>
              <w:top w:w="57" w:type="dxa"/>
              <w:left w:w="57" w:type="dxa"/>
              <w:bottom w:w="57" w:type="dxa"/>
              <w:right w:w="57" w:type="dxa"/>
            </w:tcMar>
          </w:tcPr>
          <w:p w14:paraId="3126C8C3" w14:textId="77777777" w:rsidR="00044CEF" w:rsidRDefault="00044CEF">
            <w:pPr>
              <w:widowControl w:val="0"/>
              <w:rPr>
                <w:sz w:val="22"/>
                <w:szCs w:val="22"/>
              </w:rPr>
            </w:pPr>
          </w:p>
        </w:tc>
        <w:tc>
          <w:tcPr>
            <w:tcW w:w="405" w:type="dxa"/>
            <w:shd w:val="clear" w:color="auto" w:fill="auto"/>
            <w:tcMar>
              <w:top w:w="57" w:type="dxa"/>
              <w:left w:w="57" w:type="dxa"/>
              <w:bottom w:w="57" w:type="dxa"/>
              <w:right w:w="57" w:type="dxa"/>
            </w:tcMar>
          </w:tcPr>
          <w:p w14:paraId="37F0ADF1" w14:textId="77777777" w:rsidR="00044CEF" w:rsidRDefault="00044CEF">
            <w:pPr>
              <w:widowControl w:val="0"/>
              <w:rPr>
                <w:sz w:val="22"/>
                <w:szCs w:val="22"/>
              </w:rPr>
            </w:pPr>
          </w:p>
        </w:tc>
      </w:tr>
      <w:tr w:rsidR="00044CEF" w14:paraId="51CB6CB5" w14:textId="77777777">
        <w:tc>
          <w:tcPr>
            <w:tcW w:w="6705" w:type="dxa"/>
            <w:shd w:val="clear" w:color="auto" w:fill="auto"/>
            <w:tcMar>
              <w:top w:w="57" w:type="dxa"/>
              <w:left w:w="57" w:type="dxa"/>
              <w:bottom w:w="57" w:type="dxa"/>
              <w:right w:w="57" w:type="dxa"/>
            </w:tcMar>
          </w:tcPr>
          <w:p w14:paraId="6EB94413" w14:textId="77777777" w:rsidR="00044CEF" w:rsidRDefault="00000000">
            <w:pPr>
              <w:widowControl w:val="0"/>
              <w:rPr>
                <w:sz w:val="22"/>
                <w:szCs w:val="22"/>
              </w:rPr>
            </w:pPr>
            <w:r>
              <w:rPr>
                <w:sz w:val="22"/>
                <w:szCs w:val="22"/>
              </w:rPr>
              <w:t xml:space="preserve">Task 2.3: Coalition Members and </w:t>
            </w:r>
            <w:proofErr w:type="spellStart"/>
            <w:r>
              <w:rPr>
                <w:sz w:val="22"/>
                <w:szCs w:val="22"/>
              </w:rPr>
              <w:t>Subawardees</w:t>
            </w:r>
            <w:proofErr w:type="spellEnd"/>
            <w:r>
              <w:rPr>
                <w:sz w:val="22"/>
                <w:szCs w:val="22"/>
              </w:rPr>
              <w:t xml:space="preserve"> </w:t>
            </w:r>
            <w:proofErr w:type="gramStart"/>
            <w:r>
              <w:rPr>
                <w:sz w:val="22"/>
                <w:szCs w:val="22"/>
              </w:rPr>
              <w:t>procure</w:t>
            </w:r>
            <w:proofErr w:type="gramEnd"/>
            <w:r>
              <w:rPr>
                <w:sz w:val="22"/>
                <w:szCs w:val="22"/>
              </w:rPr>
              <w:t xml:space="preserve"> and construct community facility retrofits during years 2-5.</w:t>
            </w:r>
          </w:p>
        </w:tc>
        <w:tc>
          <w:tcPr>
            <w:tcW w:w="570" w:type="dxa"/>
            <w:shd w:val="clear" w:color="auto" w:fill="auto"/>
            <w:tcMar>
              <w:top w:w="57" w:type="dxa"/>
              <w:left w:w="57" w:type="dxa"/>
              <w:bottom w:w="57" w:type="dxa"/>
              <w:right w:w="57" w:type="dxa"/>
            </w:tcMar>
          </w:tcPr>
          <w:p w14:paraId="54758E87" w14:textId="77777777" w:rsidR="00044CEF" w:rsidRDefault="00044CEF">
            <w:pPr>
              <w:widowControl w:val="0"/>
              <w:rPr>
                <w:sz w:val="22"/>
                <w:szCs w:val="22"/>
              </w:rPr>
            </w:pPr>
          </w:p>
        </w:tc>
        <w:tc>
          <w:tcPr>
            <w:tcW w:w="435" w:type="dxa"/>
            <w:shd w:val="clear" w:color="auto" w:fill="auto"/>
            <w:tcMar>
              <w:top w:w="57" w:type="dxa"/>
              <w:left w:w="57" w:type="dxa"/>
              <w:bottom w:w="57" w:type="dxa"/>
              <w:right w:w="57" w:type="dxa"/>
            </w:tcMar>
          </w:tcPr>
          <w:p w14:paraId="3CE9B406" w14:textId="77777777" w:rsidR="00044CEF" w:rsidRDefault="00044CEF">
            <w:pPr>
              <w:widowControl w:val="0"/>
              <w:rPr>
                <w:sz w:val="22"/>
                <w:szCs w:val="22"/>
              </w:rPr>
            </w:pPr>
          </w:p>
        </w:tc>
        <w:tc>
          <w:tcPr>
            <w:tcW w:w="435" w:type="dxa"/>
            <w:shd w:val="clear" w:color="auto" w:fill="A64D79"/>
            <w:tcMar>
              <w:top w:w="57" w:type="dxa"/>
              <w:left w:w="57" w:type="dxa"/>
              <w:bottom w:w="57" w:type="dxa"/>
              <w:right w:w="57" w:type="dxa"/>
            </w:tcMar>
          </w:tcPr>
          <w:p w14:paraId="6CAC21FE" w14:textId="77777777" w:rsidR="00044CEF" w:rsidRDefault="00044CEF">
            <w:pPr>
              <w:widowControl w:val="0"/>
              <w:rPr>
                <w:sz w:val="22"/>
                <w:szCs w:val="22"/>
              </w:rPr>
            </w:pPr>
          </w:p>
        </w:tc>
        <w:tc>
          <w:tcPr>
            <w:tcW w:w="405" w:type="dxa"/>
            <w:shd w:val="clear" w:color="auto" w:fill="A64D79"/>
            <w:tcMar>
              <w:top w:w="57" w:type="dxa"/>
              <w:left w:w="57" w:type="dxa"/>
              <w:bottom w:w="57" w:type="dxa"/>
              <w:right w:w="57" w:type="dxa"/>
            </w:tcMar>
          </w:tcPr>
          <w:p w14:paraId="22A108FB" w14:textId="77777777" w:rsidR="00044CEF" w:rsidRDefault="00044CEF">
            <w:pPr>
              <w:widowControl w:val="0"/>
              <w:rPr>
                <w:sz w:val="22"/>
                <w:szCs w:val="22"/>
              </w:rPr>
            </w:pPr>
          </w:p>
        </w:tc>
        <w:tc>
          <w:tcPr>
            <w:tcW w:w="405" w:type="dxa"/>
            <w:shd w:val="clear" w:color="auto" w:fill="A64D79"/>
            <w:tcMar>
              <w:top w:w="57" w:type="dxa"/>
              <w:left w:w="57" w:type="dxa"/>
              <w:bottom w:w="57" w:type="dxa"/>
              <w:right w:w="57" w:type="dxa"/>
            </w:tcMar>
          </w:tcPr>
          <w:p w14:paraId="16E25AD4" w14:textId="77777777" w:rsidR="00044CEF" w:rsidRDefault="00044CEF">
            <w:pPr>
              <w:widowControl w:val="0"/>
              <w:rPr>
                <w:sz w:val="22"/>
                <w:szCs w:val="22"/>
              </w:rPr>
            </w:pPr>
          </w:p>
        </w:tc>
        <w:tc>
          <w:tcPr>
            <w:tcW w:w="405" w:type="dxa"/>
            <w:shd w:val="clear" w:color="auto" w:fill="A64D79"/>
            <w:tcMar>
              <w:top w:w="57" w:type="dxa"/>
              <w:left w:w="57" w:type="dxa"/>
              <w:bottom w:w="57" w:type="dxa"/>
              <w:right w:w="57" w:type="dxa"/>
            </w:tcMar>
          </w:tcPr>
          <w:p w14:paraId="04C34219" w14:textId="77777777" w:rsidR="00044CEF" w:rsidRDefault="00044CEF">
            <w:pPr>
              <w:widowControl w:val="0"/>
              <w:rPr>
                <w:sz w:val="22"/>
                <w:szCs w:val="22"/>
              </w:rPr>
            </w:pPr>
          </w:p>
        </w:tc>
      </w:tr>
      <w:tr w:rsidR="00044CEF" w14:paraId="63F02FEE" w14:textId="77777777">
        <w:trPr>
          <w:trHeight w:val="420"/>
        </w:trPr>
        <w:tc>
          <w:tcPr>
            <w:tcW w:w="9360" w:type="dxa"/>
            <w:gridSpan w:val="7"/>
            <w:shd w:val="clear" w:color="auto" w:fill="CFE2F3"/>
            <w:tcMar>
              <w:top w:w="57" w:type="dxa"/>
              <w:left w:w="57" w:type="dxa"/>
              <w:bottom w:w="57" w:type="dxa"/>
              <w:right w:w="57" w:type="dxa"/>
            </w:tcMar>
          </w:tcPr>
          <w:p w14:paraId="04163B5E" w14:textId="77777777" w:rsidR="00044CEF" w:rsidRDefault="00000000">
            <w:pPr>
              <w:widowControl w:val="0"/>
              <w:rPr>
                <w:sz w:val="22"/>
                <w:szCs w:val="22"/>
              </w:rPr>
            </w:pPr>
            <w:r>
              <w:rPr>
                <w:b/>
                <w:sz w:val="22"/>
                <w:szCs w:val="22"/>
              </w:rPr>
              <w:t>Milestone 3:</w:t>
            </w:r>
            <w:r>
              <w:rPr>
                <w:sz w:val="22"/>
                <w:szCs w:val="22"/>
              </w:rPr>
              <w:t xml:space="preserve"> Install 95 Solar Arrays.</w:t>
            </w:r>
          </w:p>
        </w:tc>
      </w:tr>
      <w:tr w:rsidR="00044CEF" w14:paraId="7D6D407F" w14:textId="77777777">
        <w:trPr>
          <w:trHeight w:val="405"/>
        </w:trPr>
        <w:tc>
          <w:tcPr>
            <w:tcW w:w="6705" w:type="dxa"/>
            <w:shd w:val="clear" w:color="auto" w:fill="auto"/>
            <w:tcMar>
              <w:top w:w="57" w:type="dxa"/>
              <w:left w:w="57" w:type="dxa"/>
              <w:bottom w:w="57" w:type="dxa"/>
              <w:right w:w="57" w:type="dxa"/>
            </w:tcMar>
          </w:tcPr>
          <w:p w14:paraId="106BB2CD" w14:textId="77777777" w:rsidR="00044CEF" w:rsidRDefault="00000000">
            <w:pPr>
              <w:widowControl w:val="0"/>
              <w:rPr>
                <w:sz w:val="22"/>
                <w:szCs w:val="22"/>
              </w:rPr>
            </w:pPr>
            <w:r>
              <w:rPr>
                <w:sz w:val="22"/>
                <w:szCs w:val="22"/>
              </w:rPr>
              <w:t xml:space="preserve">Task 3.1: TBRPC subawards with Coalition Members by November 2024. </w:t>
            </w:r>
          </w:p>
        </w:tc>
        <w:tc>
          <w:tcPr>
            <w:tcW w:w="570" w:type="dxa"/>
            <w:shd w:val="clear" w:color="auto" w:fill="185468"/>
            <w:tcMar>
              <w:top w:w="57" w:type="dxa"/>
              <w:left w:w="57" w:type="dxa"/>
              <w:bottom w:w="57" w:type="dxa"/>
              <w:right w:w="57" w:type="dxa"/>
            </w:tcMar>
          </w:tcPr>
          <w:p w14:paraId="0EB7272F" w14:textId="77777777" w:rsidR="00044CEF" w:rsidRDefault="00044CEF">
            <w:pPr>
              <w:widowControl w:val="0"/>
              <w:rPr>
                <w:sz w:val="22"/>
                <w:szCs w:val="22"/>
              </w:rPr>
            </w:pPr>
          </w:p>
        </w:tc>
        <w:tc>
          <w:tcPr>
            <w:tcW w:w="435" w:type="dxa"/>
            <w:tcMar>
              <w:top w:w="57" w:type="dxa"/>
              <w:left w:w="57" w:type="dxa"/>
              <w:bottom w:w="57" w:type="dxa"/>
              <w:right w:w="57" w:type="dxa"/>
            </w:tcMar>
          </w:tcPr>
          <w:p w14:paraId="2366FF35" w14:textId="77777777" w:rsidR="00044CEF" w:rsidRDefault="00044CEF">
            <w:pPr>
              <w:widowControl w:val="0"/>
              <w:rPr>
                <w:sz w:val="22"/>
                <w:szCs w:val="22"/>
              </w:rPr>
            </w:pPr>
          </w:p>
        </w:tc>
        <w:tc>
          <w:tcPr>
            <w:tcW w:w="435" w:type="dxa"/>
            <w:shd w:val="clear" w:color="auto" w:fill="auto"/>
            <w:tcMar>
              <w:top w:w="57" w:type="dxa"/>
              <w:left w:w="57" w:type="dxa"/>
              <w:bottom w:w="57" w:type="dxa"/>
              <w:right w:w="57" w:type="dxa"/>
            </w:tcMar>
          </w:tcPr>
          <w:p w14:paraId="41595285" w14:textId="77777777" w:rsidR="00044CEF" w:rsidRDefault="00044CEF">
            <w:pPr>
              <w:widowControl w:val="0"/>
              <w:rPr>
                <w:sz w:val="22"/>
                <w:szCs w:val="22"/>
              </w:rPr>
            </w:pPr>
          </w:p>
        </w:tc>
        <w:tc>
          <w:tcPr>
            <w:tcW w:w="405" w:type="dxa"/>
            <w:shd w:val="clear" w:color="auto" w:fill="auto"/>
            <w:tcMar>
              <w:top w:w="57" w:type="dxa"/>
              <w:left w:w="57" w:type="dxa"/>
              <w:bottom w:w="57" w:type="dxa"/>
              <w:right w:w="57" w:type="dxa"/>
            </w:tcMar>
          </w:tcPr>
          <w:p w14:paraId="1ABF8FFC" w14:textId="77777777" w:rsidR="00044CEF" w:rsidRDefault="00044CEF">
            <w:pPr>
              <w:widowControl w:val="0"/>
              <w:rPr>
                <w:sz w:val="22"/>
                <w:szCs w:val="22"/>
              </w:rPr>
            </w:pPr>
          </w:p>
        </w:tc>
        <w:tc>
          <w:tcPr>
            <w:tcW w:w="405" w:type="dxa"/>
            <w:shd w:val="clear" w:color="auto" w:fill="auto"/>
            <w:tcMar>
              <w:top w:w="57" w:type="dxa"/>
              <w:left w:w="57" w:type="dxa"/>
              <w:bottom w:w="57" w:type="dxa"/>
              <w:right w:w="57" w:type="dxa"/>
            </w:tcMar>
          </w:tcPr>
          <w:p w14:paraId="42037DF4" w14:textId="77777777" w:rsidR="00044CEF" w:rsidRDefault="00044CEF">
            <w:pPr>
              <w:widowControl w:val="0"/>
              <w:rPr>
                <w:sz w:val="22"/>
                <w:szCs w:val="22"/>
              </w:rPr>
            </w:pPr>
          </w:p>
        </w:tc>
        <w:tc>
          <w:tcPr>
            <w:tcW w:w="405" w:type="dxa"/>
            <w:shd w:val="clear" w:color="auto" w:fill="auto"/>
            <w:tcMar>
              <w:top w:w="57" w:type="dxa"/>
              <w:left w:w="57" w:type="dxa"/>
              <w:bottom w:w="57" w:type="dxa"/>
              <w:right w:w="57" w:type="dxa"/>
            </w:tcMar>
          </w:tcPr>
          <w:p w14:paraId="1B03D774" w14:textId="77777777" w:rsidR="00044CEF" w:rsidRDefault="00044CEF">
            <w:pPr>
              <w:widowControl w:val="0"/>
              <w:rPr>
                <w:sz w:val="22"/>
                <w:szCs w:val="22"/>
              </w:rPr>
            </w:pPr>
          </w:p>
        </w:tc>
      </w:tr>
      <w:tr w:rsidR="00044CEF" w14:paraId="2697F4EF" w14:textId="77777777">
        <w:trPr>
          <w:trHeight w:val="420"/>
        </w:trPr>
        <w:tc>
          <w:tcPr>
            <w:tcW w:w="6705" w:type="dxa"/>
            <w:shd w:val="clear" w:color="auto" w:fill="auto"/>
            <w:tcMar>
              <w:top w:w="57" w:type="dxa"/>
              <w:left w:w="57" w:type="dxa"/>
              <w:bottom w:w="57" w:type="dxa"/>
              <w:right w:w="57" w:type="dxa"/>
            </w:tcMar>
          </w:tcPr>
          <w:p w14:paraId="635053A7" w14:textId="77777777" w:rsidR="00044CEF" w:rsidRDefault="00000000">
            <w:pPr>
              <w:widowControl w:val="0"/>
              <w:rPr>
                <w:sz w:val="22"/>
                <w:szCs w:val="22"/>
              </w:rPr>
            </w:pPr>
            <w:r>
              <w:rPr>
                <w:sz w:val="22"/>
                <w:szCs w:val="22"/>
              </w:rPr>
              <w:t xml:space="preserve">Task 3.2: TBRPC subawards with named grantees by December 2024. </w:t>
            </w:r>
          </w:p>
        </w:tc>
        <w:tc>
          <w:tcPr>
            <w:tcW w:w="570" w:type="dxa"/>
            <w:shd w:val="clear" w:color="auto" w:fill="185468"/>
            <w:tcMar>
              <w:top w:w="57" w:type="dxa"/>
              <w:left w:w="57" w:type="dxa"/>
              <w:bottom w:w="57" w:type="dxa"/>
              <w:right w:w="57" w:type="dxa"/>
            </w:tcMar>
          </w:tcPr>
          <w:p w14:paraId="1BA60FC0" w14:textId="77777777" w:rsidR="00044CEF" w:rsidRDefault="00044CEF">
            <w:pPr>
              <w:widowControl w:val="0"/>
              <w:rPr>
                <w:sz w:val="22"/>
                <w:szCs w:val="22"/>
              </w:rPr>
            </w:pPr>
          </w:p>
        </w:tc>
        <w:tc>
          <w:tcPr>
            <w:tcW w:w="435" w:type="dxa"/>
            <w:tcMar>
              <w:top w:w="57" w:type="dxa"/>
              <w:left w:w="57" w:type="dxa"/>
              <w:bottom w:w="57" w:type="dxa"/>
              <w:right w:w="57" w:type="dxa"/>
            </w:tcMar>
          </w:tcPr>
          <w:p w14:paraId="4CB709AC" w14:textId="77777777" w:rsidR="00044CEF" w:rsidRDefault="00044CEF">
            <w:pPr>
              <w:widowControl w:val="0"/>
              <w:rPr>
                <w:sz w:val="22"/>
                <w:szCs w:val="22"/>
              </w:rPr>
            </w:pPr>
          </w:p>
        </w:tc>
        <w:tc>
          <w:tcPr>
            <w:tcW w:w="435" w:type="dxa"/>
            <w:shd w:val="clear" w:color="auto" w:fill="auto"/>
            <w:tcMar>
              <w:top w:w="57" w:type="dxa"/>
              <w:left w:w="57" w:type="dxa"/>
              <w:bottom w:w="57" w:type="dxa"/>
              <w:right w:w="57" w:type="dxa"/>
            </w:tcMar>
          </w:tcPr>
          <w:p w14:paraId="24FAEBEB" w14:textId="77777777" w:rsidR="00044CEF" w:rsidRDefault="00044CEF">
            <w:pPr>
              <w:widowControl w:val="0"/>
              <w:rPr>
                <w:sz w:val="22"/>
                <w:szCs w:val="22"/>
              </w:rPr>
            </w:pPr>
          </w:p>
        </w:tc>
        <w:tc>
          <w:tcPr>
            <w:tcW w:w="405" w:type="dxa"/>
            <w:shd w:val="clear" w:color="auto" w:fill="auto"/>
            <w:tcMar>
              <w:top w:w="57" w:type="dxa"/>
              <w:left w:w="57" w:type="dxa"/>
              <w:bottom w:w="57" w:type="dxa"/>
              <w:right w:w="57" w:type="dxa"/>
            </w:tcMar>
          </w:tcPr>
          <w:p w14:paraId="49396771" w14:textId="77777777" w:rsidR="00044CEF" w:rsidRDefault="00044CEF">
            <w:pPr>
              <w:widowControl w:val="0"/>
              <w:rPr>
                <w:sz w:val="22"/>
                <w:szCs w:val="22"/>
              </w:rPr>
            </w:pPr>
          </w:p>
        </w:tc>
        <w:tc>
          <w:tcPr>
            <w:tcW w:w="405" w:type="dxa"/>
            <w:shd w:val="clear" w:color="auto" w:fill="auto"/>
            <w:tcMar>
              <w:top w:w="57" w:type="dxa"/>
              <w:left w:w="57" w:type="dxa"/>
              <w:bottom w:w="57" w:type="dxa"/>
              <w:right w:w="57" w:type="dxa"/>
            </w:tcMar>
          </w:tcPr>
          <w:p w14:paraId="3A42486C" w14:textId="77777777" w:rsidR="00044CEF" w:rsidRDefault="00044CEF">
            <w:pPr>
              <w:widowControl w:val="0"/>
              <w:rPr>
                <w:sz w:val="22"/>
                <w:szCs w:val="22"/>
              </w:rPr>
            </w:pPr>
          </w:p>
        </w:tc>
        <w:tc>
          <w:tcPr>
            <w:tcW w:w="405" w:type="dxa"/>
            <w:shd w:val="clear" w:color="auto" w:fill="auto"/>
            <w:tcMar>
              <w:top w:w="57" w:type="dxa"/>
              <w:left w:w="57" w:type="dxa"/>
              <w:bottom w:w="57" w:type="dxa"/>
              <w:right w:w="57" w:type="dxa"/>
            </w:tcMar>
          </w:tcPr>
          <w:p w14:paraId="1BE12011" w14:textId="77777777" w:rsidR="00044CEF" w:rsidRDefault="00044CEF">
            <w:pPr>
              <w:widowControl w:val="0"/>
              <w:rPr>
                <w:sz w:val="22"/>
                <w:szCs w:val="22"/>
              </w:rPr>
            </w:pPr>
          </w:p>
        </w:tc>
      </w:tr>
      <w:tr w:rsidR="00044CEF" w14:paraId="59614309" w14:textId="77777777">
        <w:trPr>
          <w:trHeight w:val="420"/>
        </w:trPr>
        <w:tc>
          <w:tcPr>
            <w:tcW w:w="6705" w:type="dxa"/>
            <w:shd w:val="clear" w:color="auto" w:fill="auto"/>
            <w:tcMar>
              <w:top w:w="57" w:type="dxa"/>
              <w:left w:w="57" w:type="dxa"/>
              <w:bottom w:w="57" w:type="dxa"/>
              <w:right w:w="57" w:type="dxa"/>
            </w:tcMar>
          </w:tcPr>
          <w:p w14:paraId="2E9C369D" w14:textId="77777777" w:rsidR="00044CEF" w:rsidRDefault="00000000">
            <w:pPr>
              <w:widowControl w:val="0"/>
              <w:rPr>
                <w:sz w:val="22"/>
                <w:szCs w:val="22"/>
              </w:rPr>
            </w:pPr>
            <w:r>
              <w:rPr>
                <w:sz w:val="22"/>
                <w:szCs w:val="22"/>
              </w:rPr>
              <w:lastRenderedPageBreak/>
              <w:t xml:space="preserve">Task 3.3: Coalition Members and </w:t>
            </w:r>
            <w:proofErr w:type="spellStart"/>
            <w:r>
              <w:rPr>
                <w:sz w:val="22"/>
                <w:szCs w:val="22"/>
              </w:rPr>
              <w:t>Subawardees</w:t>
            </w:r>
            <w:proofErr w:type="spellEnd"/>
            <w:r>
              <w:rPr>
                <w:sz w:val="22"/>
                <w:szCs w:val="22"/>
              </w:rPr>
              <w:t xml:space="preserve"> begin procurement for the first solar projects by July 2025.</w:t>
            </w:r>
          </w:p>
        </w:tc>
        <w:tc>
          <w:tcPr>
            <w:tcW w:w="570" w:type="dxa"/>
            <w:shd w:val="clear" w:color="auto" w:fill="auto"/>
            <w:tcMar>
              <w:top w:w="57" w:type="dxa"/>
              <w:left w:w="57" w:type="dxa"/>
              <w:bottom w:w="57" w:type="dxa"/>
              <w:right w:w="57" w:type="dxa"/>
            </w:tcMar>
          </w:tcPr>
          <w:p w14:paraId="39E7EAF2" w14:textId="77777777" w:rsidR="00044CEF" w:rsidRDefault="00044CEF">
            <w:pPr>
              <w:widowControl w:val="0"/>
              <w:rPr>
                <w:sz w:val="22"/>
                <w:szCs w:val="22"/>
              </w:rPr>
            </w:pPr>
          </w:p>
        </w:tc>
        <w:tc>
          <w:tcPr>
            <w:tcW w:w="435" w:type="dxa"/>
            <w:shd w:val="clear" w:color="auto" w:fill="185468"/>
            <w:tcMar>
              <w:top w:w="57" w:type="dxa"/>
              <w:left w:w="57" w:type="dxa"/>
              <w:bottom w:w="57" w:type="dxa"/>
              <w:right w:w="57" w:type="dxa"/>
            </w:tcMar>
          </w:tcPr>
          <w:p w14:paraId="112D0B73" w14:textId="77777777" w:rsidR="00044CEF" w:rsidRDefault="00044CEF">
            <w:pPr>
              <w:widowControl w:val="0"/>
              <w:rPr>
                <w:sz w:val="22"/>
                <w:szCs w:val="22"/>
              </w:rPr>
            </w:pPr>
          </w:p>
        </w:tc>
        <w:tc>
          <w:tcPr>
            <w:tcW w:w="435" w:type="dxa"/>
            <w:shd w:val="clear" w:color="auto" w:fill="auto"/>
            <w:tcMar>
              <w:top w:w="57" w:type="dxa"/>
              <w:left w:w="57" w:type="dxa"/>
              <w:bottom w:w="57" w:type="dxa"/>
              <w:right w:w="57" w:type="dxa"/>
            </w:tcMar>
          </w:tcPr>
          <w:p w14:paraId="081D03D6" w14:textId="77777777" w:rsidR="00044CEF" w:rsidRDefault="00044CEF">
            <w:pPr>
              <w:widowControl w:val="0"/>
              <w:rPr>
                <w:sz w:val="22"/>
                <w:szCs w:val="22"/>
              </w:rPr>
            </w:pPr>
          </w:p>
        </w:tc>
        <w:tc>
          <w:tcPr>
            <w:tcW w:w="405" w:type="dxa"/>
            <w:shd w:val="clear" w:color="auto" w:fill="auto"/>
            <w:tcMar>
              <w:top w:w="57" w:type="dxa"/>
              <w:left w:w="57" w:type="dxa"/>
              <w:bottom w:w="57" w:type="dxa"/>
              <w:right w:w="57" w:type="dxa"/>
            </w:tcMar>
          </w:tcPr>
          <w:p w14:paraId="5C28E00A" w14:textId="77777777" w:rsidR="00044CEF" w:rsidRDefault="00044CEF">
            <w:pPr>
              <w:widowControl w:val="0"/>
              <w:rPr>
                <w:sz w:val="22"/>
                <w:szCs w:val="22"/>
              </w:rPr>
            </w:pPr>
          </w:p>
        </w:tc>
        <w:tc>
          <w:tcPr>
            <w:tcW w:w="405" w:type="dxa"/>
            <w:shd w:val="clear" w:color="auto" w:fill="auto"/>
            <w:tcMar>
              <w:top w:w="57" w:type="dxa"/>
              <w:left w:w="57" w:type="dxa"/>
              <w:bottom w:w="57" w:type="dxa"/>
              <w:right w:w="57" w:type="dxa"/>
            </w:tcMar>
          </w:tcPr>
          <w:p w14:paraId="2727BB6C" w14:textId="77777777" w:rsidR="00044CEF" w:rsidRDefault="00044CEF">
            <w:pPr>
              <w:widowControl w:val="0"/>
              <w:rPr>
                <w:sz w:val="22"/>
                <w:szCs w:val="22"/>
              </w:rPr>
            </w:pPr>
          </w:p>
        </w:tc>
        <w:tc>
          <w:tcPr>
            <w:tcW w:w="405" w:type="dxa"/>
            <w:shd w:val="clear" w:color="auto" w:fill="auto"/>
            <w:tcMar>
              <w:top w:w="57" w:type="dxa"/>
              <w:left w:w="57" w:type="dxa"/>
              <w:bottom w:w="57" w:type="dxa"/>
              <w:right w:w="57" w:type="dxa"/>
            </w:tcMar>
          </w:tcPr>
          <w:p w14:paraId="3A4DE544" w14:textId="77777777" w:rsidR="00044CEF" w:rsidRDefault="00044CEF">
            <w:pPr>
              <w:widowControl w:val="0"/>
              <w:rPr>
                <w:sz w:val="22"/>
                <w:szCs w:val="22"/>
              </w:rPr>
            </w:pPr>
          </w:p>
        </w:tc>
      </w:tr>
      <w:tr w:rsidR="00044CEF" w14:paraId="3E5792D4" w14:textId="77777777">
        <w:trPr>
          <w:trHeight w:val="420"/>
        </w:trPr>
        <w:tc>
          <w:tcPr>
            <w:tcW w:w="6705" w:type="dxa"/>
            <w:shd w:val="clear" w:color="auto" w:fill="auto"/>
            <w:tcMar>
              <w:top w:w="57" w:type="dxa"/>
              <w:left w:w="57" w:type="dxa"/>
              <w:bottom w:w="57" w:type="dxa"/>
              <w:right w:w="57" w:type="dxa"/>
            </w:tcMar>
          </w:tcPr>
          <w:p w14:paraId="0355883D" w14:textId="77777777" w:rsidR="00044CEF" w:rsidRDefault="00000000">
            <w:pPr>
              <w:widowControl w:val="0"/>
              <w:rPr>
                <w:sz w:val="22"/>
                <w:szCs w:val="22"/>
              </w:rPr>
            </w:pPr>
            <w:r>
              <w:rPr>
                <w:sz w:val="22"/>
                <w:szCs w:val="22"/>
              </w:rPr>
              <w:t xml:space="preserve">Task 3.4: Coalition Members and </w:t>
            </w:r>
            <w:proofErr w:type="spellStart"/>
            <w:r>
              <w:rPr>
                <w:sz w:val="22"/>
                <w:szCs w:val="22"/>
              </w:rPr>
              <w:t>Subawardees</w:t>
            </w:r>
            <w:proofErr w:type="spellEnd"/>
            <w:r>
              <w:rPr>
                <w:sz w:val="22"/>
                <w:szCs w:val="22"/>
              </w:rPr>
              <w:t xml:space="preserve"> procure and </w:t>
            </w:r>
            <w:proofErr w:type="gramStart"/>
            <w:r>
              <w:rPr>
                <w:sz w:val="22"/>
                <w:szCs w:val="22"/>
              </w:rPr>
              <w:t>construct  solar</w:t>
            </w:r>
            <w:proofErr w:type="gramEnd"/>
            <w:r>
              <w:rPr>
                <w:sz w:val="22"/>
                <w:szCs w:val="22"/>
              </w:rPr>
              <w:t xml:space="preserve"> projects during years 2-5.    </w:t>
            </w:r>
          </w:p>
        </w:tc>
        <w:tc>
          <w:tcPr>
            <w:tcW w:w="570" w:type="dxa"/>
            <w:shd w:val="clear" w:color="auto" w:fill="auto"/>
            <w:tcMar>
              <w:top w:w="57" w:type="dxa"/>
              <w:left w:w="57" w:type="dxa"/>
              <w:bottom w:w="57" w:type="dxa"/>
              <w:right w:w="57" w:type="dxa"/>
            </w:tcMar>
          </w:tcPr>
          <w:p w14:paraId="03584915" w14:textId="77777777" w:rsidR="00044CEF" w:rsidRDefault="00044CEF">
            <w:pPr>
              <w:widowControl w:val="0"/>
              <w:rPr>
                <w:sz w:val="22"/>
                <w:szCs w:val="22"/>
              </w:rPr>
            </w:pPr>
          </w:p>
        </w:tc>
        <w:tc>
          <w:tcPr>
            <w:tcW w:w="435" w:type="dxa"/>
            <w:shd w:val="clear" w:color="auto" w:fill="185468"/>
            <w:tcMar>
              <w:top w:w="57" w:type="dxa"/>
              <w:left w:w="57" w:type="dxa"/>
              <w:bottom w:w="57" w:type="dxa"/>
              <w:right w:w="57" w:type="dxa"/>
            </w:tcMar>
          </w:tcPr>
          <w:p w14:paraId="6CF85197" w14:textId="77777777" w:rsidR="00044CEF" w:rsidRDefault="00044CEF">
            <w:pPr>
              <w:widowControl w:val="0"/>
              <w:rPr>
                <w:sz w:val="22"/>
                <w:szCs w:val="22"/>
              </w:rPr>
            </w:pPr>
          </w:p>
        </w:tc>
        <w:tc>
          <w:tcPr>
            <w:tcW w:w="435" w:type="dxa"/>
            <w:shd w:val="clear" w:color="auto" w:fill="185468"/>
            <w:tcMar>
              <w:top w:w="57" w:type="dxa"/>
              <w:left w:w="57" w:type="dxa"/>
              <w:bottom w:w="57" w:type="dxa"/>
              <w:right w:w="57" w:type="dxa"/>
            </w:tcMar>
          </w:tcPr>
          <w:p w14:paraId="0D5EF915" w14:textId="77777777" w:rsidR="00044CEF" w:rsidRDefault="00044CEF">
            <w:pPr>
              <w:widowControl w:val="0"/>
              <w:rPr>
                <w:sz w:val="22"/>
                <w:szCs w:val="22"/>
              </w:rPr>
            </w:pPr>
          </w:p>
        </w:tc>
        <w:tc>
          <w:tcPr>
            <w:tcW w:w="405" w:type="dxa"/>
            <w:shd w:val="clear" w:color="auto" w:fill="185468"/>
            <w:tcMar>
              <w:top w:w="57" w:type="dxa"/>
              <w:left w:w="57" w:type="dxa"/>
              <w:bottom w:w="57" w:type="dxa"/>
              <w:right w:w="57" w:type="dxa"/>
            </w:tcMar>
          </w:tcPr>
          <w:p w14:paraId="0F864B69" w14:textId="77777777" w:rsidR="00044CEF" w:rsidRDefault="00044CEF">
            <w:pPr>
              <w:widowControl w:val="0"/>
              <w:rPr>
                <w:sz w:val="22"/>
                <w:szCs w:val="22"/>
              </w:rPr>
            </w:pPr>
          </w:p>
        </w:tc>
        <w:tc>
          <w:tcPr>
            <w:tcW w:w="405" w:type="dxa"/>
            <w:shd w:val="clear" w:color="auto" w:fill="185468"/>
            <w:tcMar>
              <w:top w:w="57" w:type="dxa"/>
              <w:left w:w="57" w:type="dxa"/>
              <w:bottom w:w="57" w:type="dxa"/>
              <w:right w:w="57" w:type="dxa"/>
            </w:tcMar>
          </w:tcPr>
          <w:p w14:paraId="2E07B823" w14:textId="77777777" w:rsidR="00044CEF" w:rsidRDefault="00044CEF">
            <w:pPr>
              <w:widowControl w:val="0"/>
              <w:rPr>
                <w:sz w:val="22"/>
                <w:szCs w:val="22"/>
              </w:rPr>
            </w:pPr>
          </w:p>
        </w:tc>
        <w:tc>
          <w:tcPr>
            <w:tcW w:w="405" w:type="dxa"/>
            <w:shd w:val="clear" w:color="auto" w:fill="185468"/>
            <w:tcMar>
              <w:top w:w="57" w:type="dxa"/>
              <w:left w:w="57" w:type="dxa"/>
              <w:bottom w:w="57" w:type="dxa"/>
              <w:right w:w="57" w:type="dxa"/>
            </w:tcMar>
          </w:tcPr>
          <w:p w14:paraId="792FEB02" w14:textId="77777777" w:rsidR="00044CEF" w:rsidRDefault="00044CEF">
            <w:pPr>
              <w:widowControl w:val="0"/>
              <w:rPr>
                <w:sz w:val="22"/>
                <w:szCs w:val="22"/>
              </w:rPr>
            </w:pPr>
          </w:p>
        </w:tc>
      </w:tr>
      <w:tr w:rsidR="00044CEF" w14:paraId="2106AF5F" w14:textId="77777777">
        <w:trPr>
          <w:trHeight w:val="420"/>
        </w:trPr>
        <w:tc>
          <w:tcPr>
            <w:tcW w:w="9360" w:type="dxa"/>
            <w:gridSpan w:val="7"/>
            <w:shd w:val="clear" w:color="auto" w:fill="CFE2F3"/>
            <w:tcMar>
              <w:top w:w="57" w:type="dxa"/>
              <w:left w:w="57" w:type="dxa"/>
              <w:bottom w:w="57" w:type="dxa"/>
              <w:right w:w="57" w:type="dxa"/>
            </w:tcMar>
          </w:tcPr>
          <w:p w14:paraId="40A8A675" w14:textId="77777777" w:rsidR="00044CEF" w:rsidRDefault="00000000">
            <w:pPr>
              <w:widowControl w:val="0"/>
              <w:rPr>
                <w:sz w:val="22"/>
                <w:szCs w:val="22"/>
              </w:rPr>
            </w:pPr>
            <w:r>
              <w:rPr>
                <w:b/>
                <w:sz w:val="22"/>
                <w:szCs w:val="22"/>
              </w:rPr>
              <w:t>Milestone 4:</w:t>
            </w:r>
            <w:r>
              <w:rPr>
                <w:sz w:val="22"/>
                <w:szCs w:val="22"/>
              </w:rPr>
              <w:t xml:space="preserve"> Train 120 Apprentices in LIDAC Serving Public Facilities. </w:t>
            </w:r>
          </w:p>
        </w:tc>
      </w:tr>
      <w:tr w:rsidR="00044CEF" w14:paraId="505B3CD4" w14:textId="77777777">
        <w:trPr>
          <w:trHeight w:val="420"/>
        </w:trPr>
        <w:tc>
          <w:tcPr>
            <w:tcW w:w="6705" w:type="dxa"/>
            <w:shd w:val="clear" w:color="auto" w:fill="auto"/>
            <w:tcMar>
              <w:top w:w="57" w:type="dxa"/>
              <w:left w:w="57" w:type="dxa"/>
              <w:bottom w:w="57" w:type="dxa"/>
              <w:right w:w="57" w:type="dxa"/>
            </w:tcMar>
          </w:tcPr>
          <w:p w14:paraId="18829353" w14:textId="77777777" w:rsidR="00044CEF" w:rsidRDefault="00000000">
            <w:pPr>
              <w:widowControl w:val="0"/>
              <w:rPr>
                <w:sz w:val="22"/>
                <w:szCs w:val="22"/>
              </w:rPr>
            </w:pPr>
            <w:r>
              <w:rPr>
                <w:sz w:val="22"/>
                <w:szCs w:val="22"/>
              </w:rPr>
              <w:t xml:space="preserve">Task 4.1: TBRPC signs MOU with Florida Solar Energy Center to work with the Coalition to expand its apprenticeship program and offer training in LIDAC communities by January 2025. </w:t>
            </w:r>
          </w:p>
        </w:tc>
        <w:tc>
          <w:tcPr>
            <w:tcW w:w="570" w:type="dxa"/>
            <w:shd w:val="clear" w:color="auto" w:fill="auto"/>
            <w:tcMar>
              <w:top w:w="57" w:type="dxa"/>
              <w:left w:w="57" w:type="dxa"/>
              <w:bottom w:w="57" w:type="dxa"/>
              <w:right w:w="57" w:type="dxa"/>
            </w:tcMar>
          </w:tcPr>
          <w:p w14:paraId="645A9963" w14:textId="77777777" w:rsidR="00044CEF" w:rsidRDefault="00044CEF">
            <w:pPr>
              <w:widowControl w:val="0"/>
              <w:rPr>
                <w:sz w:val="22"/>
                <w:szCs w:val="22"/>
              </w:rPr>
            </w:pPr>
          </w:p>
        </w:tc>
        <w:tc>
          <w:tcPr>
            <w:tcW w:w="435" w:type="dxa"/>
            <w:shd w:val="clear" w:color="auto" w:fill="F4CCCC"/>
            <w:tcMar>
              <w:top w:w="57" w:type="dxa"/>
              <w:left w:w="57" w:type="dxa"/>
              <w:bottom w:w="57" w:type="dxa"/>
              <w:right w:w="57" w:type="dxa"/>
            </w:tcMar>
          </w:tcPr>
          <w:p w14:paraId="02BB5AB0" w14:textId="77777777" w:rsidR="00044CEF" w:rsidRDefault="00044CEF">
            <w:pPr>
              <w:widowControl w:val="0"/>
              <w:rPr>
                <w:sz w:val="22"/>
                <w:szCs w:val="22"/>
              </w:rPr>
            </w:pPr>
          </w:p>
        </w:tc>
        <w:tc>
          <w:tcPr>
            <w:tcW w:w="435" w:type="dxa"/>
            <w:shd w:val="clear" w:color="auto" w:fill="auto"/>
            <w:tcMar>
              <w:top w:w="57" w:type="dxa"/>
              <w:left w:w="57" w:type="dxa"/>
              <w:bottom w:w="57" w:type="dxa"/>
              <w:right w:w="57" w:type="dxa"/>
            </w:tcMar>
          </w:tcPr>
          <w:p w14:paraId="6892BEBE" w14:textId="77777777" w:rsidR="00044CEF" w:rsidRDefault="00044CEF">
            <w:pPr>
              <w:widowControl w:val="0"/>
              <w:rPr>
                <w:sz w:val="22"/>
                <w:szCs w:val="22"/>
              </w:rPr>
            </w:pPr>
          </w:p>
        </w:tc>
        <w:tc>
          <w:tcPr>
            <w:tcW w:w="405" w:type="dxa"/>
            <w:shd w:val="clear" w:color="auto" w:fill="auto"/>
            <w:tcMar>
              <w:top w:w="57" w:type="dxa"/>
              <w:left w:w="57" w:type="dxa"/>
              <w:bottom w:w="57" w:type="dxa"/>
              <w:right w:w="57" w:type="dxa"/>
            </w:tcMar>
          </w:tcPr>
          <w:p w14:paraId="60AC70B1" w14:textId="77777777" w:rsidR="00044CEF" w:rsidRDefault="00044CEF">
            <w:pPr>
              <w:widowControl w:val="0"/>
              <w:rPr>
                <w:sz w:val="22"/>
                <w:szCs w:val="22"/>
              </w:rPr>
            </w:pPr>
          </w:p>
        </w:tc>
        <w:tc>
          <w:tcPr>
            <w:tcW w:w="405" w:type="dxa"/>
            <w:shd w:val="clear" w:color="auto" w:fill="auto"/>
            <w:tcMar>
              <w:top w:w="57" w:type="dxa"/>
              <w:left w:w="57" w:type="dxa"/>
              <w:bottom w:w="57" w:type="dxa"/>
              <w:right w:w="57" w:type="dxa"/>
            </w:tcMar>
          </w:tcPr>
          <w:p w14:paraId="526C15D5" w14:textId="77777777" w:rsidR="00044CEF" w:rsidRDefault="00044CEF">
            <w:pPr>
              <w:widowControl w:val="0"/>
              <w:rPr>
                <w:sz w:val="22"/>
                <w:szCs w:val="22"/>
              </w:rPr>
            </w:pPr>
          </w:p>
        </w:tc>
        <w:tc>
          <w:tcPr>
            <w:tcW w:w="405" w:type="dxa"/>
            <w:shd w:val="clear" w:color="auto" w:fill="auto"/>
            <w:tcMar>
              <w:top w:w="57" w:type="dxa"/>
              <w:left w:w="57" w:type="dxa"/>
              <w:bottom w:w="57" w:type="dxa"/>
              <w:right w:w="57" w:type="dxa"/>
            </w:tcMar>
          </w:tcPr>
          <w:p w14:paraId="178E7CED" w14:textId="77777777" w:rsidR="00044CEF" w:rsidRDefault="00044CEF">
            <w:pPr>
              <w:widowControl w:val="0"/>
              <w:rPr>
                <w:sz w:val="22"/>
                <w:szCs w:val="22"/>
              </w:rPr>
            </w:pPr>
          </w:p>
        </w:tc>
      </w:tr>
      <w:tr w:rsidR="00044CEF" w14:paraId="32E68212" w14:textId="77777777">
        <w:trPr>
          <w:trHeight w:val="420"/>
        </w:trPr>
        <w:tc>
          <w:tcPr>
            <w:tcW w:w="6705" w:type="dxa"/>
            <w:shd w:val="clear" w:color="auto" w:fill="auto"/>
            <w:tcMar>
              <w:top w:w="57" w:type="dxa"/>
              <w:left w:w="57" w:type="dxa"/>
              <w:bottom w:w="57" w:type="dxa"/>
              <w:right w:w="57" w:type="dxa"/>
            </w:tcMar>
          </w:tcPr>
          <w:p w14:paraId="57397BB6" w14:textId="77777777" w:rsidR="00044CEF" w:rsidRDefault="00000000">
            <w:pPr>
              <w:widowControl w:val="0"/>
              <w:rPr>
                <w:sz w:val="22"/>
                <w:szCs w:val="22"/>
              </w:rPr>
            </w:pPr>
            <w:r>
              <w:rPr>
                <w:sz w:val="22"/>
                <w:szCs w:val="22"/>
              </w:rPr>
              <w:t xml:space="preserve">Task 4.2: TBRPC and Coalition members sign MOU with regional Career Source Centers to support the Apprenticeship Programs by February 2025. </w:t>
            </w:r>
          </w:p>
        </w:tc>
        <w:tc>
          <w:tcPr>
            <w:tcW w:w="570" w:type="dxa"/>
            <w:shd w:val="clear" w:color="auto" w:fill="auto"/>
            <w:tcMar>
              <w:top w:w="57" w:type="dxa"/>
              <w:left w:w="57" w:type="dxa"/>
              <w:bottom w:w="57" w:type="dxa"/>
              <w:right w:w="57" w:type="dxa"/>
            </w:tcMar>
          </w:tcPr>
          <w:p w14:paraId="534BE822" w14:textId="77777777" w:rsidR="00044CEF" w:rsidRDefault="00044CEF">
            <w:pPr>
              <w:widowControl w:val="0"/>
              <w:rPr>
                <w:sz w:val="22"/>
                <w:szCs w:val="22"/>
              </w:rPr>
            </w:pPr>
          </w:p>
        </w:tc>
        <w:tc>
          <w:tcPr>
            <w:tcW w:w="435" w:type="dxa"/>
            <w:shd w:val="clear" w:color="auto" w:fill="F4CCCC"/>
            <w:tcMar>
              <w:top w:w="57" w:type="dxa"/>
              <w:left w:w="57" w:type="dxa"/>
              <w:bottom w:w="57" w:type="dxa"/>
              <w:right w:w="57" w:type="dxa"/>
            </w:tcMar>
          </w:tcPr>
          <w:p w14:paraId="22153339" w14:textId="77777777" w:rsidR="00044CEF" w:rsidRDefault="00044CEF">
            <w:pPr>
              <w:widowControl w:val="0"/>
              <w:rPr>
                <w:sz w:val="22"/>
                <w:szCs w:val="22"/>
              </w:rPr>
            </w:pPr>
          </w:p>
        </w:tc>
        <w:tc>
          <w:tcPr>
            <w:tcW w:w="435" w:type="dxa"/>
            <w:shd w:val="clear" w:color="auto" w:fill="auto"/>
            <w:tcMar>
              <w:top w:w="57" w:type="dxa"/>
              <w:left w:w="57" w:type="dxa"/>
              <w:bottom w:w="57" w:type="dxa"/>
              <w:right w:w="57" w:type="dxa"/>
            </w:tcMar>
          </w:tcPr>
          <w:p w14:paraId="225AE781" w14:textId="77777777" w:rsidR="00044CEF" w:rsidRDefault="00044CEF">
            <w:pPr>
              <w:widowControl w:val="0"/>
              <w:rPr>
                <w:sz w:val="22"/>
                <w:szCs w:val="22"/>
              </w:rPr>
            </w:pPr>
          </w:p>
        </w:tc>
        <w:tc>
          <w:tcPr>
            <w:tcW w:w="405" w:type="dxa"/>
            <w:shd w:val="clear" w:color="auto" w:fill="auto"/>
            <w:tcMar>
              <w:top w:w="57" w:type="dxa"/>
              <w:left w:w="57" w:type="dxa"/>
              <w:bottom w:w="57" w:type="dxa"/>
              <w:right w:w="57" w:type="dxa"/>
            </w:tcMar>
          </w:tcPr>
          <w:p w14:paraId="146FF285" w14:textId="77777777" w:rsidR="00044CEF" w:rsidRDefault="00044CEF">
            <w:pPr>
              <w:widowControl w:val="0"/>
              <w:rPr>
                <w:sz w:val="22"/>
                <w:szCs w:val="22"/>
              </w:rPr>
            </w:pPr>
          </w:p>
        </w:tc>
        <w:tc>
          <w:tcPr>
            <w:tcW w:w="405" w:type="dxa"/>
            <w:shd w:val="clear" w:color="auto" w:fill="auto"/>
            <w:tcMar>
              <w:top w:w="57" w:type="dxa"/>
              <w:left w:w="57" w:type="dxa"/>
              <w:bottom w:w="57" w:type="dxa"/>
              <w:right w:w="57" w:type="dxa"/>
            </w:tcMar>
          </w:tcPr>
          <w:p w14:paraId="25B783B4" w14:textId="77777777" w:rsidR="00044CEF" w:rsidRDefault="00044CEF">
            <w:pPr>
              <w:widowControl w:val="0"/>
              <w:rPr>
                <w:sz w:val="22"/>
                <w:szCs w:val="22"/>
              </w:rPr>
            </w:pPr>
          </w:p>
        </w:tc>
        <w:tc>
          <w:tcPr>
            <w:tcW w:w="405" w:type="dxa"/>
            <w:shd w:val="clear" w:color="auto" w:fill="auto"/>
            <w:tcMar>
              <w:top w:w="57" w:type="dxa"/>
              <w:left w:w="57" w:type="dxa"/>
              <w:bottom w:w="57" w:type="dxa"/>
              <w:right w:w="57" w:type="dxa"/>
            </w:tcMar>
          </w:tcPr>
          <w:p w14:paraId="0C444A63" w14:textId="77777777" w:rsidR="00044CEF" w:rsidRDefault="00044CEF">
            <w:pPr>
              <w:widowControl w:val="0"/>
              <w:rPr>
                <w:sz w:val="22"/>
                <w:szCs w:val="22"/>
              </w:rPr>
            </w:pPr>
          </w:p>
        </w:tc>
      </w:tr>
      <w:tr w:rsidR="00044CEF" w14:paraId="227BC570" w14:textId="77777777">
        <w:trPr>
          <w:trHeight w:val="420"/>
        </w:trPr>
        <w:tc>
          <w:tcPr>
            <w:tcW w:w="6705" w:type="dxa"/>
            <w:shd w:val="clear" w:color="auto" w:fill="auto"/>
            <w:tcMar>
              <w:top w:w="57" w:type="dxa"/>
              <w:left w:w="57" w:type="dxa"/>
              <w:bottom w:w="57" w:type="dxa"/>
              <w:right w:w="57" w:type="dxa"/>
            </w:tcMar>
          </w:tcPr>
          <w:p w14:paraId="5018B8AA" w14:textId="77777777" w:rsidR="00044CEF" w:rsidRDefault="00000000">
            <w:pPr>
              <w:widowControl w:val="0"/>
              <w:rPr>
                <w:sz w:val="22"/>
                <w:szCs w:val="22"/>
              </w:rPr>
            </w:pPr>
            <w:r>
              <w:rPr>
                <w:sz w:val="22"/>
                <w:szCs w:val="22"/>
              </w:rPr>
              <w:t xml:space="preserve">Task 4.3: TBRPC and Coalition members contract with regional non-profit entities to provide wraparound services as needed by March 2025. </w:t>
            </w:r>
          </w:p>
        </w:tc>
        <w:tc>
          <w:tcPr>
            <w:tcW w:w="570" w:type="dxa"/>
            <w:shd w:val="clear" w:color="auto" w:fill="auto"/>
            <w:tcMar>
              <w:top w:w="57" w:type="dxa"/>
              <w:left w:w="57" w:type="dxa"/>
              <w:bottom w:w="57" w:type="dxa"/>
              <w:right w:w="57" w:type="dxa"/>
            </w:tcMar>
          </w:tcPr>
          <w:p w14:paraId="5F714093" w14:textId="77777777" w:rsidR="00044CEF" w:rsidRDefault="00044CEF">
            <w:pPr>
              <w:widowControl w:val="0"/>
              <w:rPr>
                <w:sz w:val="22"/>
                <w:szCs w:val="22"/>
              </w:rPr>
            </w:pPr>
          </w:p>
        </w:tc>
        <w:tc>
          <w:tcPr>
            <w:tcW w:w="435" w:type="dxa"/>
            <w:shd w:val="clear" w:color="auto" w:fill="F4CCCC"/>
            <w:tcMar>
              <w:top w:w="57" w:type="dxa"/>
              <w:left w:w="57" w:type="dxa"/>
              <w:bottom w:w="57" w:type="dxa"/>
              <w:right w:w="57" w:type="dxa"/>
            </w:tcMar>
          </w:tcPr>
          <w:p w14:paraId="16C73A0C" w14:textId="77777777" w:rsidR="00044CEF" w:rsidRDefault="00044CEF">
            <w:pPr>
              <w:widowControl w:val="0"/>
              <w:rPr>
                <w:sz w:val="22"/>
                <w:szCs w:val="22"/>
              </w:rPr>
            </w:pPr>
          </w:p>
        </w:tc>
        <w:tc>
          <w:tcPr>
            <w:tcW w:w="435" w:type="dxa"/>
            <w:shd w:val="clear" w:color="auto" w:fill="auto"/>
            <w:tcMar>
              <w:top w:w="57" w:type="dxa"/>
              <w:left w:w="57" w:type="dxa"/>
              <w:bottom w:w="57" w:type="dxa"/>
              <w:right w:w="57" w:type="dxa"/>
            </w:tcMar>
          </w:tcPr>
          <w:p w14:paraId="740A8E63" w14:textId="77777777" w:rsidR="00044CEF" w:rsidRDefault="00044CEF">
            <w:pPr>
              <w:widowControl w:val="0"/>
              <w:rPr>
                <w:sz w:val="22"/>
                <w:szCs w:val="22"/>
              </w:rPr>
            </w:pPr>
          </w:p>
        </w:tc>
        <w:tc>
          <w:tcPr>
            <w:tcW w:w="405" w:type="dxa"/>
            <w:shd w:val="clear" w:color="auto" w:fill="auto"/>
            <w:tcMar>
              <w:top w:w="57" w:type="dxa"/>
              <w:left w:w="57" w:type="dxa"/>
              <w:bottom w:w="57" w:type="dxa"/>
              <w:right w:w="57" w:type="dxa"/>
            </w:tcMar>
          </w:tcPr>
          <w:p w14:paraId="5405565D" w14:textId="77777777" w:rsidR="00044CEF" w:rsidRDefault="00044CEF">
            <w:pPr>
              <w:widowControl w:val="0"/>
              <w:rPr>
                <w:sz w:val="22"/>
                <w:szCs w:val="22"/>
              </w:rPr>
            </w:pPr>
          </w:p>
        </w:tc>
        <w:tc>
          <w:tcPr>
            <w:tcW w:w="405" w:type="dxa"/>
            <w:shd w:val="clear" w:color="auto" w:fill="auto"/>
            <w:tcMar>
              <w:top w:w="57" w:type="dxa"/>
              <w:left w:w="57" w:type="dxa"/>
              <w:bottom w:w="57" w:type="dxa"/>
              <w:right w:w="57" w:type="dxa"/>
            </w:tcMar>
          </w:tcPr>
          <w:p w14:paraId="6BCF04ED" w14:textId="77777777" w:rsidR="00044CEF" w:rsidRDefault="00044CEF">
            <w:pPr>
              <w:widowControl w:val="0"/>
              <w:rPr>
                <w:sz w:val="22"/>
                <w:szCs w:val="22"/>
              </w:rPr>
            </w:pPr>
          </w:p>
        </w:tc>
        <w:tc>
          <w:tcPr>
            <w:tcW w:w="405" w:type="dxa"/>
            <w:shd w:val="clear" w:color="auto" w:fill="auto"/>
            <w:tcMar>
              <w:top w:w="57" w:type="dxa"/>
              <w:left w:w="57" w:type="dxa"/>
              <w:bottom w:w="57" w:type="dxa"/>
              <w:right w:w="57" w:type="dxa"/>
            </w:tcMar>
          </w:tcPr>
          <w:p w14:paraId="7FFCDB73" w14:textId="77777777" w:rsidR="00044CEF" w:rsidRDefault="00044CEF">
            <w:pPr>
              <w:widowControl w:val="0"/>
              <w:rPr>
                <w:sz w:val="22"/>
                <w:szCs w:val="22"/>
              </w:rPr>
            </w:pPr>
          </w:p>
        </w:tc>
      </w:tr>
      <w:tr w:rsidR="00044CEF" w14:paraId="3DC50B7E" w14:textId="77777777">
        <w:trPr>
          <w:trHeight w:val="420"/>
        </w:trPr>
        <w:tc>
          <w:tcPr>
            <w:tcW w:w="6705" w:type="dxa"/>
            <w:shd w:val="clear" w:color="auto" w:fill="auto"/>
            <w:tcMar>
              <w:top w:w="57" w:type="dxa"/>
              <w:left w:w="57" w:type="dxa"/>
              <w:bottom w:w="57" w:type="dxa"/>
              <w:right w:w="57" w:type="dxa"/>
            </w:tcMar>
          </w:tcPr>
          <w:p w14:paraId="01521A81" w14:textId="77777777" w:rsidR="00044CEF" w:rsidRDefault="00000000">
            <w:pPr>
              <w:widowControl w:val="0"/>
              <w:rPr>
                <w:sz w:val="22"/>
                <w:szCs w:val="22"/>
              </w:rPr>
            </w:pPr>
            <w:r>
              <w:rPr>
                <w:sz w:val="22"/>
                <w:szCs w:val="22"/>
              </w:rPr>
              <w:t xml:space="preserve">Task 4.4: Workforce development partners hold quarterly training sessions for apprenticeship programs in LIDAC Communities by June 2025. </w:t>
            </w:r>
          </w:p>
        </w:tc>
        <w:tc>
          <w:tcPr>
            <w:tcW w:w="570" w:type="dxa"/>
            <w:shd w:val="clear" w:color="auto" w:fill="auto"/>
            <w:tcMar>
              <w:top w:w="57" w:type="dxa"/>
              <w:left w:w="57" w:type="dxa"/>
              <w:bottom w:w="57" w:type="dxa"/>
              <w:right w:w="57" w:type="dxa"/>
            </w:tcMar>
          </w:tcPr>
          <w:p w14:paraId="45CF7EE9" w14:textId="77777777" w:rsidR="00044CEF" w:rsidRDefault="00044CEF">
            <w:pPr>
              <w:widowControl w:val="0"/>
              <w:rPr>
                <w:sz w:val="22"/>
                <w:szCs w:val="22"/>
              </w:rPr>
            </w:pPr>
          </w:p>
        </w:tc>
        <w:tc>
          <w:tcPr>
            <w:tcW w:w="435" w:type="dxa"/>
            <w:shd w:val="clear" w:color="auto" w:fill="F4CCCC"/>
            <w:tcMar>
              <w:top w:w="57" w:type="dxa"/>
              <w:left w:w="57" w:type="dxa"/>
              <w:bottom w:w="57" w:type="dxa"/>
              <w:right w:w="57" w:type="dxa"/>
            </w:tcMar>
          </w:tcPr>
          <w:p w14:paraId="44448564" w14:textId="77777777" w:rsidR="00044CEF" w:rsidRDefault="00044CEF">
            <w:pPr>
              <w:widowControl w:val="0"/>
              <w:rPr>
                <w:sz w:val="22"/>
                <w:szCs w:val="22"/>
              </w:rPr>
            </w:pPr>
          </w:p>
        </w:tc>
        <w:tc>
          <w:tcPr>
            <w:tcW w:w="435" w:type="dxa"/>
            <w:shd w:val="clear" w:color="auto" w:fill="F4CCCC"/>
            <w:tcMar>
              <w:top w:w="57" w:type="dxa"/>
              <w:left w:w="57" w:type="dxa"/>
              <w:bottom w:w="57" w:type="dxa"/>
              <w:right w:w="57" w:type="dxa"/>
            </w:tcMar>
          </w:tcPr>
          <w:p w14:paraId="13BE1CFB" w14:textId="77777777" w:rsidR="00044CEF" w:rsidRDefault="00044CEF">
            <w:pPr>
              <w:widowControl w:val="0"/>
              <w:rPr>
                <w:sz w:val="22"/>
                <w:szCs w:val="22"/>
              </w:rPr>
            </w:pPr>
          </w:p>
        </w:tc>
        <w:tc>
          <w:tcPr>
            <w:tcW w:w="405" w:type="dxa"/>
            <w:shd w:val="clear" w:color="auto" w:fill="F4CCCC"/>
            <w:tcMar>
              <w:top w:w="57" w:type="dxa"/>
              <w:left w:w="57" w:type="dxa"/>
              <w:bottom w:w="57" w:type="dxa"/>
              <w:right w:w="57" w:type="dxa"/>
            </w:tcMar>
          </w:tcPr>
          <w:p w14:paraId="7F6A7FE1" w14:textId="77777777" w:rsidR="00044CEF" w:rsidRDefault="00044CEF">
            <w:pPr>
              <w:widowControl w:val="0"/>
              <w:rPr>
                <w:sz w:val="22"/>
                <w:szCs w:val="22"/>
              </w:rPr>
            </w:pPr>
          </w:p>
        </w:tc>
        <w:tc>
          <w:tcPr>
            <w:tcW w:w="405" w:type="dxa"/>
            <w:shd w:val="clear" w:color="auto" w:fill="F4CCCC"/>
            <w:tcMar>
              <w:top w:w="57" w:type="dxa"/>
              <w:left w:w="57" w:type="dxa"/>
              <w:bottom w:w="57" w:type="dxa"/>
              <w:right w:w="57" w:type="dxa"/>
            </w:tcMar>
          </w:tcPr>
          <w:p w14:paraId="33B8CB82" w14:textId="77777777" w:rsidR="00044CEF" w:rsidRDefault="00044CEF">
            <w:pPr>
              <w:widowControl w:val="0"/>
              <w:rPr>
                <w:sz w:val="22"/>
                <w:szCs w:val="22"/>
              </w:rPr>
            </w:pPr>
          </w:p>
        </w:tc>
        <w:tc>
          <w:tcPr>
            <w:tcW w:w="405" w:type="dxa"/>
            <w:shd w:val="clear" w:color="auto" w:fill="F4CCCC"/>
            <w:tcMar>
              <w:top w:w="57" w:type="dxa"/>
              <w:left w:w="57" w:type="dxa"/>
              <w:bottom w:w="57" w:type="dxa"/>
              <w:right w:w="57" w:type="dxa"/>
            </w:tcMar>
          </w:tcPr>
          <w:p w14:paraId="5363FBF0" w14:textId="77777777" w:rsidR="00044CEF" w:rsidRDefault="00044CEF">
            <w:pPr>
              <w:widowControl w:val="0"/>
              <w:rPr>
                <w:sz w:val="22"/>
                <w:szCs w:val="22"/>
              </w:rPr>
            </w:pPr>
          </w:p>
        </w:tc>
      </w:tr>
    </w:tbl>
    <w:p w14:paraId="4B56AA6D" w14:textId="77777777" w:rsidR="00044CEF" w:rsidRDefault="00044CEF">
      <w:pPr>
        <w:jc w:val="both"/>
        <w:rPr>
          <w:sz w:val="22"/>
          <w:szCs w:val="22"/>
        </w:rPr>
      </w:pPr>
    </w:p>
    <w:p w14:paraId="56D506A4" w14:textId="77777777" w:rsidR="00044CEF" w:rsidRDefault="00000000">
      <w:pPr>
        <w:jc w:val="both"/>
        <w:rPr>
          <w:color w:val="000000"/>
          <w:sz w:val="22"/>
          <w:szCs w:val="22"/>
        </w:rPr>
      </w:pPr>
      <w:r>
        <w:rPr>
          <w:b/>
          <w:color w:val="467886"/>
          <w:sz w:val="22"/>
          <w:szCs w:val="22"/>
        </w:rPr>
        <w:t>A.3.i Ensure the Success of the Measures:</w:t>
      </w:r>
      <w:r>
        <w:rPr>
          <w:color w:val="467886"/>
          <w:sz w:val="22"/>
          <w:szCs w:val="22"/>
        </w:rPr>
        <w:t xml:space="preserve"> </w:t>
      </w:r>
      <w:r>
        <w:rPr>
          <w:sz w:val="22"/>
          <w:szCs w:val="22"/>
        </w:rPr>
        <w:t xml:space="preserve">SSERC Coalition members will ensure the projects they select benefit marginalized residents since projects will not be finalized until multi-lingual and meaningful public outreach occurs within each MSA (see the Low-Income and Disadvantaged Communities discussion for more information). The exception is OKS MSA which preselected projects in public serving buildings that provide crucial services to LIDAC communities, such as community centers, emergency services for those at risk of homelessness. OKS MSA will also fund large solar installation projects that will help offset utility bill costs for </w:t>
      </w:r>
      <w:proofErr w:type="gramStart"/>
      <w:r>
        <w:rPr>
          <w:sz w:val="22"/>
          <w:szCs w:val="22"/>
        </w:rPr>
        <w:t>community based</w:t>
      </w:r>
      <w:proofErr w:type="gramEnd"/>
      <w:r>
        <w:rPr>
          <w:sz w:val="22"/>
          <w:szCs w:val="22"/>
        </w:rPr>
        <w:t xml:space="preserve"> organizations and residents in LIDAC communities, while increasing resiliency in the energy grid. Project managers in each MSA will provide TBRPC with the information and data required for reporting requirements and will keep projects on time and within budget. Partnerships with an apprenticeship program and training within LIDAC facilities will spur easily accessible hiring opportunities that create high-quality jobs boosting economic resilience for underrepresented members of the community. </w:t>
      </w:r>
    </w:p>
    <w:p w14:paraId="456CA2C3" w14:textId="77777777" w:rsidR="00044CEF" w:rsidRDefault="00044CEF">
      <w:pPr>
        <w:jc w:val="both"/>
        <w:rPr>
          <w:sz w:val="22"/>
          <w:szCs w:val="22"/>
        </w:rPr>
      </w:pPr>
    </w:p>
    <w:p w14:paraId="73ACDCDE" w14:textId="77777777" w:rsidR="00044CEF" w:rsidRDefault="00000000">
      <w:pPr>
        <w:jc w:val="both"/>
        <w:rPr>
          <w:b/>
          <w:sz w:val="22"/>
          <w:szCs w:val="22"/>
        </w:rPr>
      </w:pPr>
      <w:r>
        <w:rPr>
          <w:b/>
          <w:sz w:val="22"/>
          <w:szCs w:val="22"/>
        </w:rPr>
        <w:t>GHG Reduction Measure #2 Meets Program Goals by:</w:t>
      </w:r>
    </w:p>
    <w:p w14:paraId="49A21C2C" w14:textId="77777777" w:rsidR="00044CEF" w:rsidRDefault="00000000">
      <w:pPr>
        <w:numPr>
          <w:ilvl w:val="0"/>
          <w:numId w:val="5"/>
        </w:numPr>
        <w:ind w:left="360"/>
        <w:jc w:val="both"/>
        <w:rPr>
          <w:sz w:val="22"/>
          <w:szCs w:val="22"/>
        </w:rPr>
      </w:pPr>
      <w:r>
        <w:rPr>
          <w:sz w:val="22"/>
          <w:szCs w:val="22"/>
        </w:rPr>
        <w:t xml:space="preserve">Reducing GHG emissions </w:t>
      </w:r>
      <w:r>
        <w:rPr>
          <w:color w:val="242424"/>
          <w:sz w:val="22"/>
          <w:szCs w:val="22"/>
        </w:rPr>
        <w:t>241,623 MT/CO2e</w:t>
      </w:r>
      <w:r>
        <w:rPr>
          <w:sz w:val="22"/>
          <w:szCs w:val="22"/>
        </w:rPr>
        <w:t xml:space="preserve"> by 2030 and 992,022 MT/CO2e by 2050.</w:t>
      </w:r>
    </w:p>
    <w:p w14:paraId="6B1F90A2" w14:textId="77777777" w:rsidR="00044CEF" w:rsidRDefault="00000000">
      <w:pPr>
        <w:numPr>
          <w:ilvl w:val="0"/>
          <w:numId w:val="5"/>
        </w:numPr>
        <w:ind w:left="360"/>
        <w:jc w:val="both"/>
        <w:rPr>
          <w:sz w:val="22"/>
          <w:szCs w:val="22"/>
        </w:rPr>
      </w:pPr>
      <w:r>
        <w:rPr>
          <w:sz w:val="22"/>
          <w:szCs w:val="22"/>
        </w:rPr>
        <w:t>Reducing CAP pollutants such as SO</w:t>
      </w:r>
      <w:r>
        <w:rPr>
          <w:sz w:val="22"/>
          <w:szCs w:val="22"/>
          <w:vertAlign w:val="subscript"/>
        </w:rPr>
        <w:t>2</w:t>
      </w:r>
      <w:r>
        <w:rPr>
          <w:sz w:val="22"/>
          <w:szCs w:val="22"/>
        </w:rPr>
        <w:t xml:space="preserve"> by 9,160 </w:t>
      </w:r>
      <w:proofErr w:type="spellStart"/>
      <w:r>
        <w:rPr>
          <w:sz w:val="22"/>
          <w:szCs w:val="22"/>
        </w:rPr>
        <w:t>lbs</w:t>
      </w:r>
      <w:proofErr w:type="spellEnd"/>
      <w:r>
        <w:rPr>
          <w:sz w:val="22"/>
          <w:szCs w:val="22"/>
        </w:rPr>
        <w:t xml:space="preserve">; </w:t>
      </w:r>
      <w:r>
        <w:t>NO</w:t>
      </w:r>
      <w:r>
        <w:rPr>
          <w:vertAlign w:val="subscript"/>
        </w:rPr>
        <w:t>X</w:t>
      </w:r>
      <w:r>
        <w:rPr>
          <w:sz w:val="22"/>
          <w:szCs w:val="22"/>
          <w:vertAlign w:val="subscript"/>
        </w:rPr>
        <w:t xml:space="preserve"> </w:t>
      </w:r>
      <w:r>
        <w:rPr>
          <w:sz w:val="22"/>
          <w:szCs w:val="22"/>
        </w:rPr>
        <w:t xml:space="preserve">by 47,360 </w:t>
      </w:r>
      <w:proofErr w:type="spellStart"/>
      <w:r>
        <w:rPr>
          <w:sz w:val="22"/>
          <w:szCs w:val="22"/>
        </w:rPr>
        <w:t>lbs</w:t>
      </w:r>
      <w:proofErr w:type="spellEnd"/>
      <w:r>
        <w:rPr>
          <w:sz w:val="22"/>
          <w:szCs w:val="22"/>
        </w:rPr>
        <w:t>; PM</w:t>
      </w:r>
      <w:r>
        <w:rPr>
          <w:sz w:val="22"/>
          <w:szCs w:val="22"/>
          <w:vertAlign w:val="subscript"/>
        </w:rPr>
        <w:t xml:space="preserve">2.5 </w:t>
      </w:r>
      <w:r>
        <w:rPr>
          <w:sz w:val="22"/>
          <w:szCs w:val="22"/>
        </w:rPr>
        <w:t xml:space="preserve">by 5,420 </w:t>
      </w:r>
      <w:proofErr w:type="spellStart"/>
      <w:r>
        <w:rPr>
          <w:sz w:val="22"/>
          <w:szCs w:val="22"/>
        </w:rPr>
        <w:t>lbs</w:t>
      </w:r>
      <w:proofErr w:type="spellEnd"/>
      <w:r>
        <w:rPr>
          <w:sz w:val="22"/>
          <w:szCs w:val="22"/>
        </w:rPr>
        <w:t xml:space="preserve">; VOC by 1,650 </w:t>
      </w:r>
      <w:proofErr w:type="spellStart"/>
      <w:r>
        <w:rPr>
          <w:sz w:val="22"/>
          <w:szCs w:val="22"/>
        </w:rPr>
        <w:t>lbs</w:t>
      </w:r>
      <w:proofErr w:type="spellEnd"/>
      <w:r>
        <w:rPr>
          <w:sz w:val="22"/>
          <w:szCs w:val="22"/>
        </w:rPr>
        <w:t>; and NH</w:t>
      </w:r>
      <w:r>
        <w:rPr>
          <w:sz w:val="22"/>
          <w:szCs w:val="22"/>
          <w:vertAlign w:val="subscript"/>
        </w:rPr>
        <w:t xml:space="preserve">3 </w:t>
      </w:r>
      <w:r>
        <w:rPr>
          <w:sz w:val="22"/>
          <w:szCs w:val="22"/>
        </w:rPr>
        <w:t xml:space="preserve">by 2,600 </w:t>
      </w:r>
      <w:proofErr w:type="spellStart"/>
      <w:r>
        <w:rPr>
          <w:sz w:val="22"/>
          <w:szCs w:val="22"/>
        </w:rPr>
        <w:t>lbs</w:t>
      </w:r>
      <w:proofErr w:type="spellEnd"/>
      <w:r>
        <w:rPr>
          <w:sz w:val="22"/>
          <w:szCs w:val="22"/>
        </w:rPr>
        <w:t xml:space="preserve">).   </w:t>
      </w:r>
    </w:p>
    <w:p w14:paraId="34FC9016" w14:textId="77777777" w:rsidR="00044CEF" w:rsidRDefault="00000000">
      <w:pPr>
        <w:numPr>
          <w:ilvl w:val="0"/>
          <w:numId w:val="5"/>
        </w:numPr>
        <w:ind w:left="360"/>
        <w:jc w:val="both"/>
        <w:rPr>
          <w:sz w:val="22"/>
          <w:szCs w:val="22"/>
        </w:rPr>
      </w:pPr>
      <w:r>
        <w:rPr>
          <w:sz w:val="22"/>
          <w:szCs w:val="22"/>
        </w:rPr>
        <w:t>Creating a workforce training and hiring program focused on providing good-paying jobs in the green economy for LIDAC residents.</w:t>
      </w:r>
    </w:p>
    <w:p w14:paraId="583071C9" w14:textId="77777777" w:rsidR="00044CEF" w:rsidRDefault="00000000">
      <w:pPr>
        <w:numPr>
          <w:ilvl w:val="0"/>
          <w:numId w:val="5"/>
        </w:numPr>
        <w:ind w:left="360"/>
        <w:jc w:val="both"/>
        <w:rPr>
          <w:sz w:val="22"/>
          <w:szCs w:val="22"/>
        </w:rPr>
      </w:pPr>
      <w:r>
        <w:rPr>
          <w:sz w:val="22"/>
          <w:szCs w:val="22"/>
        </w:rPr>
        <w:t xml:space="preserve">Creating resilient community-serving facilities and critical infrastructure to provide resources to LIDAC residents following a natural disaster. </w:t>
      </w:r>
    </w:p>
    <w:p w14:paraId="558A0509" w14:textId="77777777" w:rsidR="00044CEF" w:rsidRDefault="00000000">
      <w:pPr>
        <w:numPr>
          <w:ilvl w:val="0"/>
          <w:numId w:val="5"/>
        </w:numPr>
        <w:ind w:left="360"/>
        <w:jc w:val="both"/>
        <w:rPr>
          <w:sz w:val="22"/>
          <w:szCs w:val="22"/>
        </w:rPr>
      </w:pPr>
      <w:r>
        <w:rPr>
          <w:sz w:val="22"/>
          <w:szCs w:val="22"/>
        </w:rPr>
        <w:t xml:space="preserve">The program will complement The Nature Conservancy’s Solar for All application, which is focused on deploying solar for residential homes. The SSERC project furthers this idea by deploying solar to LIDAC communities' public facilities. </w:t>
      </w:r>
    </w:p>
    <w:p w14:paraId="2AEFFC05" w14:textId="77777777" w:rsidR="00044CEF" w:rsidRDefault="00000000">
      <w:pPr>
        <w:numPr>
          <w:ilvl w:val="0"/>
          <w:numId w:val="5"/>
        </w:numPr>
        <w:ind w:left="360"/>
        <w:jc w:val="both"/>
        <w:rPr>
          <w:sz w:val="22"/>
          <w:szCs w:val="22"/>
        </w:rPr>
      </w:pPr>
      <w:r>
        <w:rPr>
          <w:sz w:val="22"/>
          <w:szCs w:val="22"/>
        </w:rPr>
        <w:t>The program was intentionally designed to be replicable and scalable throughout the four-MSA area. Directing energy efficiency and solar funding to benefit LIDAC residents to increase economic and social resiliency can be replicated in cities and counties throughout the nation.</w:t>
      </w:r>
    </w:p>
    <w:p w14:paraId="53A405CF" w14:textId="77777777" w:rsidR="00044CEF" w:rsidRDefault="00044CEF">
      <w:pPr>
        <w:rPr>
          <w:color w:val="000000"/>
          <w:sz w:val="22"/>
          <w:szCs w:val="22"/>
        </w:rPr>
      </w:pPr>
    </w:p>
    <w:p w14:paraId="567FC6AA" w14:textId="77777777" w:rsidR="00044CEF" w:rsidRDefault="00000000">
      <w:pPr>
        <w:pBdr>
          <w:top w:val="nil"/>
          <w:left w:val="nil"/>
          <w:bottom w:val="nil"/>
          <w:right w:val="nil"/>
          <w:between w:val="nil"/>
        </w:pBdr>
        <w:rPr>
          <w:b/>
          <w:color w:val="4472C4"/>
          <w:sz w:val="22"/>
          <w:szCs w:val="22"/>
        </w:rPr>
      </w:pPr>
      <w:r>
        <w:rPr>
          <w:b/>
          <w:color w:val="E69243"/>
          <w:sz w:val="22"/>
          <w:szCs w:val="22"/>
        </w:rPr>
        <w:t>A.4 Coalition Roles and Responsibilities</w:t>
      </w:r>
      <w:r>
        <w:rPr>
          <w:b/>
          <w:color w:val="4472C4"/>
          <w:sz w:val="22"/>
          <w:szCs w:val="22"/>
        </w:rPr>
        <w:t xml:space="preserve"> </w:t>
      </w:r>
    </w:p>
    <w:p w14:paraId="7EF55A3F" w14:textId="77777777" w:rsidR="00044CEF" w:rsidRDefault="00000000">
      <w:pPr>
        <w:pBdr>
          <w:top w:val="nil"/>
          <w:left w:val="nil"/>
          <w:bottom w:val="nil"/>
          <w:right w:val="nil"/>
          <w:between w:val="nil"/>
        </w:pBdr>
        <w:rPr>
          <w:sz w:val="22"/>
          <w:szCs w:val="22"/>
        </w:rPr>
      </w:pPr>
      <w:r>
        <w:rPr>
          <w:sz w:val="22"/>
          <w:szCs w:val="22"/>
        </w:rPr>
        <w:t xml:space="preserve">Tampa Bay Regional Planning Council (TBRPC) is the applicant and ultimately is responsible for all fiscal commitments and grant requirements for the SSERC. There are six Coalition members whose participation is integral to the project's success: </w:t>
      </w:r>
    </w:p>
    <w:p w14:paraId="259411B5" w14:textId="77777777" w:rsidR="00044CEF" w:rsidRDefault="00000000">
      <w:pPr>
        <w:jc w:val="both"/>
        <w:rPr>
          <w:sz w:val="22"/>
          <w:szCs w:val="22"/>
        </w:rPr>
      </w:pPr>
      <w:r>
        <w:rPr>
          <w:sz w:val="22"/>
          <w:szCs w:val="22"/>
        </w:rPr>
        <w:t xml:space="preserve"> </w:t>
      </w:r>
    </w:p>
    <w:p w14:paraId="3C78191B" w14:textId="77777777" w:rsidR="00044CEF" w:rsidRDefault="00000000">
      <w:pPr>
        <w:numPr>
          <w:ilvl w:val="0"/>
          <w:numId w:val="9"/>
        </w:numPr>
        <w:ind w:left="360"/>
        <w:jc w:val="both"/>
        <w:rPr>
          <w:sz w:val="22"/>
          <w:szCs w:val="22"/>
        </w:rPr>
      </w:pPr>
      <w:r>
        <w:rPr>
          <w:b/>
          <w:sz w:val="22"/>
          <w:szCs w:val="22"/>
        </w:rPr>
        <w:t>City of Jacksonville</w:t>
      </w:r>
      <w:r>
        <w:rPr>
          <w:sz w:val="22"/>
          <w:szCs w:val="22"/>
        </w:rPr>
        <w:t xml:space="preserve"> (Jacksonville) was the lead entity for the PCAP planning process and was tapped to lead both the project design and implementation of the SSERC project for the JF MSA. The City of Jacksonville will work with their regional municipalities (Duval County, St. Johns County, Nassau County, Clay County, City of Atlantic Beach, City of St. Augustine, and the City of Palm Coast) to finalize their projects following the grant award and will subaward CPRG funding to each community. To ensure grant compliance, Jacksonville will hire a staff member who supports </w:t>
      </w:r>
      <w:proofErr w:type="spellStart"/>
      <w:r>
        <w:rPr>
          <w:sz w:val="22"/>
          <w:szCs w:val="22"/>
        </w:rPr>
        <w:t>subawardees</w:t>
      </w:r>
      <w:proofErr w:type="spellEnd"/>
      <w:r>
        <w:rPr>
          <w:sz w:val="22"/>
          <w:szCs w:val="22"/>
        </w:rPr>
        <w:t xml:space="preserve"> with their projects and grant requirements. </w:t>
      </w:r>
    </w:p>
    <w:p w14:paraId="6667FE2B" w14:textId="77777777" w:rsidR="00044CEF" w:rsidRDefault="00000000">
      <w:pPr>
        <w:numPr>
          <w:ilvl w:val="0"/>
          <w:numId w:val="9"/>
        </w:numPr>
        <w:ind w:left="360"/>
        <w:jc w:val="both"/>
        <w:rPr>
          <w:sz w:val="22"/>
          <w:szCs w:val="22"/>
        </w:rPr>
      </w:pPr>
      <w:r>
        <w:rPr>
          <w:b/>
          <w:sz w:val="22"/>
          <w:szCs w:val="22"/>
        </w:rPr>
        <w:t>Sarasota County</w:t>
      </w:r>
      <w:r>
        <w:rPr>
          <w:sz w:val="22"/>
          <w:szCs w:val="22"/>
        </w:rPr>
        <w:t xml:space="preserve"> was the lead for the PCAP planning process and project design for the implementation grant for the NPSB MSA. Sarasota County is working in partnership with TBRPC to design a grant process to award CPRG grant funding based on project cost, reduced greenhouse gas emissions, and benefits to LIDAC communities. Once grant awardees are determined, Sarasota County will subaward CPRG funding to grant recipients. Sarasota County will hire 2 staff members to oversee its own projects, support municipalities in the NPSB MSA with projects, provide education/outreach, and help ensure grant compliance with TBRPC. </w:t>
      </w:r>
    </w:p>
    <w:p w14:paraId="3E8E9DE6" w14:textId="77777777" w:rsidR="00044CEF" w:rsidRDefault="00000000">
      <w:pPr>
        <w:numPr>
          <w:ilvl w:val="0"/>
          <w:numId w:val="9"/>
        </w:numPr>
        <w:ind w:left="360"/>
        <w:jc w:val="both"/>
        <w:rPr>
          <w:sz w:val="22"/>
          <w:szCs w:val="22"/>
        </w:rPr>
      </w:pPr>
      <w:r>
        <w:rPr>
          <w:b/>
          <w:sz w:val="22"/>
          <w:szCs w:val="22"/>
        </w:rPr>
        <w:t>Orange County</w:t>
      </w:r>
      <w:r>
        <w:rPr>
          <w:color w:val="FF0000"/>
          <w:sz w:val="22"/>
          <w:szCs w:val="22"/>
        </w:rPr>
        <w:t xml:space="preserve"> </w:t>
      </w:r>
      <w:r>
        <w:rPr>
          <w:sz w:val="22"/>
          <w:szCs w:val="22"/>
        </w:rPr>
        <w:t xml:space="preserve">Orange County was the lead on project design for implementation funding for the OKS MSA. Orange County will oversee the energy efficiency education program and the EE and REA Toolkits for the OKS MSA and </w:t>
      </w:r>
      <w:proofErr w:type="gramStart"/>
      <w:r>
        <w:rPr>
          <w:sz w:val="22"/>
          <w:szCs w:val="22"/>
        </w:rPr>
        <w:t>will</w:t>
      </w:r>
      <w:proofErr w:type="gramEnd"/>
      <w:r>
        <w:rPr>
          <w:sz w:val="22"/>
          <w:szCs w:val="22"/>
        </w:rPr>
        <w:t xml:space="preserve"> subaward with the East Central Florida Regional Planning Council (ECFRPC) to support municipalities in the OKS MSA with projects, education/outreach, and grant compliance with TBRPC. Orange County will manage its own greenhouse gas reduction projects and grant compliance and will hire the equivalent of 2 FTEs. </w:t>
      </w:r>
    </w:p>
    <w:p w14:paraId="004C5813" w14:textId="06096DF4" w:rsidR="00044CEF" w:rsidRDefault="00000000">
      <w:pPr>
        <w:numPr>
          <w:ilvl w:val="0"/>
          <w:numId w:val="9"/>
        </w:numPr>
        <w:ind w:left="360"/>
        <w:jc w:val="both"/>
        <w:rPr>
          <w:sz w:val="22"/>
          <w:szCs w:val="22"/>
        </w:rPr>
      </w:pPr>
      <w:r>
        <w:rPr>
          <w:b/>
          <w:sz w:val="22"/>
          <w:szCs w:val="22"/>
        </w:rPr>
        <w:t>Osceola County, Seminole County. and the City of Orlando</w:t>
      </w:r>
      <w:r>
        <w:rPr>
          <w:sz w:val="22"/>
          <w:szCs w:val="22"/>
        </w:rPr>
        <w:t xml:space="preserve"> are within the OKS MSA and have helped guide the project design of the Implementation Grant. All three counties will partner with the other communities in the OKS MSA on a coordinated youth and adult greenhouse gas reduction education program </w:t>
      </w:r>
      <w:r w:rsidR="00C53E84">
        <w:rPr>
          <w:sz w:val="22"/>
          <w:szCs w:val="22"/>
        </w:rPr>
        <w:t>and will</w:t>
      </w:r>
      <w:r>
        <w:rPr>
          <w:sz w:val="22"/>
          <w:szCs w:val="22"/>
        </w:rPr>
        <w:t xml:space="preserve"> manage their own greenhouse gas reduction projects and grant compliance. </w:t>
      </w:r>
    </w:p>
    <w:p w14:paraId="0BDB8A60" w14:textId="77777777" w:rsidR="00044CEF" w:rsidRDefault="00000000">
      <w:pPr>
        <w:jc w:val="both"/>
        <w:rPr>
          <w:color w:val="000000"/>
          <w:sz w:val="22"/>
          <w:szCs w:val="22"/>
        </w:rPr>
      </w:pPr>
      <w:r>
        <w:rPr>
          <w:b/>
          <w:sz w:val="22"/>
          <w:szCs w:val="22"/>
        </w:rPr>
        <w:t xml:space="preserve"> </w:t>
      </w:r>
    </w:p>
    <w:p w14:paraId="00584492" w14:textId="77777777" w:rsidR="00044CEF" w:rsidRDefault="00000000">
      <w:pPr>
        <w:pBdr>
          <w:top w:val="nil"/>
          <w:left w:val="nil"/>
          <w:bottom w:val="nil"/>
          <w:right w:val="nil"/>
          <w:between w:val="nil"/>
        </w:pBdr>
        <w:jc w:val="both"/>
        <w:rPr>
          <w:b/>
          <w:color w:val="E69243"/>
          <w:sz w:val="22"/>
          <w:szCs w:val="22"/>
        </w:rPr>
      </w:pPr>
      <w:r>
        <w:rPr>
          <w:b/>
          <w:color w:val="E69243"/>
          <w:sz w:val="22"/>
          <w:szCs w:val="22"/>
        </w:rPr>
        <w:t xml:space="preserve">A.5 MOA Commitment </w:t>
      </w:r>
    </w:p>
    <w:p w14:paraId="554B3FAA" w14:textId="77777777" w:rsidR="00044CEF" w:rsidRDefault="00000000">
      <w:pPr>
        <w:pBdr>
          <w:top w:val="nil"/>
          <w:left w:val="nil"/>
          <w:bottom w:val="nil"/>
          <w:right w:val="nil"/>
          <w:between w:val="nil"/>
        </w:pBdr>
        <w:jc w:val="both"/>
        <w:rPr>
          <w:color w:val="000000"/>
          <w:sz w:val="22"/>
          <w:szCs w:val="22"/>
        </w:rPr>
      </w:pPr>
      <w:r>
        <w:rPr>
          <w:color w:val="000000"/>
          <w:sz w:val="22"/>
          <w:szCs w:val="22"/>
        </w:rPr>
        <w:t xml:space="preserve">Tampa Bay Regional Planning </w:t>
      </w:r>
      <w:r>
        <w:rPr>
          <w:sz w:val="22"/>
          <w:szCs w:val="22"/>
        </w:rPr>
        <w:t>Council</w:t>
      </w:r>
      <w:r>
        <w:rPr>
          <w:color w:val="000000"/>
          <w:sz w:val="22"/>
          <w:szCs w:val="22"/>
        </w:rPr>
        <w:t xml:space="preserve"> (TBRPC) affirmatively declares that it will submit an MOA signed by </w:t>
      </w:r>
      <w:r>
        <w:rPr>
          <w:sz w:val="22"/>
          <w:szCs w:val="22"/>
        </w:rPr>
        <w:t xml:space="preserve">Sarasota County, the City of Jacksonville, Orange County, Osceola County; Seminole County; and the City of Orlando by July 1, 2024. </w:t>
      </w:r>
    </w:p>
    <w:p w14:paraId="42D634E7" w14:textId="77777777" w:rsidR="00044CEF" w:rsidRDefault="00044CEF">
      <w:pPr>
        <w:jc w:val="both"/>
        <w:rPr>
          <w:color w:val="000000"/>
          <w:sz w:val="22"/>
          <w:szCs w:val="22"/>
        </w:rPr>
      </w:pPr>
    </w:p>
    <w:p w14:paraId="2EB86294" w14:textId="77777777" w:rsidR="00044CEF" w:rsidRDefault="00000000">
      <w:pPr>
        <w:pBdr>
          <w:top w:val="nil"/>
          <w:left w:val="nil"/>
          <w:bottom w:val="nil"/>
          <w:right w:val="nil"/>
          <w:between w:val="nil"/>
        </w:pBdr>
        <w:jc w:val="both"/>
        <w:rPr>
          <w:b/>
          <w:color w:val="E69243"/>
          <w:sz w:val="22"/>
          <w:szCs w:val="22"/>
        </w:rPr>
      </w:pPr>
      <w:r>
        <w:rPr>
          <w:b/>
          <w:color w:val="E69243"/>
          <w:sz w:val="22"/>
          <w:szCs w:val="22"/>
        </w:rPr>
        <w:t>A.6 GHG Reduction Measures in PCAP</w:t>
      </w:r>
    </w:p>
    <w:p w14:paraId="72AA8761" w14:textId="77777777" w:rsidR="00044CEF" w:rsidRDefault="00000000">
      <w:pPr>
        <w:pBdr>
          <w:top w:val="nil"/>
          <w:left w:val="nil"/>
          <w:bottom w:val="nil"/>
          <w:right w:val="nil"/>
          <w:between w:val="nil"/>
        </w:pBdr>
        <w:jc w:val="both"/>
        <w:rPr>
          <w:sz w:val="22"/>
          <w:szCs w:val="22"/>
        </w:rPr>
      </w:pPr>
      <w:r>
        <w:rPr>
          <w:sz w:val="22"/>
          <w:szCs w:val="22"/>
        </w:rPr>
        <w:t xml:space="preserve">The SSERC Coalition comprises four distinct Priority Climate Action Plans. The MSAs started working together in the Fall of 2023 to align their PCAPs and to pursue a multi-regional grant to lead the CPRG initiative for Florida. The two priority GHG Reduction Measures are listed in all four PCAPs for their region. Relevant PCAPs for this application are: </w:t>
      </w:r>
    </w:p>
    <w:p w14:paraId="1318763F" w14:textId="77777777" w:rsidR="00044CEF" w:rsidRDefault="00000000">
      <w:pPr>
        <w:numPr>
          <w:ilvl w:val="0"/>
          <w:numId w:val="7"/>
        </w:numPr>
        <w:pBdr>
          <w:top w:val="nil"/>
          <w:left w:val="nil"/>
          <w:bottom w:val="nil"/>
          <w:right w:val="nil"/>
          <w:between w:val="nil"/>
        </w:pBdr>
        <w:jc w:val="both"/>
        <w:rPr>
          <w:sz w:val="22"/>
          <w:szCs w:val="22"/>
        </w:rPr>
      </w:pPr>
      <w:hyperlink r:id="rId16">
        <w:r>
          <w:rPr>
            <w:color w:val="1155CC"/>
            <w:sz w:val="22"/>
            <w:szCs w:val="22"/>
            <w:u w:val="single"/>
          </w:rPr>
          <w:t>East Central Florida's Priority Action Climate Plan</w:t>
        </w:r>
      </w:hyperlink>
      <w:r>
        <w:rPr>
          <w:sz w:val="22"/>
          <w:szCs w:val="22"/>
        </w:rPr>
        <w:t xml:space="preserve"> (ECF PCAP</w:t>
      </w:r>
      <w:proofErr w:type="gramStart"/>
      <w:r>
        <w:rPr>
          <w:sz w:val="22"/>
          <w:szCs w:val="22"/>
        </w:rPr>
        <w:t>);</w:t>
      </w:r>
      <w:proofErr w:type="gramEnd"/>
      <w:r>
        <w:rPr>
          <w:sz w:val="22"/>
          <w:szCs w:val="22"/>
        </w:rPr>
        <w:t xml:space="preserve"> </w:t>
      </w:r>
    </w:p>
    <w:p w14:paraId="2C7D18D8" w14:textId="77777777" w:rsidR="00044CEF" w:rsidRDefault="00000000">
      <w:pPr>
        <w:numPr>
          <w:ilvl w:val="0"/>
          <w:numId w:val="7"/>
        </w:numPr>
        <w:pBdr>
          <w:top w:val="nil"/>
          <w:left w:val="nil"/>
          <w:bottom w:val="nil"/>
          <w:right w:val="nil"/>
          <w:between w:val="nil"/>
        </w:pBdr>
        <w:jc w:val="both"/>
        <w:rPr>
          <w:sz w:val="22"/>
          <w:szCs w:val="22"/>
        </w:rPr>
      </w:pPr>
      <w:hyperlink r:id="rId17">
        <w:r>
          <w:rPr>
            <w:color w:val="1155CC"/>
            <w:sz w:val="22"/>
            <w:szCs w:val="22"/>
            <w:u w:val="single"/>
          </w:rPr>
          <w:t>Clean Air Tampa Bay Priority Action Climate Plan</w:t>
        </w:r>
      </w:hyperlink>
      <w:r>
        <w:rPr>
          <w:sz w:val="22"/>
          <w:szCs w:val="22"/>
        </w:rPr>
        <w:t xml:space="preserve"> (CATB PCAP</w:t>
      </w:r>
      <w:proofErr w:type="gramStart"/>
      <w:r>
        <w:rPr>
          <w:sz w:val="22"/>
          <w:szCs w:val="22"/>
        </w:rPr>
        <w:t>);</w:t>
      </w:r>
      <w:proofErr w:type="gramEnd"/>
      <w:r>
        <w:rPr>
          <w:sz w:val="22"/>
          <w:szCs w:val="22"/>
        </w:rPr>
        <w:t xml:space="preserve"> </w:t>
      </w:r>
    </w:p>
    <w:p w14:paraId="562ED4A9" w14:textId="77777777" w:rsidR="00044CEF" w:rsidRDefault="00000000">
      <w:pPr>
        <w:numPr>
          <w:ilvl w:val="0"/>
          <w:numId w:val="7"/>
        </w:numPr>
        <w:pBdr>
          <w:top w:val="nil"/>
          <w:left w:val="nil"/>
          <w:bottom w:val="nil"/>
          <w:right w:val="nil"/>
          <w:between w:val="nil"/>
        </w:pBdr>
        <w:jc w:val="both"/>
        <w:rPr>
          <w:sz w:val="22"/>
          <w:szCs w:val="22"/>
        </w:rPr>
      </w:pPr>
      <w:hyperlink r:id="rId18">
        <w:r>
          <w:rPr>
            <w:color w:val="1155CC"/>
            <w:sz w:val="22"/>
            <w:szCs w:val="22"/>
            <w:u w:val="single"/>
          </w:rPr>
          <w:t>Clean Air Coalition Sarasota-Manatee Priority Action Climate Plan</w:t>
        </w:r>
      </w:hyperlink>
      <w:r>
        <w:rPr>
          <w:sz w:val="22"/>
          <w:szCs w:val="22"/>
        </w:rPr>
        <w:t xml:space="preserve"> (CACSM PCAP); and </w:t>
      </w:r>
    </w:p>
    <w:p w14:paraId="5DA12817" w14:textId="77777777" w:rsidR="00044CEF" w:rsidRDefault="00000000">
      <w:pPr>
        <w:numPr>
          <w:ilvl w:val="0"/>
          <w:numId w:val="7"/>
        </w:numPr>
        <w:pBdr>
          <w:top w:val="nil"/>
          <w:left w:val="nil"/>
          <w:bottom w:val="nil"/>
          <w:right w:val="nil"/>
          <w:between w:val="nil"/>
        </w:pBdr>
        <w:jc w:val="both"/>
        <w:rPr>
          <w:sz w:val="22"/>
          <w:szCs w:val="22"/>
        </w:rPr>
      </w:pPr>
      <w:hyperlink r:id="rId19">
        <w:r>
          <w:rPr>
            <w:color w:val="1155CC"/>
            <w:sz w:val="22"/>
            <w:szCs w:val="22"/>
            <w:u w:val="single"/>
          </w:rPr>
          <w:t>Clean Air Northeast Florida Regional Priority Action Climate Plan</w:t>
        </w:r>
      </w:hyperlink>
      <w:r>
        <w:rPr>
          <w:sz w:val="22"/>
          <w:szCs w:val="22"/>
        </w:rPr>
        <w:t xml:space="preserve"> (CANFR PCAP). </w:t>
      </w:r>
    </w:p>
    <w:p w14:paraId="0A8BEC40" w14:textId="77777777" w:rsidR="00044CEF" w:rsidRDefault="00044CEF">
      <w:pPr>
        <w:pBdr>
          <w:top w:val="nil"/>
          <w:left w:val="nil"/>
          <w:bottom w:val="nil"/>
          <w:right w:val="nil"/>
          <w:between w:val="nil"/>
        </w:pBdr>
        <w:ind w:left="1440"/>
        <w:jc w:val="both"/>
        <w:rPr>
          <w:sz w:val="22"/>
          <w:szCs w:val="22"/>
        </w:rPr>
      </w:pPr>
    </w:p>
    <w:p w14:paraId="34F30A53" w14:textId="77777777" w:rsidR="00044CEF" w:rsidRDefault="00000000">
      <w:pPr>
        <w:jc w:val="both"/>
        <w:rPr>
          <w:b/>
        </w:rPr>
      </w:pPr>
      <w:r>
        <w:rPr>
          <w:b/>
          <w:sz w:val="22"/>
          <w:szCs w:val="22"/>
        </w:rPr>
        <w:t>Table 3 — GHG Reduction Measures in PCAP.</w:t>
      </w:r>
    </w:p>
    <w:tbl>
      <w:tblPr>
        <w:tblStyle w:val="a1"/>
        <w:tblW w:w="946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85"/>
        <w:gridCol w:w="3585"/>
        <w:gridCol w:w="4995"/>
      </w:tblGrid>
      <w:tr w:rsidR="00044CEF" w14:paraId="289601AB" w14:textId="77777777">
        <w:trPr>
          <w:trHeight w:val="420"/>
        </w:trPr>
        <w:tc>
          <w:tcPr>
            <w:tcW w:w="9465" w:type="dxa"/>
            <w:gridSpan w:val="3"/>
            <w:shd w:val="clear" w:color="auto" w:fill="CFE2F3"/>
            <w:tcMar>
              <w:top w:w="86" w:type="dxa"/>
              <w:left w:w="86" w:type="dxa"/>
              <w:bottom w:w="86" w:type="dxa"/>
              <w:right w:w="86" w:type="dxa"/>
            </w:tcMar>
            <w:vAlign w:val="center"/>
          </w:tcPr>
          <w:p w14:paraId="6ADFD908" w14:textId="77777777" w:rsidR="00044CEF" w:rsidRDefault="00000000">
            <w:pPr>
              <w:widowControl w:val="0"/>
              <w:rPr>
                <w:b/>
                <w:sz w:val="22"/>
                <w:szCs w:val="22"/>
              </w:rPr>
            </w:pPr>
            <w:r>
              <w:rPr>
                <w:b/>
                <w:sz w:val="22"/>
                <w:szCs w:val="22"/>
              </w:rPr>
              <w:lastRenderedPageBreak/>
              <w:t>GHG Reduction Measure #1: Efficiency Education and Tools.</w:t>
            </w:r>
          </w:p>
        </w:tc>
      </w:tr>
      <w:tr w:rsidR="00044CEF" w14:paraId="1AD82807" w14:textId="77777777">
        <w:tc>
          <w:tcPr>
            <w:tcW w:w="885" w:type="dxa"/>
            <w:shd w:val="clear" w:color="auto" w:fill="CFE2F3"/>
            <w:tcMar>
              <w:top w:w="86" w:type="dxa"/>
              <w:left w:w="86" w:type="dxa"/>
              <w:bottom w:w="86" w:type="dxa"/>
              <w:right w:w="86" w:type="dxa"/>
            </w:tcMar>
            <w:vAlign w:val="center"/>
          </w:tcPr>
          <w:p w14:paraId="1DCAB70B" w14:textId="77777777" w:rsidR="00044CEF" w:rsidRDefault="00000000">
            <w:pPr>
              <w:widowControl w:val="0"/>
              <w:rPr>
                <w:b/>
                <w:sz w:val="22"/>
                <w:szCs w:val="22"/>
              </w:rPr>
            </w:pPr>
            <w:r>
              <w:rPr>
                <w:b/>
                <w:sz w:val="22"/>
                <w:szCs w:val="22"/>
              </w:rPr>
              <w:t>PCAP</w:t>
            </w:r>
          </w:p>
        </w:tc>
        <w:tc>
          <w:tcPr>
            <w:tcW w:w="3585" w:type="dxa"/>
            <w:shd w:val="clear" w:color="auto" w:fill="CFE2F3"/>
            <w:tcMar>
              <w:top w:w="86" w:type="dxa"/>
              <w:left w:w="86" w:type="dxa"/>
              <w:bottom w:w="86" w:type="dxa"/>
              <w:right w:w="86" w:type="dxa"/>
            </w:tcMar>
            <w:vAlign w:val="center"/>
          </w:tcPr>
          <w:p w14:paraId="04DCE423" w14:textId="77777777" w:rsidR="00044CEF" w:rsidRDefault="00000000">
            <w:pPr>
              <w:widowControl w:val="0"/>
              <w:rPr>
                <w:b/>
                <w:sz w:val="22"/>
                <w:szCs w:val="22"/>
              </w:rPr>
            </w:pPr>
            <w:r>
              <w:rPr>
                <w:b/>
                <w:sz w:val="22"/>
                <w:szCs w:val="22"/>
              </w:rPr>
              <w:t>Priority Reduction Measure in PCAP</w:t>
            </w:r>
          </w:p>
        </w:tc>
        <w:tc>
          <w:tcPr>
            <w:tcW w:w="4995" w:type="dxa"/>
            <w:shd w:val="clear" w:color="auto" w:fill="CFE2F3"/>
            <w:tcMar>
              <w:top w:w="86" w:type="dxa"/>
              <w:left w:w="86" w:type="dxa"/>
              <w:bottom w:w="86" w:type="dxa"/>
              <w:right w:w="86" w:type="dxa"/>
            </w:tcMar>
            <w:vAlign w:val="center"/>
          </w:tcPr>
          <w:p w14:paraId="2928BC9A" w14:textId="77777777" w:rsidR="00044CEF" w:rsidRDefault="00000000">
            <w:pPr>
              <w:widowControl w:val="0"/>
              <w:rPr>
                <w:b/>
                <w:sz w:val="22"/>
                <w:szCs w:val="22"/>
              </w:rPr>
            </w:pPr>
            <w:r>
              <w:rPr>
                <w:b/>
                <w:sz w:val="22"/>
                <w:szCs w:val="22"/>
              </w:rPr>
              <w:t xml:space="preserve">Reason for Priority </w:t>
            </w:r>
          </w:p>
        </w:tc>
      </w:tr>
      <w:tr w:rsidR="00044CEF" w14:paraId="5CD3F86B" w14:textId="77777777">
        <w:tc>
          <w:tcPr>
            <w:tcW w:w="885" w:type="dxa"/>
            <w:shd w:val="clear" w:color="auto" w:fill="auto"/>
            <w:tcMar>
              <w:top w:w="86" w:type="dxa"/>
              <w:left w:w="86" w:type="dxa"/>
              <w:bottom w:w="86" w:type="dxa"/>
              <w:right w:w="86" w:type="dxa"/>
            </w:tcMar>
            <w:vAlign w:val="center"/>
          </w:tcPr>
          <w:p w14:paraId="71846457" w14:textId="77777777" w:rsidR="00044CEF" w:rsidRDefault="00000000">
            <w:pPr>
              <w:widowControl w:val="0"/>
              <w:rPr>
                <w:sz w:val="22"/>
                <w:szCs w:val="22"/>
              </w:rPr>
            </w:pPr>
            <w:r>
              <w:rPr>
                <w:sz w:val="22"/>
                <w:szCs w:val="22"/>
              </w:rPr>
              <w:t>ECF PCAP</w:t>
            </w:r>
          </w:p>
        </w:tc>
        <w:tc>
          <w:tcPr>
            <w:tcW w:w="3585" w:type="dxa"/>
            <w:shd w:val="clear" w:color="auto" w:fill="auto"/>
            <w:tcMar>
              <w:top w:w="86" w:type="dxa"/>
              <w:left w:w="86" w:type="dxa"/>
              <w:bottom w:w="86" w:type="dxa"/>
              <w:right w:w="86" w:type="dxa"/>
            </w:tcMar>
            <w:vAlign w:val="center"/>
          </w:tcPr>
          <w:p w14:paraId="7F0A4899" w14:textId="77777777" w:rsidR="00044CEF" w:rsidRDefault="00000000">
            <w:pPr>
              <w:rPr>
                <w:sz w:val="22"/>
                <w:szCs w:val="22"/>
              </w:rPr>
            </w:pPr>
            <w:r>
              <w:rPr>
                <w:sz w:val="22"/>
                <w:szCs w:val="22"/>
              </w:rPr>
              <w:t>“Commercial/Residential Building Energy Efficiency” (</w:t>
            </w:r>
            <w:proofErr w:type="spellStart"/>
            <w:r>
              <w:rPr>
                <w:sz w:val="22"/>
                <w:szCs w:val="22"/>
              </w:rPr>
              <w:t>pg</w:t>
            </w:r>
            <w:proofErr w:type="spellEnd"/>
            <w:r>
              <w:rPr>
                <w:sz w:val="22"/>
                <w:szCs w:val="22"/>
              </w:rPr>
              <w:t xml:space="preserve"> 42-45)</w:t>
            </w:r>
          </w:p>
        </w:tc>
        <w:tc>
          <w:tcPr>
            <w:tcW w:w="4995" w:type="dxa"/>
            <w:shd w:val="clear" w:color="auto" w:fill="auto"/>
            <w:tcMar>
              <w:top w:w="86" w:type="dxa"/>
              <w:left w:w="86" w:type="dxa"/>
              <w:bottom w:w="86" w:type="dxa"/>
              <w:right w:w="86" w:type="dxa"/>
            </w:tcMar>
            <w:vAlign w:val="center"/>
          </w:tcPr>
          <w:p w14:paraId="48902478" w14:textId="77777777" w:rsidR="00044CEF" w:rsidRDefault="00000000">
            <w:pPr>
              <w:widowControl w:val="0"/>
              <w:rPr>
                <w:sz w:val="22"/>
                <w:szCs w:val="22"/>
              </w:rPr>
            </w:pPr>
            <w:r>
              <w:rPr>
                <w:sz w:val="22"/>
                <w:szCs w:val="22"/>
              </w:rPr>
              <w:t>Residential energy use was responsible for 29.2% of all GHG emissions and the region.</w:t>
            </w:r>
          </w:p>
        </w:tc>
      </w:tr>
      <w:tr w:rsidR="00044CEF" w14:paraId="2749CD1F" w14:textId="77777777">
        <w:tc>
          <w:tcPr>
            <w:tcW w:w="885" w:type="dxa"/>
            <w:shd w:val="clear" w:color="auto" w:fill="auto"/>
            <w:tcMar>
              <w:top w:w="86" w:type="dxa"/>
              <w:left w:w="86" w:type="dxa"/>
              <w:bottom w:w="86" w:type="dxa"/>
              <w:right w:w="86" w:type="dxa"/>
            </w:tcMar>
            <w:vAlign w:val="center"/>
          </w:tcPr>
          <w:p w14:paraId="4AEDFF21" w14:textId="77777777" w:rsidR="00044CEF" w:rsidRDefault="00000000">
            <w:pPr>
              <w:widowControl w:val="0"/>
              <w:rPr>
                <w:sz w:val="22"/>
                <w:szCs w:val="22"/>
              </w:rPr>
            </w:pPr>
            <w:r>
              <w:rPr>
                <w:sz w:val="22"/>
                <w:szCs w:val="22"/>
              </w:rPr>
              <w:t>CATB PCAP</w:t>
            </w:r>
          </w:p>
        </w:tc>
        <w:tc>
          <w:tcPr>
            <w:tcW w:w="3585" w:type="dxa"/>
            <w:shd w:val="clear" w:color="auto" w:fill="auto"/>
            <w:tcMar>
              <w:top w:w="86" w:type="dxa"/>
              <w:left w:w="86" w:type="dxa"/>
              <w:bottom w:w="86" w:type="dxa"/>
              <w:right w:w="86" w:type="dxa"/>
            </w:tcMar>
            <w:vAlign w:val="center"/>
          </w:tcPr>
          <w:p w14:paraId="27618229" w14:textId="77777777" w:rsidR="00044CEF" w:rsidRDefault="00000000">
            <w:pPr>
              <w:widowControl w:val="0"/>
              <w:rPr>
                <w:sz w:val="22"/>
                <w:szCs w:val="22"/>
              </w:rPr>
            </w:pPr>
            <w:r>
              <w:rPr>
                <w:sz w:val="22"/>
                <w:szCs w:val="22"/>
              </w:rPr>
              <w:t>“Energy Efficiency Programs” (</w:t>
            </w:r>
            <w:proofErr w:type="spellStart"/>
            <w:r>
              <w:rPr>
                <w:sz w:val="22"/>
                <w:szCs w:val="22"/>
              </w:rPr>
              <w:t>pg</w:t>
            </w:r>
            <w:proofErr w:type="spellEnd"/>
            <w:r>
              <w:rPr>
                <w:sz w:val="22"/>
                <w:szCs w:val="22"/>
              </w:rPr>
              <w:t xml:space="preserve"> 33)</w:t>
            </w:r>
          </w:p>
        </w:tc>
        <w:tc>
          <w:tcPr>
            <w:tcW w:w="4995" w:type="dxa"/>
            <w:shd w:val="clear" w:color="auto" w:fill="auto"/>
            <w:tcMar>
              <w:top w:w="86" w:type="dxa"/>
              <w:left w:w="86" w:type="dxa"/>
              <w:bottom w:w="86" w:type="dxa"/>
              <w:right w:w="86" w:type="dxa"/>
            </w:tcMar>
            <w:vAlign w:val="center"/>
          </w:tcPr>
          <w:p w14:paraId="62CB2B52" w14:textId="77777777" w:rsidR="00044CEF" w:rsidRDefault="00000000">
            <w:pPr>
              <w:jc w:val="both"/>
              <w:rPr>
                <w:sz w:val="22"/>
                <w:szCs w:val="22"/>
              </w:rPr>
            </w:pPr>
            <w:r>
              <w:rPr>
                <w:sz w:val="22"/>
                <w:szCs w:val="22"/>
              </w:rPr>
              <w:t>Residential energy use was responsible for 21.9% of all GHG emissions.</w:t>
            </w:r>
          </w:p>
        </w:tc>
      </w:tr>
      <w:tr w:rsidR="00044CEF" w14:paraId="3D70C2CD" w14:textId="77777777">
        <w:tc>
          <w:tcPr>
            <w:tcW w:w="885" w:type="dxa"/>
            <w:shd w:val="clear" w:color="auto" w:fill="auto"/>
            <w:tcMar>
              <w:top w:w="86" w:type="dxa"/>
              <w:left w:w="86" w:type="dxa"/>
              <w:bottom w:w="86" w:type="dxa"/>
              <w:right w:w="86" w:type="dxa"/>
            </w:tcMar>
            <w:vAlign w:val="center"/>
          </w:tcPr>
          <w:p w14:paraId="554EDA0E" w14:textId="77777777" w:rsidR="00044CEF" w:rsidRDefault="00000000">
            <w:pPr>
              <w:widowControl w:val="0"/>
              <w:rPr>
                <w:sz w:val="22"/>
                <w:szCs w:val="22"/>
              </w:rPr>
            </w:pPr>
            <w:r>
              <w:rPr>
                <w:sz w:val="22"/>
                <w:szCs w:val="22"/>
              </w:rPr>
              <w:t>CACSM PCAP</w:t>
            </w:r>
          </w:p>
        </w:tc>
        <w:tc>
          <w:tcPr>
            <w:tcW w:w="3585" w:type="dxa"/>
            <w:shd w:val="clear" w:color="auto" w:fill="auto"/>
            <w:tcMar>
              <w:top w:w="86" w:type="dxa"/>
              <w:left w:w="86" w:type="dxa"/>
              <w:bottom w:w="86" w:type="dxa"/>
              <w:right w:w="86" w:type="dxa"/>
            </w:tcMar>
            <w:vAlign w:val="center"/>
          </w:tcPr>
          <w:p w14:paraId="4D1022FA" w14:textId="77777777" w:rsidR="00044CEF" w:rsidRDefault="00000000">
            <w:pPr>
              <w:rPr>
                <w:sz w:val="22"/>
                <w:szCs w:val="22"/>
              </w:rPr>
            </w:pPr>
            <w:r>
              <w:rPr>
                <w:sz w:val="22"/>
                <w:szCs w:val="22"/>
              </w:rPr>
              <w:t>“Residential Energy Efficiency” (</w:t>
            </w:r>
            <w:proofErr w:type="spellStart"/>
            <w:r>
              <w:rPr>
                <w:sz w:val="22"/>
                <w:szCs w:val="22"/>
              </w:rPr>
              <w:t>pg</w:t>
            </w:r>
            <w:proofErr w:type="spellEnd"/>
            <w:r>
              <w:rPr>
                <w:sz w:val="22"/>
                <w:szCs w:val="22"/>
              </w:rPr>
              <w:t xml:space="preserve"> 52-53)</w:t>
            </w:r>
          </w:p>
        </w:tc>
        <w:tc>
          <w:tcPr>
            <w:tcW w:w="4995" w:type="dxa"/>
            <w:shd w:val="clear" w:color="auto" w:fill="auto"/>
            <w:tcMar>
              <w:top w:w="86" w:type="dxa"/>
              <w:left w:w="86" w:type="dxa"/>
              <w:bottom w:w="86" w:type="dxa"/>
              <w:right w:w="86" w:type="dxa"/>
            </w:tcMar>
            <w:vAlign w:val="center"/>
          </w:tcPr>
          <w:p w14:paraId="7F1AAD21" w14:textId="77777777" w:rsidR="00044CEF" w:rsidRDefault="00000000">
            <w:pPr>
              <w:jc w:val="both"/>
              <w:rPr>
                <w:sz w:val="22"/>
                <w:szCs w:val="22"/>
              </w:rPr>
            </w:pPr>
            <w:r>
              <w:rPr>
                <w:sz w:val="22"/>
                <w:szCs w:val="22"/>
              </w:rPr>
              <w:t>Residential energy use was responsible for 29.2% of all GHG emissions and the region.</w:t>
            </w:r>
          </w:p>
        </w:tc>
      </w:tr>
      <w:tr w:rsidR="00044CEF" w14:paraId="5EB8FF93" w14:textId="77777777">
        <w:tc>
          <w:tcPr>
            <w:tcW w:w="885" w:type="dxa"/>
            <w:shd w:val="clear" w:color="auto" w:fill="auto"/>
            <w:tcMar>
              <w:top w:w="86" w:type="dxa"/>
              <w:left w:w="86" w:type="dxa"/>
              <w:bottom w:w="86" w:type="dxa"/>
              <w:right w:w="86" w:type="dxa"/>
            </w:tcMar>
            <w:vAlign w:val="center"/>
          </w:tcPr>
          <w:p w14:paraId="29EDF709" w14:textId="77777777" w:rsidR="00044CEF" w:rsidRDefault="00000000">
            <w:pPr>
              <w:widowControl w:val="0"/>
              <w:rPr>
                <w:sz w:val="22"/>
                <w:szCs w:val="22"/>
              </w:rPr>
            </w:pPr>
            <w:r>
              <w:rPr>
                <w:sz w:val="22"/>
                <w:szCs w:val="22"/>
              </w:rPr>
              <w:t>CANFR PCAP</w:t>
            </w:r>
          </w:p>
        </w:tc>
        <w:tc>
          <w:tcPr>
            <w:tcW w:w="3585" w:type="dxa"/>
            <w:shd w:val="clear" w:color="auto" w:fill="auto"/>
            <w:tcMar>
              <w:top w:w="86" w:type="dxa"/>
              <w:left w:w="86" w:type="dxa"/>
              <w:bottom w:w="86" w:type="dxa"/>
              <w:right w:w="86" w:type="dxa"/>
            </w:tcMar>
            <w:vAlign w:val="center"/>
          </w:tcPr>
          <w:p w14:paraId="292ACF77" w14:textId="77777777" w:rsidR="00044CEF" w:rsidRDefault="00000000">
            <w:pPr>
              <w:rPr>
                <w:sz w:val="22"/>
                <w:szCs w:val="22"/>
              </w:rPr>
            </w:pPr>
            <w:r>
              <w:rPr>
                <w:sz w:val="22"/>
                <w:szCs w:val="22"/>
              </w:rPr>
              <w:t>“Residential Solar and Energy Efficiency Programs” (</w:t>
            </w:r>
            <w:proofErr w:type="spellStart"/>
            <w:r>
              <w:rPr>
                <w:sz w:val="22"/>
                <w:szCs w:val="22"/>
              </w:rPr>
              <w:t>pg</w:t>
            </w:r>
            <w:proofErr w:type="spellEnd"/>
            <w:r>
              <w:rPr>
                <w:sz w:val="22"/>
                <w:szCs w:val="22"/>
              </w:rPr>
              <w:t xml:space="preserve"> 15)</w:t>
            </w:r>
          </w:p>
        </w:tc>
        <w:tc>
          <w:tcPr>
            <w:tcW w:w="4995" w:type="dxa"/>
            <w:shd w:val="clear" w:color="auto" w:fill="auto"/>
            <w:tcMar>
              <w:top w:w="86" w:type="dxa"/>
              <w:left w:w="86" w:type="dxa"/>
              <w:bottom w:w="86" w:type="dxa"/>
              <w:right w:w="86" w:type="dxa"/>
            </w:tcMar>
            <w:vAlign w:val="center"/>
          </w:tcPr>
          <w:p w14:paraId="6A65CEBC" w14:textId="77777777" w:rsidR="00044CEF" w:rsidRDefault="00000000">
            <w:pPr>
              <w:jc w:val="both"/>
              <w:rPr>
                <w:sz w:val="22"/>
                <w:szCs w:val="22"/>
              </w:rPr>
            </w:pPr>
            <w:r>
              <w:rPr>
                <w:sz w:val="22"/>
                <w:szCs w:val="22"/>
              </w:rPr>
              <w:t>Residential buildings are the largest contributors making up 20% of all GHG emissions.</w:t>
            </w:r>
          </w:p>
        </w:tc>
      </w:tr>
      <w:tr w:rsidR="00044CEF" w14:paraId="5CB5E1A3" w14:textId="77777777">
        <w:trPr>
          <w:trHeight w:val="420"/>
        </w:trPr>
        <w:tc>
          <w:tcPr>
            <w:tcW w:w="9465" w:type="dxa"/>
            <w:gridSpan w:val="3"/>
            <w:shd w:val="clear" w:color="auto" w:fill="CFE2F3"/>
            <w:tcMar>
              <w:top w:w="86" w:type="dxa"/>
              <w:left w:w="86" w:type="dxa"/>
              <w:bottom w:w="86" w:type="dxa"/>
              <w:right w:w="86" w:type="dxa"/>
            </w:tcMar>
            <w:vAlign w:val="center"/>
          </w:tcPr>
          <w:p w14:paraId="7A319F36" w14:textId="77777777" w:rsidR="00044CEF" w:rsidRDefault="00000000">
            <w:pPr>
              <w:widowControl w:val="0"/>
              <w:rPr>
                <w:b/>
                <w:sz w:val="22"/>
                <w:szCs w:val="22"/>
              </w:rPr>
            </w:pPr>
            <w:r>
              <w:rPr>
                <w:b/>
                <w:sz w:val="22"/>
                <w:szCs w:val="22"/>
              </w:rPr>
              <w:t xml:space="preserve">GHG Reduction Measure #2: Large-Scale Solar and High-Performing Buildings for Climate &amp; Community Resilience Strategy. </w:t>
            </w:r>
          </w:p>
        </w:tc>
      </w:tr>
      <w:tr w:rsidR="00044CEF" w14:paraId="078269C7" w14:textId="77777777">
        <w:tc>
          <w:tcPr>
            <w:tcW w:w="885" w:type="dxa"/>
            <w:shd w:val="clear" w:color="auto" w:fill="auto"/>
            <w:tcMar>
              <w:top w:w="86" w:type="dxa"/>
              <w:left w:w="86" w:type="dxa"/>
              <w:bottom w:w="86" w:type="dxa"/>
              <w:right w:w="86" w:type="dxa"/>
            </w:tcMar>
            <w:vAlign w:val="center"/>
          </w:tcPr>
          <w:p w14:paraId="489E1031" w14:textId="77777777" w:rsidR="00044CEF" w:rsidRDefault="00000000">
            <w:pPr>
              <w:widowControl w:val="0"/>
              <w:rPr>
                <w:sz w:val="22"/>
                <w:szCs w:val="22"/>
              </w:rPr>
            </w:pPr>
            <w:r>
              <w:rPr>
                <w:sz w:val="22"/>
                <w:szCs w:val="22"/>
              </w:rPr>
              <w:t>ECF PCAP</w:t>
            </w:r>
          </w:p>
        </w:tc>
        <w:tc>
          <w:tcPr>
            <w:tcW w:w="3585" w:type="dxa"/>
            <w:shd w:val="clear" w:color="auto" w:fill="auto"/>
            <w:tcMar>
              <w:top w:w="86" w:type="dxa"/>
              <w:left w:w="86" w:type="dxa"/>
              <w:bottom w:w="86" w:type="dxa"/>
              <w:right w:w="86" w:type="dxa"/>
            </w:tcMar>
            <w:vAlign w:val="center"/>
          </w:tcPr>
          <w:p w14:paraId="72E009CE" w14:textId="77777777" w:rsidR="00044CEF" w:rsidRDefault="00000000">
            <w:pPr>
              <w:widowControl w:val="0"/>
              <w:rPr>
                <w:sz w:val="22"/>
                <w:szCs w:val="22"/>
              </w:rPr>
            </w:pPr>
            <w:r>
              <w:rPr>
                <w:sz w:val="22"/>
                <w:szCs w:val="22"/>
              </w:rPr>
              <w:t>“Commercial/Residential Building Energy Efficiency,” (</w:t>
            </w:r>
            <w:proofErr w:type="spellStart"/>
            <w:r>
              <w:rPr>
                <w:sz w:val="22"/>
                <w:szCs w:val="22"/>
              </w:rPr>
              <w:t>pg</w:t>
            </w:r>
            <w:proofErr w:type="spellEnd"/>
            <w:r>
              <w:rPr>
                <w:sz w:val="22"/>
                <w:szCs w:val="22"/>
              </w:rPr>
              <w:t xml:space="preserve"> 42-45) and</w:t>
            </w:r>
          </w:p>
          <w:p w14:paraId="17E51428" w14:textId="77777777" w:rsidR="00044CEF" w:rsidRDefault="00000000">
            <w:pPr>
              <w:widowControl w:val="0"/>
              <w:rPr>
                <w:sz w:val="22"/>
                <w:szCs w:val="22"/>
              </w:rPr>
            </w:pPr>
            <w:r>
              <w:rPr>
                <w:sz w:val="22"/>
                <w:szCs w:val="22"/>
              </w:rPr>
              <w:t>“Increase Solar Photovoltaic Deployment Measures” (</w:t>
            </w:r>
            <w:proofErr w:type="spellStart"/>
            <w:r>
              <w:rPr>
                <w:sz w:val="22"/>
                <w:szCs w:val="22"/>
              </w:rPr>
              <w:t>pg</w:t>
            </w:r>
            <w:proofErr w:type="spellEnd"/>
            <w:r>
              <w:rPr>
                <w:sz w:val="22"/>
                <w:szCs w:val="22"/>
              </w:rPr>
              <w:t xml:space="preserve"> 45-46)</w:t>
            </w:r>
          </w:p>
        </w:tc>
        <w:tc>
          <w:tcPr>
            <w:tcW w:w="4995" w:type="dxa"/>
            <w:shd w:val="clear" w:color="auto" w:fill="auto"/>
            <w:tcMar>
              <w:top w:w="86" w:type="dxa"/>
              <w:left w:w="86" w:type="dxa"/>
              <w:bottom w:w="86" w:type="dxa"/>
              <w:right w:w="86" w:type="dxa"/>
            </w:tcMar>
            <w:vAlign w:val="center"/>
          </w:tcPr>
          <w:p w14:paraId="4A4300CC" w14:textId="77777777" w:rsidR="00044CEF" w:rsidRDefault="00000000">
            <w:pPr>
              <w:widowControl w:val="0"/>
              <w:rPr>
                <w:sz w:val="22"/>
                <w:szCs w:val="22"/>
              </w:rPr>
            </w:pPr>
            <w:r>
              <w:rPr>
                <w:sz w:val="22"/>
                <w:szCs w:val="22"/>
              </w:rPr>
              <w:t>ECF selected this measure since commercial energy accounted for 22.2% of all GHG emissions in the region.</w:t>
            </w:r>
          </w:p>
        </w:tc>
      </w:tr>
      <w:tr w:rsidR="00044CEF" w14:paraId="76F4C4AE" w14:textId="77777777">
        <w:tc>
          <w:tcPr>
            <w:tcW w:w="885" w:type="dxa"/>
            <w:shd w:val="clear" w:color="auto" w:fill="auto"/>
            <w:tcMar>
              <w:top w:w="86" w:type="dxa"/>
              <w:left w:w="86" w:type="dxa"/>
              <w:bottom w:w="86" w:type="dxa"/>
              <w:right w:w="86" w:type="dxa"/>
            </w:tcMar>
            <w:vAlign w:val="center"/>
          </w:tcPr>
          <w:p w14:paraId="3120BEB3" w14:textId="77777777" w:rsidR="00044CEF" w:rsidRDefault="00000000">
            <w:pPr>
              <w:widowControl w:val="0"/>
              <w:rPr>
                <w:sz w:val="22"/>
                <w:szCs w:val="22"/>
              </w:rPr>
            </w:pPr>
            <w:r>
              <w:rPr>
                <w:sz w:val="22"/>
                <w:szCs w:val="22"/>
              </w:rPr>
              <w:t>CATB PCAP</w:t>
            </w:r>
          </w:p>
        </w:tc>
        <w:tc>
          <w:tcPr>
            <w:tcW w:w="3585" w:type="dxa"/>
            <w:shd w:val="clear" w:color="auto" w:fill="auto"/>
            <w:tcMar>
              <w:top w:w="86" w:type="dxa"/>
              <w:left w:w="86" w:type="dxa"/>
              <w:bottom w:w="86" w:type="dxa"/>
              <w:right w:w="86" w:type="dxa"/>
            </w:tcMar>
            <w:vAlign w:val="center"/>
          </w:tcPr>
          <w:p w14:paraId="5040B6D6" w14:textId="77777777" w:rsidR="00044CEF" w:rsidRDefault="00000000">
            <w:pPr>
              <w:widowControl w:val="0"/>
              <w:rPr>
                <w:sz w:val="22"/>
                <w:szCs w:val="22"/>
              </w:rPr>
            </w:pPr>
            <w:r>
              <w:rPr>
                <w:sz w:val="22"/>
                <w:szCs w:val="22"/>
              </w:rPr>
              <w:t>“Energy Efficiency Program for Fire Stations, Schools, and Community Facilities,” and “Regional Solar Feasibility and Installation and Solar Storage for Public Facilities” (</w:t>
            </w:r>
            <w:proofErr w:type="spellStart"/>
            <w:r>
              <w:rPr>
                <w:sz w:val="22"/>
                <w:szCs w:val="22"/>
              </w:rPr>
              <w:t>pg</w:t>
            </w:r>
            <w:proofErr w:type="spellEnd"/>
            <w:r>
              <w:rPr>
                <w:sz w:val="22"/>
                <w:szCs w:val="22"/>
              </w:rPr>
              <w:t xml:space="preserve"> 31 and Appendix C pages </w:t>
            </w:r>
            <w:proofErr w:type="spellStart"/>
            <w:r>
              <w:rPr>
                <w:sz w:val="22"/>
                <w:szCs w:val="22"/>
              </w:rPr>
              <w:t>i</w:t>
            </w:r>
            <w:proofErr w:type="spellEnd"/>
            <w:r>
              <w:rPr>
                <w:sz w:val="22"/>
                <w:szCs w:val="22"/>
              </w:rPr>
              <w:t>-ii)</w:t>
            </w:r>
          </w:p>
          <w:p w14:paraId="5DB31977" w14:textId="77777777" w:rsidR="00044CEF" w:rsidRDefault="00044CEF">
            <w:pPr>
              <w:widowControl w:val="0"/>
              <w:rPr>
                <w:sz w:val="22"/>
                <w:szCs w:val="22"/>
              </w:rPr>
            </w:pPr>
          </w:p>
        </w:tc>
        <w:tc>
          <w:tcPr>
            <w:tcW w:w="4995" w:type="dxa"/>
            <w:shd w:val="clear" w:color="auto" w:fill="auto"/>
            <w:tcMar>
              <w:top w:w="86" w:type="dxa"/>
              <w:left w:w="86" w:type="dxa"/>
              <w:bottom w:w="86" w:type="dxa"/>
              <w:right w:w="86" w:type="dxa"/>
            </w:tcMar>
            <w:vAlign w:val="center"/>
          </w:tcPr>
          <w:p w14:paraId="3AE4CF62" w14:textId="77777777" w:rsidR="00044CEF" w:rsidRDefault="00000000">
            <w:pPr>
              <w:widowControl w:val="0"/>
              <w:rPr>
                <w:sz w:val="22"/>
                <w:szCs w:val="22"/>
              </w:rPr>
            </w:pPr>
            <w:r>
              <w:rPr>
                <w:sz w:val="22"/>
                <w:szCs w:val="22"/>
              </w:rPr>
              <w:t xml:space="preserve">CATB selected this measure since 18.6% of all GHG emissions are from the commercial energy sector and because stakeholders prioritized these actions.   </w:t>
            </w:r>
          </w:p>
        </w:tc>
      </w:tr>
      <w:tr w:rsidR="00044CEF" w14:paraId="6DB0288A" w14:textId="77777777">
        <w:tc>
          <w:tcPr>
            <w:tcW w:w="885" w:type="dxa"/>
            <w:shd w:val="clear" w:color="auto" w:fill="auto"/>
            <w:tcMar>
              <w:top w:w="86" w:type="dxa"/>
              <w:left w:w="86" w:type="dxa"/>
              <w:bottom w:w="86" w:type="dxa"/>
              <w:right w:w="86" w:type="dxa"/>
            </w:tcMar>
            <w:vAlign w:val="center"/>
          </w:tcPr>
          <w:p w14:paraId="272A3E80" w14:textId="77777777" w:rsidR="00044CEF" w:rsidRDefault="00000000">
            <w:pPr>
              <w:widowControl w:val="0"/>
              <w:rPr>
                <w:sz w:val="22"/>
                <w:szCs w:val="22"/>
              </w:rPr>
            </w:pPr>
            <w:r>
              <w:rPr>
                <w:sz w:val="22"/>
                <w:szCs w:val="22"/>
              </w:rPr>
              <w:t>CACSM PCAP</w:t>
            </w:r>
          </w:p>
        </w:tc>
        <w:tc>
          <w:tcPr>
            <w:tcW w:w="3585" w:type="dxa"/>
            <w:shd w:val="clear" w:color="auto" w:fill="auto"/>
            <w:tcMar>
              <w:top w:w="86" w:type="dxa"/>
              <w:left w:w="86" w:type="dxa"/>
              <w:bottom w:w="86" w:type="dxa"/>
              <w:right w:w="86" w:type="dxa"/>
            </w:tcMar>
            <w:vAlign w:val="center"/>
          </w:tcPr>
          <w:p w14:paraId="1AAC6E92" w14:textId="77777777" w:rsidR="00044CEF" w:rsidRDefault="00000000">
            <w:pPr>
              <w:widowControl w:val="0"/>
              <w:rPr>
                <w:sz w:val="22"/>
                <w:szCs w:val="22"/>
              </w:rPr>
            </w:pPr>
            <w:r>
              <w:rPr>
                <w:sz w:val="22"/>
                <w:szCs w:val="22"/>
              </w:rPr>
              <w:t>“Facilities Energy Efficiency,” (</w:t>
            </w:r>
            <w:proofErr w:type="spellStart"/>
            <w:r>
              <w:rPr>
                <w:sz w:val="22"/>
                <w:szCs w:val="22"/>
              </w:rPr>
              <w:t>pg</w:t>
            </w:r>
            <w:proofErr w:type="spellEnd"/>
            <w:r>
              <w:rPr>
                <w:sz w:val="22"/>
                <w:szCs w:val="22"/>
              </w:rPr>
              <w:t xml:space="preserve"> 59) and “Facilities Renewable Energy” (</w:t>
            </w:r>
            <w:proofErr w:type="spellStart"/>
            <w:r>
              <w:rPr>
                <w:sz w:val="22"/>
                <w:szCs w:val="22"/>
              </w:rPr>
              <w:t>pg</w:t>
            </w:r>
            <w:proofErr w:type="spellEnd"/>
            <w:r>
              <w:rPr>
                <w:sz w:val="22"/>
                <w:szCs w:val="22"/>
              </w:rPr>
              <w:t xml:space="preserve"> 58)</w:t>
            </w:r>
          </w:p>
        </w:tc>
        <w:tc>
          <w:tcPr>
            <w:tcW w:w="4995" w:type="dxa"/>
            <w:shd w:val="clear" w:color="auto" w:fill="auto"/>
            <w:tcMar>
              <w:top w:w="86" w:type="dxa"/>
              <w:left w:w="86" w:type="dxa"/>
              <w:bottom w:w="86" w:type="dxa"/>
              <w:right w:w="86" w:type="dxa"/>
            </w:tcMar>
            <w:vAlign w:val="center"/>
          </w:tcPr>
          <w:p w14:paraId="641AA81C" w14:textId="77777777" w:rsidR="00044CEF" w:rsidRDefault="00000000">
            <w:pPr>
              <w:widowControl w:val="0"/>
              <w:rPr>
                <w:sz w:val="22"/>
                <w:szCs w:val="22"/>
              </w:rPr>
            </w:pPr>
            <w:r>
              <w:rPr>
                <w:sz w:val="22"/>
                <w:szCs w:val="22"/>
              </w:rPr>
              <w:t>These measures are intertwined and were selected as a priority since commercial buildings were the third largest producers of GHG emissions and increased energy efficiency combined with renewable energy use can improve the community services throughout the year.</w:t>
            </w:r>
          </w:p>
        </w:tc>
      </w:tr>
      <w:tr w:rsidR="00044CEF" w14:paraId="67285D40" w14:textId="77777777">
        <w:tc>
          <w:tcPr>
            <w:tcW w:w="885" w:type="dxa"/>
            <w:shd w:val="clear" w:color="auto" w:fill="auto"/>
            <w:tcMar>
              <w:top w:w="86" w:type="dxa"/>
              <w:left w:w="86" w:type="dxa"/>
              <w:bottom w:w="86" w:type="dxa"/>
              <w:right w:w="86" w:type="dxa"/>
            </w:tcMar>
            <w:vAlign w:val="center"/>
          </w:tcPr>
          <w:p w14:paraId="1A102554" w14:textId="77777777" w:rsidR="00044CEF" w:rsidRDefault="00000000">
            <w:pPr>
              <w:widowControl w:val="0"/>
              <w:rPr>
                <w:sz w:val="22"/>
                <w:szCs w:val="22"/>
              </w:rPr>
            </w:pPr>
            <w:r>
              <w:rPr>
                <w:sz w:val="22"/>
                <w:szCs w:val="22"/>
              </w:rPr>
              <w:t>CANFR PCAP</w:t>
            </w:r>
          </w:p>
        </w:tc>
        <w:tc>
          <w:tcPr>
            <w:tcW w:w="3585" w:type="dxa"/>
            <w:shd w:val="clear" w:color="auto" w:fill="auto"/>
            <w:tcMar>
              <w:top w:w="86" w:type="dxa"/>
              <w:left w:w="86" w:type="dxa"/>
              <w:bottom w:w="86" w:type="dxa"/>
              <w:right w:w="86" w:type="dxa"/>
            </w:tcMar>
            <w:vAlign w:val="center"/>
          </w:tcPr>
          <w:p w14:paraId="7874D045" w14:textId="77777777" w:rsidR="00044CEF" w:rsidRDefault="00000000">
            <w:pPr>
              <w:widowControl w:val="0"/>
              <w:rPr>
                <w:sz w:val="22"/>
                <w:szCs w:val="22"/>
              </w:rPr>
            </w:pPr>
            <w:r>
              <w:rPr>
                <w:sz w:val="22"/>
                <w:szCs w:val="22"/>
              </w:rPr>
              <w:t>“Municipal Built Environment &amp; Infrastructure Decarbonization” and “Municipal Solar Expansion” (</w:t>
            </w:r>
            <w:proofErr w:type="spellStart"/>
            <w:r>
              <w:rPr>
                <w:sz w:val="22"/>
                <w:szCs w:val="22"/>
              </w:rPr>
              <w:t>pg</w:t>
            </w:r>
            <w:proofErr w:type="spellEnd"/>
            <w:r>
              <w:rPr>
                <w:sz w:val="22"/>
                <w:szCs w:val="22"/>
              </w:rPr>
              <w:t xml:space="preserve"> 8)</w:t>
            </w:r>
          </w:p>
        </w:tc>
        <w:tc>
          <w:tcPr>
            <w:tcW w:w="4995" w:type="dxa"/>
            <w:shd w:val="clear" w:color="auto" w:fill="auto"/>
            <w:tcMar>
              <w:top w:w="86" w:type="dxa"/>
              <w:left w:w="86" w:type="dxa"/>
              <w:bottom w:w="86" w:type="dxa"/>
              <w:right w:w="86" w:type="dxa"/>
            </w:tcMar>
            <w:vAlign w:val="center"/>
          </w:tcPr>
          <w:p w14:paraId="3466CF38" w14:textId="77777777" w:rsidR="00044CEF" w:rsidRDefault="00000000">
            <w:pPr>
              <w:widowControl w:val="0"/>
              <w:rPr>
                <w:sz w:val="22"/>
                <w:szCs w:val="22"/>
              </w:rPr>
            </w:pPr>
            <w:r>
              <w:rPr>
                <w:sz w:val="22"/>
                <w:szCs w:val="22"/>
              </w:rPr>
              <w:t>Commercial GHG emission accounts for 21% of all emissions in the CANFR MSA and the communities in the area expect to see significant population growth, further increasing carbon emissions without decarbonization.</w:t>
            </w:r>
          </w:p>
        </w:tc>
      </w:tr>
    </w:tbl>
    <w:p w14:paraId="128E4C26" w14:textId="77777777" w:rsidR="00044CEF" w:rsidRDefault="00044CEF">
      <w:pPr>
        <w:jc w:val="both"/>
        <w:rPr>
          <w:b/>
          <w:color w:val="4472C4"/>
        </w:rPr>
      </w:pPr>
    </w:p>
    <w:p w14:paraId="780C16DB" w14:textId="77777777" w:rsidR="00044CEF" w:rsidRDefault="00000000">
      <w:pPr>
        <w:jc w:val="both"/>
        <w:rPr>
          <w:b/>
          <w:color w:val="E69243"/>
          <w:sz w:val="22"/>
          <w:szCs w:val="22"/>
        </w:rPr>
      </w:pPr>
      <w:r>
        <w:rPr>
          <w:b/>
          <w:color w:val="E69243"/>
          <w:sz w:val="22"/>
          <w:szCs w:val="22"/>
        </w:rPr>
        <w:t>A.7 Demonstration of Funding</w:t>
      </w:r>
    </w:p>
    <w:p w14:paraId="02D5D396" w14:textId="77777777" w:rsidR="00044CEF" w:rsidRDefault="00000000">
      <w:pPr>
        <w:jc w:val="both"/>
        <w:rPr>
          <w:sz w:val="22"/>
          <w:szCs w:val="22"/>
        </w:rPr>
      </w:pPr>
      <w:r>
        <w:rPr>
          <w:sz w:val="22"/>
          <w:szCs w:val="22"/>
        </w:rPr>
        <w:t xml:space="preserve">The unprecedented partnership between four MSAs covering 40% of Florida’s population is only matched by the scale of the funding needed to reduce GHG emissions throughout the Sunshine State. The formation of the partnership is a unique, historic opportunity created by the Climate Pollution Reduction </w:t>
      </w:r>
      <w:r>
        <w:rPr>
          <w:sz w:val="22"/>
          <w:szCs w:val="22"/>
        </w:rPr>
        <w:lastRenderedPageBreak/>
        <w:t xml:space="preserve">Act. The project intentionally focuses on the largest sector of GHG emissions in Florida, the Building Sector. </w:t>
      </w:r>
    </w:p>
    <w:p w14:paraId="6022D6EA" w14:textId="77777777" w:rsidR="00044CEF" w:rsidRDefault="00044CEF">
      <w:pPr>
        <w:jc w:val="both"/>
        <w:rPr>
          <w:sz w:val="22"/>
          <w:szCs w:val="22"/>
          <w:highlight w:val="white"/>
        </w:rPr>
      </w:pPr>
    </w:p>
    <w:p w14:paraId="339BBC68" w14:textId="77777777" w:rsidR="00044CEF" w:rsidRDefault="00000000">
      <w:pPr>
        <w:jc w:val="both"/>
        <w:rPr>
          <w:sz w:val="22"/>
          <w:szCs w:val="22"/>
          <w:highlight w:val="white"/>
        </w:rPr>
      </w:pPr>
      <w:r>
        <w:rPr>
          <w:sz w:val="22"/>
          <w:szCs w:val="22"/>
          <w:highlight w:val="white"/>
        </w:rPr>
        <w:t>There is no equivalent funding source to reduce GHG in community facilities. While The Nature Conservancy of Florida applied for a $400 million U.S. EPA Solar for All grant, the project focused solely on residential housing. The SSERC Coalition is working closely with The Nature Conservancy to leverage both grant opportunities and integrate workforce programs to maximize benefits to LIDAC residents if awarded. However, the proposed Solar for All project will not reduce GHG emissions in the commercial building sector.</w:t>
      </w:r>
    </w:p>
    <w:p w14:paraId="7897B3C0" w14:textId="77777777" w:rsidR="00044CEF" w:rsidRDefault="00044CEF">
      <w:pPr>
        <w:jc w:val="both"/>
        <w:rPr>
          <w:sz w:val="22"/>
          <w:szCs w:val="22"/>
          <w:highlight w:val="white"/>
        </w:rPr>
      </w:pPr>
    </w:p>
    <w:p w14:paraId="6ED7C203" w14:textId="77777777" w:rsidR="00044CEF" w:rsidRDefault="00000000">
      <w:pPr>
        <w:pBdr>
          <w:top w:val="nil"/>
          <w:left w:val="nil"/>
          <w:bottom w:val="nil"/>
          <w:right w:val="nil"/>
          <w:between w:val="nil"/>
        </w:pBdr>
        <w:jc w:val="both"/>
        <w:rPr>
          <w:color w:val="1B1B1B"/>
          <w:sz w:val="22"/>
          <w:szCs w:val="22"/>
          <w:highlight w:val="white"/>
        </w:rPr>
      </w:pPr>
      <w:r>
        <w:rPr>
          <w:b/>
          <w:color w:val="1B1B1B"/>
          <w:sz w:val="22"/>
          <w:szCs w:val="22"/>
          <w:highlight w:val="white"/>
        </w:rPr>
        <w:t>Other Funding Sources:</w:t>
      </w:r>
      <w:r>
        <w:rPr>
          <w:color w:val="1B1B1B"/>
          <w:sz w:val="22"/>
          <w:szCs w:val="22"/>
          <w:highlight w:val="white"/>
        </w:rPr>
        <w:t xml:space="preserve"> The SSERC has explored other funding sources for the proposed measures. A few are listed below, but none can fund the scope and depth of the proposed project. </w:t>
      </w:r>
    </w:p>
    <w:p w14:paraId="663AD144" w14:textId="77777777" w:rsidR="00044CEF" w:rsidRDefault="00000000">
      <w:pPr>
        <w:numPr>
          <w:ilvl w:val="0"/>
          <w:numId w:val="4"/>
        </w:numPr>
        <w:pBdr>
          <w:top w:val="nil"/>
          <w:left w:val="nil"/>
          <w:bottom w:val="nil"/>
          <w:right w:val="nil"/>
          <w:between w:val="nil"/>
        </w:pBdr>
        <w:ind w:left="360"/>
        <w:jc w:val="both"/>
        <w:rPr>
          <w:sz w:val="22"/>
          <w:szCs w:val="22"/>
        </w:rPr>
      </w:pPr>
      <w:r>
        <w:rPr>
          <w:sz w:val="22"/>
          <w:szCs w:val="22"/>
        </w:rPr>
        <w:t xml:space="preserve">USDOE’s State Energy Program provides funding for energy efficiency projects in each state. </w:t>
      </w:r>
      <w:hyperlink r:id="rId20">
        <w:r>
          <w:rPr>
            <w:color w:val="1155CC"/>
            <w:sz w:val="22"/>
            <w:szCs w:val="22"/>
            <w:u w:val="single"/>
          </w:rPr>
          <w:t xml:space="preserve">Florida’s State Energy Programs </w:t>
        </w:r>
      </w:hyperlink>
      <w:r>
        <w:rPr>
          <w:sz w:val="22"/>
          <w:szCs w:val="22"/>
        </w:rPr>
        <w:t xml:space="preserve">are focused on other sectors and do not provide funding for municipal weatherization and solar deployment programs. </w:t>
      </w:r>
    </w:p>
    <w:p w14:paraId="797B185C" w14:textId="77777777" w:rsidR="00044CEF" w:rsidRDefault="00000000">
      <w:pPr>
        <w:numPr>
          <w:ilvl w:val="0"/>
          <w:numId w:val="4"/>
        </w:numPr>
        <w:pBdr>
          <w:top w:val="nil"/>
          <w:left w:val="nil"/>
          <w:bottom w:val="nil"/>
          <w:right w:val="nil"/>
          <w:between w:val="nil"/>
        </w:pBdr>
        <w:ind w:left="360"/>
        <w:jc w:val="both"/>
        <w:rPr>
          <w:sz w:val="22"/>
          <w:szCs w:val="22"/>
        </w:rPr>
      </w:pPr>
      <w:r>
        <w:rPr>
          <w:sz w:val="22"/>
          <w:szCs w:val="22"/>
          <w:highlight w:val="white"/>
        </w:rPr>
        <w:t xml:space="preserve">USDOE’s </w:t>
      </w:r>
      <w:hyperlink r:id="rId21" w:anchor=":~:text=Funded%20through%20LGEP%2C%20the%20Communities,advance%20community%20identified%20energy%20priorities.">
        <w:r>
          <w:rPr>
            <w:color w:val="1155CC"/>
            <w:sz w:val="22"/>
            <w:szCs w:val="22"/>
            <w:highlight w:val="white"/>
            <w:u w:val="single"/>
          </w:rPr>
          <w:t>Communities Sparking Investments in Transformative Energy program</w:t>
        </w:r>
      </w:hyperlink>
      <w:r>
        <w:rPr>
          <w:sz w:val="22"/>
          <w:szCs w:val="22"/>
          <w:highlight w:val="white"/>
        </w:rPr>
        <w:t xml:space="preserve"> is a new initiative that will provide up to $3,600,000 for local communities to implement clean energy programs. This funding would support only one community project for the SSERC Coalition and is not a sufficient funding source. </w:t>
      </w:r>
    </w:p>
    <w:p w14:paraId="02626887" w14:textId="77777777" w:rsidR="00044CEF" w:rsidRDefault="00000000">
      <w:pPr>
        <w:numPr>
          <w:ilvl w:val="0"/>
          <w:numId w:val="4"/>
        </w:numPr>
        <w:pBdr>
          <w:top w:val="nil"/>
          <w:left w:val="nil"/>
          <w:bottom w:val="nil"/>
          <w:right w:val="nil"/>
          <w:between w:val="nil"/>
        </w:pBdr>
        <w:ind w:left="360"/>
        <w:jc w:val="both"/>
        <w:rPr>
          <w:sz w:val="22"/>
          <w:szCs w:val="22"/>
          <w:highlight w:val="white"/>
        </w:rPr>
      </w:pPr>
      <w:r>
        <w:rPr>
          <w:sz w:val="22"/>
          <w:szCs w:val="22"/>
          <w:highlight w:val="white"/>
        </w:rPr>
        <w:t xml:space="preserve">The </w:t>
      </w:r>
      <w:hyperlink r:id="rId22">
        <w:r>
          <w:rPr>
            <w:color w:val="1155CC"/>
            <w:sz w:val="22"/>
            <w:szCs w:val="22"/>
            <w:highlight w:val="white"/>
            <w:u w:val="single"/>
          </w:rPr>
          <w:t>Energy Futures Grant</w:t>
        </w:r>
      </w:hyperlink>
      <w:r>
        <w:rPr>
          <w:sz w:val="22"/>
          <w:szCs w:val="22"/>
          <w:highlight w:val="white"/>
        </w:rPr>
        <w:t xml:space="preserve"> provides financial and technical help to support innovative, novel, or early action clean energy projects to benefit disadvantaged communities. Implementation funding is limited to $1 million and is not sufficient for the scope of this project. </w:t>
      </w:r>
    </w:p>
    <w:p w14:paraId="1450B420" w14:textId="77777777" w:rsidR="00044CEF" w:rsidRDefault="00000000">
      <w:pPr>
        <w:numPr>
          <w:ilvl w:val="0"/>
          <w:numId w:val="4"/>
        </w:numPr>
        <w:pBdr>
          <w:top w:val="nil"/>
          <w:left w:val="nil"/>
          <w:bottom w:val="nil"/>
          <w:right w:val="nil"/>
          <w:between w:val="nil"/>
        </w:pBdr>
        <w:ind w:left="360"/>
        <w:jc w:val="both"/>
        <w:rPr>
          <w:sz w:val="22"/>
          <w:szCs w:val="22"/>
          <w:highlight w:val="white"/>
        </w:rPr>
      </w:pPr>
      <w:r>
        <w:rPr>
          <w:color w:val="292929"/>
          <w:sz w:val="22"/>
          <w:szCs w:val="22"/>
          <w:highlight w:val="white"/>
        </w:rPr>
        <w:t xml:space="preserve">The </w:t>
      </w:r>
      <w:hyperlink r:id="rId23" w:anchor=":~:text=The%20Energy%20Efficiency%20Revolving%20Loan,energy%20efficiency%20and%20improve%20the">
        <w:r>
          <w:rPr>
            <w:color w:val="1155CC"/>
            <w:sz w:val="22"/>
            <w:szCs w:val="22"/>
            <w:highlight w:val="white"/>
            <w:u w:val="single"/>
          </w:rPr>
          <w:t>Energy Efficiency Revolving Loan Fund Capitalization Grant Program</w:t>
        </w:r>
      </w:hyperlink>
      <w:r>
        <w:rPr>
          <w:color w:val="292929"/>
          <w:sz w:val="22"/>
          <w:szCs w:val="22"/>
          <w:highlight w:val="white"/>
        </w:rPr>
        <w:t xml:space="preserve">: The State of Florida declined to accept this funding. </w:t>
      </w:r>
    </w:p>
    <w:p w14:paraId="771AE220" w14:textId="77777777" w:rsidR="00044CEF" w:rsidRDefault="00044CEF">
      <w:pPr>
        <w:jc w:val="both"/>
        <w:rPr>
          <w:color w:val="292929"/>
          <w:sz w:val="22"/>
          <w:szCs w:val="22"/>
          <w:highlight w:val="white"/>
        </w:rPr>
      </w:pPr>
    </w:p>
    <w:p w14:paraId="5D61E6CD" w14:textId="77777777" w:rsidR="00044CEF" w:rsidRDefault="00000000">
      <w:pPr>
        <w:jc w:val="both"/>
        <w:rPr>
          <w:b/>
          <w:color w:val="292929"/>
          <w:sz w:val="22"/>
          <w:szCs w:val="22"/>
          <w:highlight w:val="white"/>
        </w:rPr>
      </w:pPr>
      <w:r>
        <w:rPr>
          <w:b/>
          <w:color w:val="292929"/>
          <w:sz w:val="22"/>
          <w:szCs w:val="22"/>
          <w:highlight w:val="white"/>
        </w:rPr>
        <w:t xml:space="preserve">Coalition Members have Applied for the Following Grants to Reduce GHG Emissions: </w:t>
      </w:r>
    </w:p>
    <w:p w14:paraId="0FE02602" w14:textId="77777777" w:rsidR="00044CEF" w:rsidRDefault="00000000">
      <w:pPr>
        <w:numPr>
          <w:ilvl w:val="0"/>
          <w:numId w:val="4"/>
        </w:numPr>
        <w:ind w:left="360"/>
        <w:jc w:val="both"/>
        <w:rPr>
          <w:rFonts w:ascii="Arial" w:eastAsia="Arial" w:hAnsi="Arial" w:cs="Arial"/>
          <w:color w:val="3D3A46"/>
          <w:highlight w:val="white"/>
        </w:rPr>
      </w:pPr>
      <w:r>
        <w:rPr>
          <w:sz w:val="22"/>
          <w:szCs w:val="22"/>
        </w:rPr>
        <w:t xml:space="preserve">The </w:t>
      </w:r>
      <w:hyperlink r:id="rId24">
        <w:r>
          <w:rPr>
            <w:color w:val="1155CC"/>
            <w:sz w:val="22"/>
            <w:szCs w:val="22"/>
            <w:u w:val="single"/>
          </w:rPr>
          <w:t>Better Climate Challenge</w:t>
        </w:r>
      </w:hyperlink>
      <w:r>
        <w:rPr>
          <w:color w:val="292929"/>
          <w:sz w:val="22"/>
          <w:szCs w:val="22"/>
        </w:rPr>
        <w:t xml:space="preserve"> encourages </w:t>
      </w:r>
      <w:proofErr w:type="gramStart"/>
      <w:r>
        <w:rPr>
          <w:color w:val="292929"/>
          <w:sz w:val="22"/>
          <w:szCs w:val="22"/>
        </w:rPr>
        <w:t>portfolio-wide</w:t>
      </w:r>
      <w:proofErr w:type="gramEnd"/>
      <w:r>
        <w:rPr>
          <w:color w:val="292929"/>
          <w:sz w:val="22"/>
          <w:szCs w:val="22"/>
        </w:rPr>
        <w:t xml:space="preserve"> GHG emission reduction goals. The City of Orlando was the only community selected in Florida for its</w:t>
      </w:r>
      <w:r>
        <w:rPr>
          <w:color w:val="1B1B1B"/>
          <w:sz w:val="22"/>
          <w:szCs w:val="22"/>
          <w:highlight w:val="white"/>
        </w:rPr>
        <w:t xml:space="preserve"> Green Works Orlando Community &amp; Municipal Action Plans Project. While Orlando reduced 20% of its energy consumption at municipal buildings, the City has a goal for its facilities to be 100% renewable from local resources by 2030, leaving a significant gap for the City of Orlando, which covers jus</w:t>
      </w:r>
      <w:r>
        <w:rPr>
          <w:color w:val="1B1B1B"/>
          <w:sz w:val="22"/>
          <w:szCs w:val="22"/>
        </w:rPr>
        <w:t xml:space="preserve">t 3.7% </w:t>
      </w:r>
      <w:r>
        <w:rPr>
          <w:color w:val="1B1B1B"/>
          <w:sz w:val="22"/>
          <w:szCs w:val="22"/>
          <w:highlight w:val="white"/>
        </w:rPr>
        <w:t xml:space="preserve">of the population represented in this application. </w:t>
      </w:r>
    </w:p>
    <w:p w14:paraId="251EE4E8" w14:textId="77777777" w:rsidR="00044CEF" w:rsidRDefault="00000000">
      <w:pPr>
        <w:numPr>
          <w:ilvl w:val="0"/>
          <w:numId w:val="4"/>
        </w:numPr>
        <w:ind w:left="360"/>
        <w:jc w:val="both"/>
        <w:rPr>
          <w:color w:val="1B1B1B"/>
          <w:sz w:val="22"/>
          <w:szCs w:val="22"/>
          <w:highlight w:val="white"/>
        </w:rPr>
      </w:pPr>
      <w:r>
        <w:rPr>
          <w:sz w:val="22"/>
          <w:szCs w:val="22"/>
          <w:highlight w:val="white"/>
        </w:rPr>
        <w:t>The</w:t>
      </w:r>
      <w:hyperlink r:id="rId25">
        <w:r>
          <w:rPr>
            <w:color w:val="1155CC"/>
            <w:sz w:val="22"/>
            <w:szCs w:val="22"/>
            <w:highlight w:val="white"/>
            <w:u w:val="single"/>
          </w:rPr>
          <w:t xml:space="preserve"> Energy Efficiency and Conservation Block Grant Program</w:t>
        </w:r>
      </w:hyperlink>
      <w:r>
        <w:rPr>
          <w:sz w:val="22"/>
          <w:szCs w:val="22"/>
          <w:highlight w:val="white"/>
        </w:rPr>
        <w:t xml:space="preserve"> </w:t>
      </w:r>
      <w:r>
        <w:rPr>
          <w:color w:val="292929"/>
          <w:sz w:val="22"/>
          <w:szCs w:val="22"/>
          <w:highlight w:val="white"/>
        </w:rPr>
        <w:t xml:space="preserve">is well designed to reduce community facility GHG emissions. However, allocations to each county and municipality in SSERC are well under $1 million, which is not sufficient to carry out the SSERC project. </w:t>
      </w:r>
    </w:p>
    <w:p w14:paraId="2D406B61" w14:textId="77777777" w:rsidR="00044CEF" w:rsidRDefault="00000000">
      <w:pPr>
        <w:numPr>
          <w:ilvl w:val="0"/>
          <w:numId w:val="4"/>
        </w:numPr>
        <w:ind w:left="360"/>
        <w:jc w:val="both"/>
        <w:rPr>
          <w:color w:val="1B1B1B"/>
          <w:sz w:val="22"/>
          <w:szCs w:val="22"/>
          <w:highlight w:val="white"/>
        </w:rPr>
      </w:pPr>
      <w:r>
        <w:rPr>
          <w:color w:val="292929"/>
          <w:sz w:val="22"/>
          <w:szCs w:val="22"/>
          <w:highlight w:val="white"/>
        </w:rPr>
        <w:t>Federal tax credits are an additional source of funding to leverage the SSERC project. The Coalition will explore ways to use tax incentives to increase the project's cost efficiency</w:t>
      </w:r>
      <w:r>
        <w:rPr>
          <w:color w:val="212121"/>
          <w:sz w:val="22"/>
          <w:szCs w:val="22"/>
          <w:highlight w:val="white"/>
        </w:rPr>
        <w:t xml:space="preserve"> as it moves forward. </w:t>
      </w:r>
    </w:p>
    <w:p w14:paraId="1B642C93" w14:textId="77777777" w:rsidR="00044CEF" w:rsidRDefault="00044CEF">
      <w:pPr>
        <w:jc w:val="both"/>
        <w:rPr>
          <w:rFonts w:ascii="Arial" w:eastAsia="Arial" w:hAnsi="Arial" w:cs="Arial"/>
          <w:color w:val="3D3A46"/>
          <w:highlight w:val="white"/>
        </w:rPr>
      </w:pPr>
    </w:p>
    <w:p w14:paraId="6D0ED00D" w14:textId="77777777" w:rsidR="00044CEF" w:rsidRDefault="00000000">
      <w:pPr>
        <w:shd w:val="clear" w:color="auto" w:fill="FFFFFF"/>
        <w:jc w:val="both"/>
        <w:rPr>
          <w:rFonts w:ascii="Times New Roman" w:eastAsia="Times New Roman" w:hAnsi="Times New Roman" w:cs="Times New Roman"/>
        </w:rPr>
      </w:pPr>
      <w:r>
        <w:rPr>
          <w:sz w:val="22"/>
          <w:szCs w:val="22"/>
        </w:rPr>
        <w:t xml:space="preserve">No Coalition member or partner of the SSERC project has received or can pursue funding on the scale needed to implement the four MSA’s projects. These projects can only come to fruition with CPRG Implementation funding. </w:t>
      </w:r>
    </w:p>
    <w:p w14:paraId="6C507BF4" w14:textId="77777777" w:rsidR="00044CEF" w:rsidRDefault="00044CEF">
      <w:pPr>
        <w:pBdr>
          <w:top w:val="nil"/>
          <w:left w:val="nil"/>
          <w:bottom w:val="nil"/>
          <w:right w:val="nil"/>
          <w:between w:val="nil"/>
        </w:pBdr>
        <w:jc w:val="both"/>
        <w:rPr>
          <w:rFonts w:ascii="Times New Roman" w:eastAsia="Times New Roman" w:hAnsi="Times New Roman" w:cs="Times New Roman"/>
          <w:color w:val="000000"/>
        </w:rPr>
      </w:pPr>
    </w:p>
    <w:p w14:paraId="4F289983" w14:textId="77777777" w:rsidR="00C53E84" w:rsidRDefault="00000000" w:rsidP="00C53E84">
      <w:pPr>
        <w:pBdr>
          <w:top w:val="nil"/>
          <w:left w:val="nil"/>
          <w:bottom w:val="nil"/>
          <w:right w:val="nil"/>
          <w:between w:val="nil"/>
        </w:pBdr>
        <w:rPr>
          <w:b/>
          <w:color w:val="E69243"/>
          <w:sz w:val="22"/>
          <w:szCs w:val="22"/>
        </w:rPr>
      </w:pPr>
      <w:r>
        <w:rPr>
          <w:b/>
          <w:color w:val="E69243"/>
          <w:sz w:val="22"/>
          <w:szCs w:val="22"/>
        </w:rPr>
        <w:t>A.8 Transformative Impact</w:t>
      </w:r>
    </w:p>
    <w:p w14:paraId="66B03BCB" w14:textId="7BF02536" w:rsidR="00044CEF" w:rsidRDefault="00000000" w:rsidP="00C53E84">
      <w:pPr>
        <w:pBdr>
          <w:top w:val="nil"/>
          <w:left w:val="nil"/>
          <w:bottom w:val="nil"/>
          <w:right w:val="nil"/>
          <w:between w:val="nil"/>
        </w:pBdr>
        <w:jc w:val="both"/>
        <w:rPr>
          <w:sz w:val="22"/>
          <w:szCs w:val="22"/>
        </w:rPr>
      </w:pPr>
      <w:r>
        <w:rPr>
          <w:b/>
          <w:color w:val="E69243"/>
          <w:sz w:val="22"/>
          <w:szCs w:val="22"/>
        </w:rPr>
        <w:br/>
      </w:r>
      <w:r>
        <w:rPr>
          <w:sz w:val="22"/>
          <w:szCs w:val="22"/>
        </w:rPr>
        <w:t xml:space="preserve">The SSERC Coalition is paving Florida’s path forward on the meaningful reduction of GHG emissions and creating more resilient communities. The SSERC project will reduce the energy used in local government facilities by performing deep energy retrofits in public buildings combined with deploying solar arrays, drastically reducing the energy needed to run these facilities. The project is scalable and meets the needs </w:t>
      </w:r>
      <w:r>
        <w:rPr>
          <w:sz w:val="22"/>
          <w:szCs w:val="22"/>
        </w:rPr>
        <w:lastRenderedPageBreak/>
        <w:t xml:space="preserve">of rural, suburban, and large urban centers in Florida by providing a model to reduce GHG emissions through decarbonization and solar </w:t>
      </w:r>
      <w:r w:rsidR="00C53E84">
        <w:rPr>
          <w:sz w:val="22"/>
          <w:szCs w:val="22"/>
        </w:rPr>
        <w:t>arrays but</w:t>
      </w:r>
      <w:r>
        <w:rPr>
          <w:sz w:val="22"/>
          <w:szCs w:val="22"/>
        </w:rPr>
        <w:t xml:space="preserve"> is not a one-size-fits-all approach. The focus on public and critical facilities that serve LIDAC residents is an innovative way to create more buildings that vulnerable residents rely upon to recover following a natural disaster while reducing GHG emissions. The project also creates a replicable model to deploy Large-Scale Solar in order to reduce GHG emissions and bolster the energy grid, which will serve LIDAC residents who are often the least able to evacuate ahead of a hurricane. Communities throughout the nation can replicate this model to reduce GHG emissions while ensuring the benefit goes to the most vulnerable residents. </w:t>
      </w:r>
    </w:p>
    <w:p w14:paraId="11F2DA34" w14:textId="77777777" w:rsidR="00044CEF" w:rsidRDefault="00044CEF">
      <w:pPr>
        <w:shd w:val="clear" w:color="auto" w:fill="FFFFFF"/>
        <w:rPr>
          <w:sz w:val="22"/>
          <w:szCs w:val="22"/>
        </w:rPr>
      </w:pPr>
    </w:p>
    <w:p w14:paraId="2CA9AF3E" w14:textId="77777777" w:rsidR="00044CEF" w:rsidRDefault="00000000">
      <w:pPr>
        <w:shd w:val="clear" w:color="auto" w:fill="FFFFFF"/>
        <w:jc w:val="both"/>
        <w:rPr>
          <w:sz w:val="22"/>
          <w:szCs w:val="22"/>
        </w:rPr>
      </w:pPr>
      <w:r>
        <w:rPr>
          <w:sz w:val="22"/>
          <w:szCs w:val="22"/>
        </w:rPr>
        <w:t xml:space="preserve">Bringing energy efficiency education and workforce training/hiring to LIDAC residents by enlisting trusted community advocates and holding sessions in community facilities is an innovative approach to community outreach and benefits. Marginalized residents are less able to take advantage of public programs that occur outside of their communities because of transportation, language, and cultural barriers. Working with nonprofits that serve residents and offering multilingual translation and ADA services and wraparound services such as childcare, transportation options, and life skills training in LIDAC communities will ensure the SSERC project's success and can be replicated by any size community. To increase the likelihood of the project being replicated, SSERC Coalition members will be leaders in GHG reductions for Florida and the municipalities around the nation. They will attend local, regional, state, and national conferences to promote the Coalition and share lessons learned. Project leaders will also communicate the benefits of the program through professional publications and their professional networks. </w:t>
      </w:r>
    </w:p>
    <w:p w14:paraId="04B4B9C4" w14:textId="77777777" w:rsidR="00044CEF" w:rsidRDefault="00044CEF">
      <w:pPr>
        <w:pBdr>
          <w:top w:val="nil"/>
          <w:left w:val="nil"/>
          <w:bottom w:val="nil"/>
          <w:right w:val="nil"/>
          <w:between w:val="nil"/>
        </w:pBdr>
        <w:rPr>
          <w:b/>
          <w:color w:val="4472C4"/>
          <w:sz w:val="22"/>
          <w:szCs w:val="22"/>
          <w:u w:val="single"/>
        </w:rPr>
      </w:pPr>
    </w:p>
    <w:p w14:paraId="24473852" w14:textId="3A16B2DD" w:rsidR="00044CEF" w:rsidRDefault="00000000">
      <w:pPr>
        <w:pBdr>
          <w:top w:val="nil"/>
          <w:left w:val="nil"/>
          <w:bottom w:val="nil"/>
          <w:right w:val="nil"/>
          <w:between w:val="nil"/>
        </w:pBdr>
        <w:rPr>
          <w:b/>
          <w:color w:val="185468"/>
          <w:sz w:val="26"/>
          <w:szCs w:val="26"/>
        </w:rPr>
      </w:pPr>
      <w:r>
        <w:rPr>
          <w:b/>
          <w:color w:val="4472C4"/>
          <w:sz w:val="22"/>
          <w:szCs w:val="22"/>
          <w:u w:val="single"/>
        </w:rPr>
        <w:t xml:space="preserve">2. Impact of GHG Reduction Measures  </w:t>
      </w:r>
    </w:p>
    <w:p w14:paraId="5B486A65" w14:textId="77777777" w:rsidR="00044CEF" w:rsidRDefault="00000000">
      <w:pPr>
        <w:pStyle w:val="Heading1"/>
        <w:keepNext w:val="0"/>
        <w:keepLines w:val="0"/>
        <w:rPr>
          <w:smallCaps/>
          <w:color w:val="E69243"/>
          <w:u w:val="none"/>
        </w:rPr>
      </w:pPr>
      <w:r>
        <w:rPr>
          <w:color w:val="E69243"/>
          <w:u w:val="none"/>
        </w:rPr>
        <w:t xml:space="preserve">2.1 Impact and Cost-Effectiveness of GHG Reduction Measure #1: Energy Efficiency Education and Toolkit </w:t>
      </w:r>
    </w:p>
    <w:p w14:paraId="04267EE9" w14:textId="77777777" w:rsidR="00044CEF" w:rsidRDefault="00000000">
      <w:pPr>
        <w:rPr>
          <w:b/>
          <w:sz w:val="22"/>
          <w:szCs w:val="22"/>
        </w:rPr>
      </w:pPr>
      <w:r>
        <w:rPr>
          <w:b/>
          <w:sz w:val="22"/>
          <w:szCs w:val="22"/>
        </w:rPr>
        <w:t>Table 4 — Magnitude of GHG Reductions and Annual Energy Savings for GHG Reduction Measure #1</w:t>
      </w:r>
    </w:p>
    <w:tbl>
      <w:tblPr>
        <w:tblStyle w:val="a2"/>
        <w:tblW w:w="9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185"/>
        <w:gridCol w:w="1020"/>
        <w:gridCol w:w="1020"/>
        <w:gridCol w:w="1230"/>
        <w:gridCol w:w="1215"/>
        <w:gridCol w:w="1260"/>
        <w:gridCol w:w="1260"/>
        <w:gridCol w:w="1290"/>
      </w:tblGrid>
      <w:tr w:rsidR="00044CEF" w14:paraId="52C0958D" w14:textId="77777777">
        <w:trPr>
          <w:jc w:val="center"/>
        </w:trPr>
        <w:tc>
          <w:tcPr>
            <w:tcW w:w="1185" w:type="dxa"/>
            <w:shd w:val="clear" w:color="auto" w:fill="CFE2F3"/>
            <w:tcMar>
              <w:top w:w="86" w:type="dxa"/>
              <w:left w:w="86" w:type="dxa"/>
              <w:bottom w:w="86" w:type="dxa"/>
              <w:right w:w="86" w:type="dxa"/>
            </w:tcMar>
          </w:tcPr>
          <w:p w14:paraId="53DF586E" w14:textId="77777777" w:rsidR="00044CEF" w:rsidRDefault="00044CEF">
            <w:pPr>
              <w:widowControl w:val="0"/>
              <w:rPr>
                <w:b/>
                <w:sz w:val="20"/>
                <w:szCs w:val="20"/>
              </w:rPr>
            </w:pPr>
          </w:p>
        </w:tc>
        <w:tc>
          <w:tcPr>
            <w:tcW w:w="1020" w:type="dxa"/>
            <w:shd w:val="clear" w:color="auto" w:fill="CFE2F3"/>
            <w:tcMar>
              <w:top w:w="86" w:type="dxa"/>
              <w:left w:w="86" w:type="dxa"/>
              <w:bottom w:w="86" w:type="dxa"/>
              <w:right w:w="86" w:type="dxa"/>
            </w:tcMar>
          </w:tcPr>
          <w:p w14:paraId="3A505F1C" w14:textId="77777777" w:rsidR="00044CEF" w:rsidRDefault="00000000">
            <w:pPr>
              <w:widowControl w:val="0"/>
              <w:jc w:val="center"/>
              <w:rPr>
                <w:b/>
                <w:sz w:val="22"/>
                <w:szCs w:val="22"/>
              </w:rPr>
            </w:pPr>
            <w:r>
              <w:rPr>
                <w:b/>
                <w:sz w:val="22"/>
                <w:szCs w:val="22"/>
              </w:rPr>
              <w:t>2025</w:t>
            </w:r>
          </w:p>
        </w:tc>
        <w:tc>
          <w:tcPr>
            <w:tcW w:w="1020" w:type="dxa"/>
            <w:shd w:val="clear" w:color="auto" w:fill="CFE2F3"/>
            <w:tcMar>
              <w:top w:w="86" w:type="dxa"/>
              <w:left w:w="86" w:type="dxa"/>
              <w:bottom w:w="86" w:type="dxa"/>
              <w:right w:w="86" w:type="dxa"/>
            </w:tcMar>
          </w:tcPr>
          <w:p w14:paraId="385D8545" w14:textId="77777777" w:rsidR="00044CEF" w:rsidRDefault="00000000">
            <w:pPr>
              <w:widowControl w:val="0"/>
              <w:jc w:val="center"/>
              <w:rPr>
                <w:b/>
                <w:sz w:val="22"/>
                <w:szCs w:val="22"/>
              </w:rPr>
            </w:pPr>
            <w:r>
              <w:rPr>
                <w:b/>
                <w:sz w:val="22"/>
                <w:szCs w:val="22"/>
              </w:rPr>
              <w:t>2026</w:t>
            </w:r>
          </w:p>
        </w:tc>
        <w:tc>
          <w:tcPr>
            <w:tcW w:w="1230" w:type="dxa"/>
            <w:shd w:val="clear" w:color="auto" w:fill="CFE2F3"/>
            <w:tcMar>
              <w:top w:w="86" w:type="dxa"/>
              <w:left w:w="86" w:type="dxa"/>
              <w:bottom w:w="86" w:type="dxa"/>
              <w:right w:w="86" w:type="dxa"/>
            </w:tcMar>
          </w:tcPr>
          <w:p w14:paraId="76CE8892" w14:textId="77777777" w:rsidR="00044CEF" w:rsidRDefault="00000000">
            <w:pPr>
              <w:widowControl w:val="0"/>
              <w:jc w:val="center"/>
              <w:rPr>
                <w:b/>
                <w:sz w:val="22"/>
                <w:szCs w:val="22"/>
              </w:rPr>
            </w:pPr>
            <w:r>
              <w:rPr>
                <w:b/>
                <w:sz w:val="22"/>
                <w:szCs w:val="22"/>
              </w:rPr>
              <w:t>2027</w:t>
            </w:r>
          </w:p>
        </w:tc>
        <w:tc>
          <w:tcPr>
            <w:tcW w:w="1215" w:type="dxa"/>
            <w:shd w:val="clear" w:color="auto" w:fill="CFE2F3"/>
            <w:tcMar>
              <w:top w:w="86" w:type="dxa"/>
              <w:left w:w="86" w:type="dxa"/>
              <w:bottom w:w="86" w:type="dxa"/>
              <w:right w:w="86" w:type="dxa"/>
            </w:tcMar>
          </w:tcPr>
          <w:p w14:paraId="6C5A4771" w14:textId="77777777" w:rsidR="00044CEF" w:rsidRDefault="00000000">
            <w:pPr>
              <w:widowControl w:val="0"/>
              <w:jc w:val="center"/>
              <w:rPr>
                <w:b/>
                <w:sz w:val="22"/>
                <w:szCs w:val="22"/>
              </w:rPr>
            </w:pPr>
            <w:r>
              <w:rPr>
                <w:b/>
                <w:sz w:val="22"/>
                <w:szCs w:val="22"/>
              </w:rPr>
              <w:t>2028</w:t>
            </w:r>
          </w:p>
        </w:tc>
        <w:tc>
          <w:tcPr>
            <w:tcW w:w="1260" w:type="dxa"/>
            <w:shd w:val="clear" w:color="auto" w:fill="CFE2F3"/>
            <w:tcMar>
              <w:top w:w="86" w:type="dxa"/>
              <w:left w:w="86" w:type="dxa"/>
              <w:bottom w:w="86" w:type="dxa"/>
              <w:right w:w="86" w:type="dxa"/>
            </w:tcMar>
          </w:tcPr>
          <w:p w14:paraId="5E73A45F" w14:textId="77777777" w:rsidR="00044CEF" w:rsidRDefault="00000000">
            <w:pPr>
              <w:widowControl w:val="0"/>
              <w:jc w:val="center"/>
              <w:rPr>
                <w:b/>
                <w:sz w:val="22"/>
                <w:szCs w:val="22"/>
              </w:rPr>
            </w:pPr>
            <w:r>
              <w:rPr>
                <w:b/>
                <w:sz w:val="22"/>
                <w:szCs w:val="22"/>
              </w:rPr>
              <w:t>2029</w:t>
            </w:r>
          </w:p>
        </w:tc>
        <w:tc>
          <w:tcPr>
            <w:tcW w:w="1260" w:type="dxa"/>
            <w:shd w:val="clear" w:color="auto" w:fill="CFE2F3"/>
            <w:tcMar>
              <w:top w:w="86" w:type="dxa"/>
              <w:left w:w="86" w:type="dxa"/>
              <w:bottom w:w="86" w:type="dxa"/>
              <w:right w:w="86" w:type="dxa"/>
            </w:tcMar>
          </w:tcPr>
          <w:p w14:paraId="1575C720" w14:textId="77777777" w:rsidR="00044CEF" w:rsidRDefault="00000000">
            <w:pPr>
              <w:widowControl w:val="0"/>
              <w:jc w:val="center"/>
              <w:rPr>
                <w:b/>
                <w:sz w:val="22"/>
                <w:szCs w:val="22"/>
              </w:rPr>
            </w:pPr>
            <w:r>
              <w:rPr>
                <w:b/>
                <w:sz w:val="22"/>
                <w:szCs w:val="22"/>
              </w:rPr>
              <w:t>2025-2030</w:t>
            </w:r>
          </w:p>
        </w:tc>
        <w:tc>
          <w:tcPr>
            <w:tcW w:w="1290" w:type="dxa"/>
            <w:shd w:val="clear" w:color="auto" w:fill="CFE2F3"/>
            <w:tcMar>
              <w:top w:w="86" w:type="dxa"/>
              <w:left w:w="86" w:type="dxa"/>
              <w:bottom w:w="86" w:type="dxa"/>
              <w:right w:w="86" w:type="dxa"/>
            </w:tcMar>
          </w:tcPr>
          <w:p w14:paraId="6264DEB4" w14:textId="77777777" w:rsidR="00044CEF" w:rsidRDefault="00000000">
            <w:pPr>
              <w:widowControl w:val="0"/>
              <w:jc w:val="center"/>
              <w:rPr>
                <w:b/>
                <w:sz w:val="22"/>
                <w:szCs w:val="22"/>
              </w:rPr>
            </w:pPr>
            <w:r>
              <w:rPr>
                <w:b/>
                <w:sz w:val="22"/>
                <w:szCs w:val="22"/>
              </w:rPr>
              <w:t>2025-2050</w:t>
            </w:r>
          </w:p>
        </w:tc>
      </w:tr>
      <w:tr w:rsidR="00044CEF" w14:paraId="15697A44" w14:textId="77777777">
        <w:trPr>
          <w:jc w:val="center"/>
        </w:trPr>
        <w:tc>
          <w:tcPr>
            <w:tcW w:w="1185" w:type="dxa"/>
            <w:shd w:val="clear" w:color="auto" w:fill="auto"/>
            <w:tcMar>
              <w:top w:w="86" w:type="dxa"/>
              <w:left w:w="86" w:type="dxa"/>
              <w:bottom w:w="86" w:type="dxa"/>
              <w:right w:w="86" w:type="dxa"/>
            </w:tcMar>
          </w:tcPr>
          <w:p w14:paraId="41362D38" w14:textId="77777777" w:rsidR="00044CEF" w:rsidRDefault="00000000">
            <w:pPr>
              <w:widowControl w:val="0"/>
              <w:rPr>
                <w:b/>
                <w:sz w:val="22"/>
                <w:szCs w:val="22"/>
              </w:rPr>
            </w:pPr>
            <w:r>
              <w:rPr>
                <w:b/>
                <w:sz w:val="22"/>
                <w:szCs w:val="22"/>
              </w:rPr>
              <w:t>Annual Energy Savings ($)</w:t>
            </w:r>
          </w:p>
        </w:tc>
        <w:tc>
          <w:tcPr>
            <w:tcW w:w="1020" w:type="dxa"/>
            <w:shd w:val="clear" w:color="auto" w:fill="auto"/>
            <w:tcMar>
              <w:top w:w="86" w:type="dxa"/>
              <w:left w:w="86" w:type="dxa"/>
              <w:bottom w:w="86" w:type="dxa"/>
              <w:right w:w="86" w:type="dxa"/>
            </w:tcMar>
            <w:vAlign w:val="center"/>
          </w:tcPr>
          <w:p w14:paraId="5671A5DE" w14:textId="77777777" w:rsidR="00044CEF" w:rsidRDefault="00000000">
            <w:pPr>
              <w:widowControl w:val="0"/>
              <w:jc w:val="center"/>
              <w:rPr>
                <w:sz w:val="22"/>
                <w:szCs w:val="22"/>
              </w:rPr>
            </w:pPr>
            <w:r>
              <w:rPr>
                <w:sz w:val="22"/>
                <w:szCs w:val="22"/>
              </w:rPr>
              <w:t>621,078</w:t>
            </w:r>
          </w:p>
        </w:tc>
        <w:tc>
          <w:tcPr>
            <w:tcW w:w="1020" w:type="dxa"/>
            <w:shd w:val="clear" w:color="auto" w:fill="auto"/>
            <w:tcMar>
              <w:top w:w="86" w:type="dxa"/>
              <w:left w:w="86" w:type="dxa"/>
              <w:bottom w:w="86" w:type="dxa"/>
              <w:right w:w="86" w:type="dxa"/>
            </w:tcMar>
            <w:vAlign w:val="center"/>
          </w:tcPr>
          <w:p w14:paraId="60F51E66" w14:textId="77777777" w:rsidR="00044CEF" w:rsidRDefault="00000000">
            <w:pPr>
              <w:widowControl w:val="0"/>
              <w:jc w:val="center"/>
              <w:rPr>
                <w:sz w:val="22"/>
                <w:szCs w:val="22"/>
              </w:rPr>
            </w:pPr>
            <w:r>
              <w:rPr>
                <w:sz w:val="22"/>
                <w:szCs w:val="22"/>
              </w:rPr>
              <w:t>821,099</w:t>
            </w:r>
          </w:p>
        </w:tc>
        <w:tc>
          <w:tcPr>
            <w:tcW w:w="1230" w:type="dxa"/>
            <w:shd w:val="clear" w:color="auto" w:fill="auto"/>
            <w:tcMar>
              <w:top w:w="86" w:type="dxa"/>
              <w:left w:w="86" w:type="dxa"/>
              <w:bottom w:w="86" w:type="dxa"/>
              <w:right w:w="86" w:type="dxa"/>
            </w:tcMar>
            <w:vAlign w:val="center"/>
          </w:tcPr>
          <w:p w14:paraId="369C0659" w14:textId="77777777" w:rsidR="00044CEF" w:rsidRDefault="00000000">
            <w:pPr>
              <w:widowControl w:val="0"/>
              <w:jc w:val="center"/>
              <w:rPr>
                <w:sz w:val="22"/>
                <w:szCs w:val="22"/>
              </w:rPr>
            </w:pPr>
            <w:r>
              <w:rPr>
                <w:sz w:val="22"/>
                <w:szCs w:val="22"/>
              </w:rPr>
              <w:t>1,028,666</w:t>
            </w:r>
          </w:p>
        </w:tc>
        <w:tc>
          <w:tcPr>
            <w:tcW w:w="1215" w:type="dxa"/>
            <w:shd w:val="clear" w:color="auto" w:fill="auto"/>
            <w:tcMar>
              <w:top w:w="86" w:type="dxa"/>
              <w:left w:w="86" w:type="dxa"/>
              <w:bottom w:w="86" w:type="dxa"/>
              <w:right w:w="86" w:type="dxa"/>
            </w:tcMar>
            <w:vAlign w:val="center"/>
          </w:tcPr>
          <w:p w14:paraId="1AAC4F43" w14:textId="77777777" w:rsidR="00044CEF" w:rsidRDefault="00000000">
            <w:pPr>
              <w:widowControl w:val="0"/>
              <w:jc w:val="center"/>
              <w:rPr>
                <w:sz w:val="22"/>
                <w:szCs w:val="22"/>
              </w:rPr>
            </w:pPr>
            <w:r>
              <w:rPr>
                <w:sz w:val="22"/>
                <w:szCs w:val="22"/>
              </w:rPr>
              <w:t>1,413,859</w:t>
            </w:r>
          </w:p>
        </w:tc>
        <w:tc>
          <w:tcPr>
            <w:tcW w:w="1260" w:type="dxa"/>
            <w:shd w:val="clear" w:color="auto" w:fill="auto"/>
            <w:tcMar>
              <w:top w:w="86" w:type="dxa"/>
              <w:left w:w="86" w:type="dxa"/>
              <w:bottom w:w="86" w:type="dxa"/>
              <w:right w:w="86" w:type="dxa"/>
            </w:tcMar>
            <w:vAlign w:val="center"/>
          </w:tcPr>
          <w:p w14:paraId="5F698964" w14:textId="77777777" w:rsidR="00044CEF" w:rsidRDefault="00000000">
            <w:pPr>
              <w:widowControl w:val="0"/>
              <w:jc w:val="center"/>
              <w:rPr>
                <w:sz w:val="22"/>
                <w:szCs w:val="22"/>
              </w:rPr>
            </w:pPr>
            <w:r>
              <w:rPr>
                <w:sz w:val="22"/>
                <w:szCs w:val="22"/>
              </w:rPr>
              <w:t>1,467,757</w:t>
            </w:r>
          </w:p>
        </w:tc>
        <w:tc>
          <w:tcPr>
            <w:tcW w:w="1260" w:type="dxa"/>
            <w:shd w:val="clear" w:color="auto" w:fill="auto"/>
            <w:tcMar>
              <w:top w:w="86" w:type="dxa"/>
              <w:left w:w="86" w:type="dxa"/>
              <w:bottom w:w="86" w:type="dxa"/>
              <w:right w:w="86" w:type="dxa"/>
            </w:tcMar>
            <w:vAlign w:val="center"/>
          </w:tcPr>
          <w:p w14:paraId="6EC8A92D" w14:textId="77777777" w:rsidR="00044CEF" w:rsidRDefault="00000000">
            <w:pPr>
              <w:widowControl w:val="0"/>
              <w:jc w:val="center"/>
              <w:rPr>
                <w:sz w:val="22"/>
                <w:szCs w:val="22"/>
              </w:rPr>
            </w:pPr>
            <w:r>
              <w:rPr>
                <w:sz w:val="22"/>
                <w:szCs w:val="22"/>
              </w:rPr>
              <w:t>6,536,975</w:t>
            </w:r>
          </w:p>
        </w:tc>
        <w:tc>
          <w:tcPr>
            <w:tcW w:w="1290" w:type="dxa"/>
            <w:shd w:val="clear" w:color="auto" w:fill="auto"/>
            <w:tcMar>
              <w:top w:w="86" w:type="dxa"/>
              <w:left w:w="86" w:type="dxa"/>
              <w:bottom w:w="86" w:type="dxa"/>
              <w:right w:w="86" w:type="dxa"/>
            </w:tcMar>
            <w:vAlign w:val="center"/>
          </w:tcPr>
          <w:p w14:paraId="230F1A1C" w14:textId="77777777" w:rsidR="00044CEF" w:rsidRDefault="00000000">
            <w:pPr>
              <w:widowControl w:val="0"/>
              <w:jc w:val="center"/>
              <w:rPr>
                <w:sz w:val="22"/>
                <w:szCs w:val="22"/>
              </w:rPr>
            </w:pPr>
            <w:r>
              <w:rPr>
                <w:sz w:val="22"/>
                <w:szCs w:val="22"/>
              </w:rPr>
              <w:t>27,209,415</w:t>
            </w:r>
          </w:p>
        </w:tc>
      </w:tr>
      <w:tr w:rsidR="00044CEF" w14:paraId="4A2C1E43" w14:textId="77777777">
        <w:trPr>
          <w:trHeight w:val="1342"/>
          <w:jc w:val="center"/>
        </w:trPr>
        <w:tc>
          <w:tcPr>
            <w:tcW w:w="1185" w:type="dxa"/>
            <w:shd w:val="clear" w:color="auto" w:fill="auto"/>
            <w:tcMar>
              <w:top w:w="86" w:type="dxa"/>
              <w:left w:w="86" w:type="dxa"/>
              <w:bottom w:w="86" w:type="dxa"/>
              <w:right w:w="86" w:type="dxa"/>
            </w:tcMar>
          </w:tcPr>
          <w:p w14:paraId="0A84513B" w14:textId="77777777" w:rsidR="00044CEF" w:rsidRDefault="00000000">
            <w:pPr>
              <w:widowControl w:val="0"/>
              <w:rPr>
                <w:b/>
                <w:sz w:val="22"/>
                <w:szCs w:val="22"/>
              </w:rPr>
            </w:pPr>
            <w:r>
              <w:rPr>
                <w:b/>
                <w:sz w:val="22"/>
                <w:szCs w:val="22"/>
              </w:rPr>
              <w:t xml:space="preserve">Annual Emissions Reductions (metric tons </w:t>
            </w:r>
            <w:proofErr w:type="spellStart"/>
            <w:r>
              <w:rPr>
                <w:b/>
                <w:sz w:val="22"/>
                <w:szCs w:val="22"/>
              </w:rPr>
              <w:t>CO₂e</w:t>
            </w:r>
            <w:proofErr w:type="spellEnd"/>
            <w:r>
              <w:rPr>
                <w:b/>
                <w:sz w:val="22"/>
                <w:szCs w:val="22"/>
              </w:rPr>
              <w:t>)</w:t>
            </w:r>
          </w:p>
        </w:tc>
        <w:tc>
          <w:tcPr>
            <w:tcW w:w="1020" w:type="dxa"/>
            <w:tcMar>
              <w:top w:w="40" w:type="dxa"/>
              <w:left w:w="40" w:type="dxa"/>
              <w:bottom w:w="40" w:type="dxa"/>
              <w:right w:w="40" w:type="dxa"/>
            </w:tcMar>
            <w:vAlign w:val="center"/>
          </w:tcPr>
          <w:p w14:paraId="112D05B3" w14:textId="77777777" w:rsidR="00044CEF" w:rsidRDefault="00000000">
            <w:pPr>
              <w:widowControl w:val="0"/>
              <w:jc w:val="center"/>
              <w:rPr>
                <w:sz w:val="22"/>
                <w:szCs w:val="22"/>
              </w:rPr>
            </w:pPr>
            <w:r>
              <w:rPr>
                <w:sz w:val="22"/>
                <w:szCs w:val="22"/>
              </w:rPr>
              <w:t>1,560</w:t>
            </w:r>
          </w:p>
        </w:tc>
        <w:tc>
          <w:tcPr>
            <w:tcW w:w="1020" w:type="dxa"/>
            <w:tcMar>
              <w:top w:w="40" w:type="dxa"/>
              <w:left w:w="40" w:type="dxa"/>
              <w:bottom w:w="40" w:type="dxa"/>
              <w:right w:w="40" w:type="dxa"/>
            </w:tcMar>
            <w:vAlign w:val="center"/>
          </w:tcPr>
          <w:p w14:paraId="07405F86" w14:textId="77777777" w:rsidR="00044CEF" w:rsidRDefault="00000000">
            <w:pPr>
              <w:widowControl w:val="0"/>
              <w:jc w:val="center"/>
              <w:rPr>
                <w:sz w:val="22"/>
                <w:szCs w:val="22"/>
              </w:rPr>
            </w:pPr>
            <w:r>
              <w:rPr>
                <w:sz w:val="22"/>
                <w:szCs w:val="22"/>
              </w:rPr>
              <w:t>2,233</w:t>
            </w:r>
          </w:p>
        </w:tc>
        <w:tc>
          <w:tcPr>
            <w:tcW w:w="1230" w:type="dxa"/>
            <w:tcMar>
              <w:top w:w="40" w:type="dxa"/>
              <w:left w:w="40" w:type="dxa"/>
              <w:bottom w:w="40" w:type="dxa"/>
              <w:right w:w="40" w:type="dxa"/>
            </w:tcMar>
            <w:vAlign w:val="center"/>
          </w:tcPr>
          <w:p w14:paraId="4B9D53B2" w14:textId="77777777" w:rsidR="00044CEF" w:rsidRDefault="00000000">
            <w:pPr>
              <w:widowControl w:val="0"/>
              <w:jc w:val="center"/>
              <w:rPr>
                <w:sz w:val="22"/>
                <w:szCs w:val="22"/>
              </w:rPr>
            </w:pPr>
            <w:r>
              <w:rPr>
                <w:sz w:val="22"/>
                <w:szCs w:val="22"/>
              </w:rPr>
              <w:t>2,739</w:t>
            </w:r>
          </w:p>
        </w:tc>
        <w:tc>
          <w:tcPr>
            <w:tcW w:w="1215" w:type="dxa"/>
            <w:tcMar>
              <w:top w:w="40" w:type="dxa"/>
              <w:left w:w="40" w:type="dxa"/>
              <w:bottom w:w="40" w:type="dxa"/>
              <w:right w:w="40" w:type="dxa"/>
            </w:tcMar>
            <w:vAlign w:val="center"/>
          </w:tcPr>
          <w:p w14:paraId="6DA0C075" w14:textId="77777777" w:rsidR="00044CEF" w:rsidRDefault="00000000">
            <w:pPr>
              <w:widowControl w:val="0"/>
              <w:jc w:val="center"/>
              <w:rPr>
                <w:sz w:val="22"/>
                <w:szCs w:val="22"/>
              </w:rPr>
            </w:pPr>
            <w:r>
              <w:rPr>
                <w:sz w:val="22"/>
                <w:szCs w:val="22"/>
              </w:rPr>
              <w:t>2,722</w:t>
            </w:r>
          </w:p>
        </w:tc>
        <w:tc>
          <w:tcPr>
            <w:tcW w:w="1260" w:type="dxa"/>
            <w:tcMar>
              <w:top w:w="40" w:type="dxa"/>
              <w:left w:w="40" w:type="dxa"/>
              <w:bottom w:w="40" w:type="dxa"/>
              <w:right w:w="40" w:type="dxa"/>
            </w:tcMar>
            <w:vAlign w:val="center"/>
          </w:tcPr>
          <w:p w14:paraId="4B043ED1" w14:textId="77777777" w:rsidR="00044CEF" w:rsidRDefault="00000000">
            <w:pPr>
              <w:widowControl w:val="0"/>
              <w:jc w:val="center"/>
              <w:rPr>
                <w:sz w:val="22"/>
                <w:szCs w:val="22"/>
              </w:rPr>
            </w:pPr>
            <w:r>
              <w:rPr>
                <w:sz w:val="22"/>
                <w:szCs w:val="22"/>
              </w:rPr>
              <w:t>3,207</w:t>
            </w:r>
          </w:p>
        </w:tc>
        <w:tc>
          <w:tcPr>
            <w:tcW w:w="1260" w:type="dxa"/>
            <w:tcMar>
              <w:top w:w="40" w:type="dxa"/>
              <w:left w:w="40" w:type="dxa"/>
              <w:bottom w:w="40" w:type="dxa"/>
              <w:right w:w="40" w:type="dxa"/>
            </w:tcMar>
            <w:vAlign w:val="center"/>
          </w:tcPr>
          <w:p w14:paraId="7CEAAA91" w14:textId="77777777" w:rsidR="00044CEF" w:rsidRDefault="00000000">
            <w:pPr>
              <w:widowControl w:val="0"/>
              <w:jc w:val="center"/>
              <w:rPr>
                <w:sz w:val="22"/>
                <w:szCs w:val="22"/>
              </w:rPr>
            </w:pPr>
            <w:r>
              <w:rPr>
                <w:sz w:val="22"/>
                <w:szCs w:val="22"/>
              </w:rPr>
              <w:t>10,296</w:t>
            </w:r>
          </w:p>
        </w:tc>
        <w:tc>
          <w:tcPr>
            <w:tcW w:w="1290" w:type="dxa"/>
            <w:tcMar>
              <w:top w:w="40" w:type="dxa"/>
              <w:left w:w="40" w:type="dxa"/>
              <w:bottom w:w="40" w:type="dxa"/>
              <w:right w:w="40" w:type="dxa"/>
            </w:tcMar>
            <w:vAlign w:val="center"/>
          </w:tcPr>
          <w:p w14:paraId="519E8A4A" w14:textId="77777777" w:rsidR="00044CEF" w:rsidRDefault="00000000">
            <w:pPr>
              <w:widowControl w:val="0"/>
              <w:jc w:val="center"/>
              <w:rPr>
                <w:sz w:val="22"/>
                <w:szCs w:val="22"/>
              </w:rPr>
            </w:pPr>
            <w:r>
              <w:rPr>
                <w:sz w:val="22"/>
                <w:szCs w:val="22"/>
              </w:rPr>
              <w:t>17,484</w:t>
            </w:r>
          </w:p>
        </w:tc>
      </w:tr>
    </w:tbl>
    <w:p w14:paraId="1991C0F7" w14:textId="77777777" w:rsidR="00044CEF" w:rsidRDefault="00000000">
      <w:pPr>
        <w:jc w:val="both"/>
        <w:rPr>
          <w:b/>
          <w:sz w:val="22"/>
          <w:szCs w:val="22"/>
        </w:rPr>
      </w:pPr>
      <w:r>
        <w:rPr>
          <w:sz w:val="22"/>
          <w:szCs w:val="22"/>
        </w:rPr>
        <w:t xml:space="preserve">Please see the Technical Appendix for a detailed explanation of the assumptions underlying these projected impact measures and their longevity.  </w:t>
      </w:r>
    </w:p>
    <w:p w14:paraId="07A4884B" w14:textId="77777777" w:rsidR="00044CEF" w:rsidRDefault="00044CEF">
      <w:pPr>
        <w:rPr>
          <w:b/>
          <w:sz w:val="22"/>
          <w:szCs w:val="22"/>
        </w:rPr>
      </w:pPr>
    </w:p>
    <w:p w14:paraId="4E0D6070" w14:textId="77777777" w:rsidR="00044CEF" w:rsidRDefault="00000000">
      <w:pPr>
        <w:rPr>
          <w:b/>
          <w:sz w:val="22"/>
          <w:szCs w:val="22"/>
        </w:rPr>
      </w:pPr>
      <w:r>
        <w:rPr>
          <w:b/>
          <w:sz w:val="22"/>
          <w:szCs w:val="22"/>
        </w:rPr>
        <w:t>Table 5 — Cost-Effectiveness Summary for GHG Reduction Measure #1</w:t>
      </w:r>
    </w:p>
    <w:tbl>
      <w:tblPr>
        <w:tblStyle w:val="a3"/>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005"/>
        <w:gridCol w:w="2355"/>
      </w:tblGrid>
      <w:tr w:rsidR="00044CEF" w14:paraId="69EFC419" w14:textId="77777777">
        <w:tc>
          <w:tcPr>
            <w:tcW w:w="7005" w:type="dxa"/>
            <w:shd w:val="clear" w:color="auto" w:fill="FFFFFF"/>
            <w:tcMar>
              <w:top w:w="86" w:type="dxa"/>
              <w:left w:w="86" w:type="dxa"/>
              <w:bottom w:w="86" w:type="dxa"/>
              <w:right w:w="86" w:type="dxa"/>
            </w:tcMar>
            <w:vAlign w:val="center"/>
          </w:tcPr>
          <w:p w14:paraId="7239958E" w14:textId="77777777" w:rsidR="00044CEF" w:rsidRDefault="00000000">
            <w:pPr>
              <w:widowControl w:val="0"/>
              <w:pBdr>
                <w:top w:val="nil"/>
                <w:left w:val="nil"/>
                <w:bottom w:val="nil"/>
                <w:right w:val="nil"/>
                <w:between w:val="nil"/>
              </w:pBdr>
              <w:rPr>
                <w:b/>
                <w:sz w:val="22"/>
                <w:szCs w:val="22"/>
              </w:rPr>
            </w:pPr>
            <w:r>
              <w:rPr>
                <w:b/>
                <w:sz w:val="22"/>
                <w:szCs w:val="22"/>
              </w:rPr>
              <w:t>CPRG Request ($)</w:t>
            </w:r>
          </w:p>
        </w:tc>
        <w:tc>
          <w:tcPr>
            <w:tcW w:w="2355" w:type="dxa"/>
            <w:shd w:val="clear" w:color="auto" w:fill="FFFFFF"/>
            <w:tcMar>
              <w:top w:w="86" w:type="dxa"/>
              <w:left w:w="86" w:type="dxa"/>
              <w:bottom w:w="86" w:type="dxa"/>
              <w:right w:w="86" w:type="dxa"/>
            </w:tcMar>
            <w:vAlign w:val="center"/>
          </w:tcPr>
          <w:p w14:paraId="262B65DE" w14:textId="77777777" w:rsidR="00044CEF" w:rsidRDefault="00000000">
            <w:pPr>
              <w:widowControl w:val="0"/>
              <w:pBdr>
                <w:top w:val="nil"/>
                <w:left w:val="nil"/>
                <w:bottom w:val="nil"/>
                <w:right w:val="nil"/>
                <w:between w:val="nil"/>
              </w:pBdr>
              <w:jc w:val="center"/>
              <w:rPr>
                <w:sz w:val="22"/>
                <w:szCs w:val="22"/>
              </w:rPr>
            </w:pPr>
            <w:r>
              <w:rPr>
                <w:sz w:val="22"/>
                <w:szCs w:val="22"/>
              </w:rPr>
              <w:t>$9,190,446</w:t>
            </w:r>
          </w:p>
        </w:tc>
      </w:tr>
      <w:tr w:rsidR="00044CEF" w14:paraId="2CAD5239" w14:textId="77777777">
        <w:tc>
          <w:tcPr>
            <w:tcW w:w="7005" w:type="dxa"/>
            <w:shd w:val="clear" w:color="auto" w:fill="auto"/>
            <w:tcMar>
              <w:top w:w="86" w:type="dxa"/>
              <w:left w:w="86" w:type="dxa"/>
              <w:bottom w:w="86" w:type="dxa"/>
              <w:right w:w="86" w:type="dxa"/>
            </w:tcMar>
            <w:vAlign w:val="center"/>
          </w:tcPr>
          <w:p w14:paraId="2E42D3BE" w14:textId="77777777" w:rsidR="00044CEF" w:rsidRDefault="00000000">
            <w:pPr>
              <w:widowControl w:val="0"/>
              <w:rPr>
                <w:b/>
                <w:sz w:val="22"/>
                <w:szCs w:val="22"/>
              </w:rPr>
            </w:pPr>
            <w:r>
              <w:rPr>
                <w:b/>
                <w:sz w:val="22"/>
                <w:szCs w:val="22"/>
              </w:rPr>
              <w:t>Cumulative GHG Emissions Reduction, 2025-2030 (metric tons CO₂)</w:t>
            </w:r>
          </w:p>
        </w:tc>
        <w:tc>
          <w:tcPr>
            <w:tcW w:w="2355" w:type="dxa"/>
            <w:shd w:val="clear" w:color="auto" w:fill="auto"/>
            <w:tcMar>
              <w:top w:w="86" w:type="dxa"/>
              <w:left w:w="86" w:type="dxa"/>
              <w:bottom w:w="86" w:type="dxa"/>
              <w:right w:w="86" w:type="dxa"/>
            </w:tcMar>
            <w:vAlign w:val="center"/>
          </w:tcPr>
          <w:p w14:paraId="54C1DFA3" w14:textId="77777777" w:rsidR="00044CEF" w:rsidRDefault="00000000">
            <w:pPr>
              <w:widowControl w:val="0"/>
              <w:jc w:val="center"/>
              <w:rPr>
                <w:sz w:val="22"/>
                <w:szCs w:val="22"/>
              </w:rPr>
            </w:pPr>
            <w:proofErr w:type="gramStart"/>
            <w:r>
              <w:rPr>
                <w:sz w:val="22"/>
                <w:szCs w:val="22"/>
              </w:rPr>
              <w:t>10,296 ton</w:t>
            </w:r>
            <w:proofErr w:type="gramEnd"/>
            <w:r>
              <w:rPr>
                <w:sz w:val="22"/>
                <w:szCs w:val="22"/>
              </w:rPr>
              <w:t xml:space="preserve"> CO2e</w:t>
            </w:r>
          </w:p>
        </w:tc>
      </w:tr>
      <w:tr w:rsidR="00044CEF" w14:paraId="3072C3FA" w14:textId="77777777">
        <w:tc>
          <w:tcPr>
            <w:tcW w:w="7005" w:type="dxa"/>
            <w:shd w:val="clear" w:color="auto" w:fill="auto"/>
            <w:tcMar>
              <w:top w:w="86" w:type="dxa"/>
              <w:left w:w="86" w:type="dxa"/>
              <w:bottom w:w="86" w:type="dxa"/>
              <w:right w:w="86" w:type="dxa"/>
            </w:tcMar>
            <w:vAlign w:val="center"/>
          </w:tcPr>
          <w:p w14:paraId="10381EAA" w14:textId="77777777" w:rsidR="00044CEF" w:rsidRDefault="00000000">
            <w:pPr>
              <w:widowControl w:val="0"/>
              <w:rPr>
                <w:b/>
                <w:color w:val="FF0000"/>
                <w:highlight w:val="yellow"/>
              </w:rPr>
            </w:pPr>
            <w:r>
              <w:rPr>
                <w:b/>
                <w:sz w:val="22"/>
                <w:szCs w:val="22"/>
              </w:rPr>
              <w:t xml:space="preserve">Cost-Effectiveness of GHG Reductions ($/metric ton </w:t>
            </w:r>
            <w:proofErr w:type="spellStart"/>
            <w:r>
              <w:rPr>
                <w:b/>
                <w:sz w:val="22"/>
                <w:szCs w:val="22"/>
              </w:rPr>
              <w:t>CO₂e</w:t>
            </w:r>
            <w:proofErr w:type="spellEnd"/>
            <w:r>
              <w:rPr>
                <w:b/>
                <w:sz w:val="22"/>
                <w:szCs w:val="22"/>
              </w:rPr>
              <w:t>)</w:t>
            </w:r>
          </w:p>
        </w:tc>
        <w:tc>
          <w:tcPr>
            <w:tcW w:w="2355" w:type="dxa"/>
            <w:shd w:val="clear" w:color="auto" w:fill="auto"/>
            <w:tcMar>
              <w:top w:w="86" w:type="dxa"/>
              <w:left w:w="86" w:type="dxa"/>
              <w:bottom w:w="86" w:type="dxa"/>
              <w:right w:w="86" w:type="dxa"/>
            </w:tcMar>
            <w:vAlign w:val="center"/>
          </w:tcPr>
          <w:p w14:paraId="53FD1DF3" w14:textId="77777777" w:rsidR="00044CEF" w:rsidRDefault="00000000">
            <w:pPr>
              <w:widowControl w:val="0"/>
              <w:jc w:val="center"/>
              <w:rPr>
                <w:sz w:val="22"/>
                <w:szCs w:val="22"/>
              </w:rPr>
            </w:pPr>
            <w:r>
              <w:rPr>
                <w:sz w:val="22"/>
                <w:szCs w:val="22"/>
                <w:highlight w:val="white"/>
              </w:rPr>
              <w:t>$892.62 per ton CO2e</w:t>
            </w:r>
          </w:p>
        </w:tc>
      </w:tr>
    </w:tbl>
    <w:p w14:paraId="3DD51959" w14:textId="77777777" w:rsidR="00044CEF" w:rsidRDefault="00044CEF">
      <w:pPr>
        <w:rPr>
          <w:b/>
          <w:color w:val="185468"/>
          <w:sz w:val="26"/>
          <w:szCs w:val="26"/>
        </w:rPr>
      </w:pPr>
    </w:p>
    <w:p w14:paraId="333A48C5" w14:textId="77777777" w:rsidR="00044CEF" w:rsidRDefault="00000000">
      <w:pPr>
        <w:rPr>
          <w:color w:val="E69243"/>
          <w:sz w:val="22"/>
          <w:szCs w:val="22"/>
        </w:rPr>
      </w:pPr>
      <w:r>
        <w:rPr>
          <w:b/>
          <w:color w:val="E69243"/>
          <w:sz w:val="22"/>
          <w:szCs w:val="22"/>
        </w:rPr>
        <w:lastRenderedPageBreak/>
        <w:t xml:space="preserve">2.2 Impact and Cost-Effectiveness of </w:t>
      </w:r>
      <w:proofErr w:type="spellStart"/>
      <w:r>
        <w:rPr>
          <w:b/>
          <w:color w:val="E69243"/>
          <w:sz w:val="22"/>
          <w:szCs w:val="22"/>
        </w:rPr>
        <w:t>of</w:t>
      </w:r>
      <w:proofErr w:type="spellEnd"/>
      <w:r>
        <w:rPr>
          <w:b/>
          <w:color w:val="E69243"/>
          <w:sz w:val="22"/>
          <w:szCs w:val="22"/>
        </w:rPr>
        <w:t xml:space="preserve"> GHG Reduction Measure #2: Large-Scale Solar and High-Performing Buildings for Climate &amp; Community Resilience</w:t>
      </w:r>
    </w:p>
    <w:p w14:paraId="5E067472" w14:textId="77777777" w:rsidR="00044CEF" w:rsidRDefault="00000000">
      <w:pPr>
        <w:rPr>
          <w:b/>
          <w:sz w:val="22"/>
          <w:szCs w:val="22"/>
        </w:rPr>
      </w:pPr>
      <w:r>
        <w:rPr>
          <w:b/>
          <w:sz w:val="22"/>
          <w:szCs w:val="22"/>
        </w:rPr>
        <w:t>Table 6 — Magnitude of GHG Reductions and Annual Energy Savings for GHG Reduction Measure #2</w:t>
      </w:r>
    </w:p>
    <w:tbl>
      <w:tblPr>
        <w:tblStyle w:val="a4"/>
        <w:tblW w:w="9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260"/>
        <w:gridCol w:w="1110"/>
        <w:gridCol w:w="1125"/>
        <w:gridCol w:w="1215"/>
        <w:gridCol w:w="1230"/>
        <w:gridCol w:w="1245"/>
        <w:gridCol w:w="1215"/>
        <w:gridCol w:w="1320"/>
      </w:tblGrid>
      <w:tr w:rsidR="00044CEF" w14:paraId="0EF31E2E" w14:textId="77777777">
        <w:tc>
          <w:tcPr>
            <w:tcW w:w="1260" w:type="dxa"/>
            <w:shd w:val="clear" w:color="auto" w:fill="CFE2F3"/>
            <w:tcMar>
              <w:top w:w="86" w:type="dxa"/>
              <w:left w:w="86" w:type="dxa"/>
              <w:bottom w:w="86" w:type="dxa"/>
              <w:right w:w="86" w:type="dxa"/>
            </w:tcMar>
          </w:tcPr>
          <w:p w14:paraId="38AE332C" w14:textId="77777777" w:rsidR="00044CEF" w:rsidRDefault="00044CEF">
            <w:pPr>
              <w:widowControl w:val="0"/>
              <w:rPr>
                <w:b/>
                <w:sz w:val="20"/>
                <w:szCs w:val="20"/>
              </w:rPr>
            </w:pPr>
          </w:p>
        </w:tc>
        <w:tc>
          <w:tcPr>
            <w:tcW w:w="1110" w:type="dxa"/>
            <w:shd w:val="clear" w:color="auto" w:fill="CFE2F3"/>
            <w:tcMar>
              <w:top w:w="86" w:type="dxa"/>
              <w:left w:w="86" w:type="dxa"/>
              <w:bottom w:w="86" w:type="dxa"/>
              <w:right w:w="86" w:type="dxa"/>
            </w:tcMar>
          </w:tcPr>
          <w:p w14:paraId="0DEDFF32" w14:textId="77777777" w:rsidR="00044CEF" w:rsidRDefault="00000000">
            <w:pPr>
              <w:widowControl w:val="0"/>
              <w:jc w:val="center"/>
              <w:rPr>
                <w:b/>
                <w:sz w:val="22"/>
                <w:szCs w:val="22"/>
              </w:rPr>
            </w:pPr>
            <w:r>
              <w:rPr>
                <w:b/>
                <w:sz w:val="22"/>
                <w:szCs w:val="22"/>
              </w:rPr>
              <w:t>2025</w:t>
            </w:r>
          </w:p>
        </w:tc>
        <w:tc>
          <w:tcPr>
            <w:tcW w:w="1125" w:type="dxa"/>
            <w:shd w:val="clear" w:color="auto" w:fill="CFE2F3"/>
            <w:tcMar>
              <w:top w:w="86" w:type="dxa"/>
              <w:left w:w="86" w:type="dxa"/>
              <w:bottom w:w="86" w:type="dxa"/>
              <w:right w:w="86" w:type="dxa"/>
            </w:tcMar>
          </w:tcPr>
          <w:p w14:paraId="7E63DD54" w14:textId="77777777" w:rsidR="00044CEF" w:rsidRDefault="00000000">
            <w:pPr>
              <w:widowControl w:val="0"/>
              <w:jc w:val="center"/>
              <w:rPr>
                <w:b/>
                <w:sz w:val="22"/>
                <w:szCs w:val="22"/>
              </w:rPr>
            </w:pPr>
            <w:r>
              <w:rPr>
                <w:b/>
                <w:sz w:val="22"/>
                <w:szCs w:val="22"/>
              </w:rPr>
              <w:t>2026</w:t>
            </w:r>
          </w:p>
        </w:tc>
        <w:tc>
          <w:tcPr>
            <w:tcW w:w="1215" w:type="dxa"/>
            <w:shd w:val="clear" w:color="auto" w:fill="CFE2F3"/>
            <w:tcMar>
              <w:top w:w="86" w:type="dxa"/>
              <w:left w:w="86" w:type="dxa"/>
              <w:bottom w:w="86" w:type="dxa"/>
              <w:right w:w="86" w:type="dxa"/>
            </w:tcMar>
          </w:tcPr>
          <w:p w14:paraId="582EDA3F" w14:textId="77777777" w:rsidR="00044CEF" w:rsidRDefault="00000000">
            <w:pPr>
              <w:widowControl w:val="0"/>
              <w:jc w:val="center"/>
              <w:rPr>
                <w:b/>
                <w:sz w:val="22"/>
                <w:szCs w:val="22"/>
              </w:rPr>
            </w:pPr>
            <w:r>
              <w:rPr>
                <w:b/>
                <w:sz w:val="22"/>
                <w:szCs w:val="22"/>
              </w:rPr>
              <w:t>2027</w:t>
            </w:r>
          </w:p>
        </w:tc>
        <w:tc>
          <w:tcPr>
            <w:tcW w:w="1230" w:type="dxa"/>
            <w:shd w:val="clear" w:color="auto" w:fill="CFE2F3"/>
            <w:tcMar>
              <w:top w:w="86" w:type="dxa"/>
              <w:left w:w="86" w:type="dxa"/>
              <w:bottom w:w="86" w:type="dxa"/>
              <w:right w:w="86" w:type="dxa"/>
            </w:tcMar>
          </w:tcPr>
          <w:p w14:paraId="187790F6" w14:textId="77777777" w:rsidR="00044CEF" w:rsidRDefault="00000000">
            <w:pPr>
              <w:widowControl w:val="0"/>
              <w:jc w:val="center"/>
              <w:rPr>
                <w:b/>
                <w:sz w:val="22"/>
                <w:szCs w:val="22"/>
              </w:rPr>
            </w:pPr>
            <w:r>
              <w:rPr>
                <w:b/>
                <w:sz w:val="22"/>
                <w:szCs w:val="22"/>
              </w:rPr>
              <w:t>2028</w:t>
            </w:r>
          </w:p>
        </w:tc>
        <w:tc>
          <w:tcPr>
            <w:tcW w:w="1245" w:type="dxa"/>
            <w:shd w:val="clear" w:color="auto" w:fill="CFE2F3"/>
            <w:tcMar>
              <w:top w:w="86" w:type="dxa"/>
              <w:left w:w="86" w:type="dxa"/>
              <w:bottom w:w="86" w:type="dxa"/>
              <w:right w:w="86" w:type="dxa"/>
            </w:tcMar>
          </w:tcPr>
          <w:p w14:paraId="3E00DA53" w14:textId="77777777" w:rsidR="00044CEF" w:rsidRDefault="00000000">
            <w:pPr>
              <w:widowControl w:val="0"/>
              <w:jc w:val="center"/>
              <w:rPr>
                <w:b/>
                <w:sz w:val="22"/>
                <w:szCs w:val="22"/>
              </w:rPr>
            </w:pPr>
            <w:r>
              <w:rPr>
                <w:b/>
                <w:sz w:val="22"/>
                <w:szCs w:val="22"/>
              </w:rPr>
              <w:t>2029</w:t>
            </w:r>
          </w:p>
        </w:tc>
        <w:tc>
          <w:tcPr>
            <w:tcW w:w="1215" w:type="dxa"/>
            <w:shd w:val="clear" w:color="auto" w:fill="CFE2F3"/>
            <w:tcMar>
              <w:top w:w="86" w:type="dxa"/>
              <w:left w:w="86" w:type="dxa"/>
              <w:bottom w:w="86" w:type="dxa"/>
              <w:right w:w="86" w:type="dxa"/>
            </w:tcMar>
          </w:tcPr>
          <w:p w14:paraId="41C47B64" w14:textId="77777777" w:rsidR="00044CEF" w:rsidRDefault="00000000">
            <w:pPr>
              <w:widowControl w:val="0"/>
              <w:jc w:val="center"/>
              <w:rPr>
                <w:b/>
                <w:sz w:val="22"/>
                <w:szCs w:val="22"/>
              </w:rPr>
            </w:pPr>
            <w:r>
              <w:rPr>
                <w:b/>
                <w:sz w:val="22"/>
                <w:szCs w:val="22"/>
              </w:rPr>
              <w:t>2025-2030</w:t>
            </w:r>
          </w:p>
        </w:tc>
        <w:tc>
          <w:tcPr>
            <w:tcW w:w="1320" w:type="dxa"/>
            <w:shd w:val="clear" w:color="auto" w:fill="CFE2F3"/>
            <w:tcMar>
              <w:top w:w="86" w:type="dxa"/>
              <w:left w:w="86" w:type="dxa"/>
              <w:bottom w:w="86" w:type="dxa"/>
              <w:right w:w="86" w:type="dxa"/>
            </w:tcMar>
          </w:tcPr>
          <w:p w14:paraId="29BE91FB" w14:textId="77777777" w:rsidR="00044CEF" w:rsidRDefault="00000000">
            <w:pPr>
              <w:widowControl w:val="0"/>
              <w:jc w:val="center"/>
              <w:rPr>
                <w:b/>
                <w:sz w:val="22"/>
                <w:szCs w:val="22"/>
              </w:rPr>
            </w:pPr>
            <w:r>
              <w:rPr>
                <w:b/>
                <w:sz w:val="22"/>
                <w:szCs w:val="22"/>
              </w:rPr>
              <w:t>2025-2050</w:t>
            </w:r>
          </w:p>
        </w:tc>
      </w:tr>
      <w:tr w:rsidR="00044CEF" w14:paraId="52042E86" w14:textId="77777777">
        <w:tc>
          <w:tcPr>
            <w:tcW w:w="1260" w:type="dxa"/>
            <w:shd w:val="clear" w:color="auto" w:fill="auto"/>
            <w:tcMar>
              <w:top w:w="86" w:type="dxa"/>
              <w:left w:w="86" w:type="dxa"/>
              <w:bottom w:w="86" w:type="dxa"/>
              <w:right w:w="86" w:type="dxa"/>
            </w:tcMar>
          </w:tcPr>
          <w:p w14:paraId="1FD995F1" w14:textId="77777777" w:rsidR="00044CEF" w:rsidRDefault="00000000">
            <w:pPr>
              <w:widowControl w:val="0"/>
              <w:rPr>
                <w:b/>
                <w:sz w:val="20"/>
                <w:szCs w:val="20"/>
              </w:rPr>
            </w:pPr>
            <w:r>
              <w:rPr>
                <w:b/>
                <w:sz w:val="20"/>
                <w:szCs w:val="20"/>
              </w:rPr>
              <w:t>Annual Solar Energy Savings ($)</w:t>
            </w:r>
          </w:p>
        </w:tc>
        <w:tc>
          <w:tcPr>
            <w:tcW w:w="1110" w:type="dxa"/>
            <w:tcMar>
              <w:top w:w="20" w:type="dxa"/>
              <w:left w:w="20" w:type="dxa"/>
              <w:bottom w:w="100" w:type="dxa"/>
              <w:right w:w="20" w:type="dxa"/>
            </w:tcMar>
            <w:vAlign w:val="center"/>
          </w:tcPr>
          <w:p w14:paraId="795A001C" w14:textId="77777777" w:rsidR="00044CEF" w:rsidRDefault="00000000">
            <w:pPr>
              <w:widowControl w:val="0"/>
              <w:jc w:val="center"/>
              <w:rPr>
                <w:sz w:val="22"/>
                <w:szCs w:val="22"/>
              </w:rPr>
            </w:pPr>
            <w:r>
              <w:rPr>
                <w:sz w:val="22"/>
                <w:szCs w:val="22"/>
              </w:rPr>
              <w:t xml:space="preserve">$2,292,794 </w:t>
            </w:r>
          </w:p>
        </w:tc>
        <w:tc>
          <w:tcPr>
            <w:tcW w:w="1125" w:type="dxa"/>
            <w:tcMar>
              <w:top w:w="20" w:type="dxa"/>
              <w:left w:w="20" w:type="dxa"/>
              <w:bottom w:w="100" w:type="dxa"/>
              <w:right w:w="20" w:type="dxa"/>
            </w:tcMar>
            <w:vAlign w:val="center"/>
          </w:tcPr>
          <w:p w14:paraId="0CC32FE8" w14:textId="77777777" w:rsidR="00044CEF" w:rsidRDefault="00000000">
            <w:pPr>
              <w:widowControl w:val="0"/>
              <w:jc w:val="center"/>
              <w:rPr>
                <w:sz w:val="22"/>
                <w:szCs w:val="22"/>
              </w:rPr>
            </w:pPr>
            <w:r>
              <w:rPr>
                <w:sz w:val="22"/>
                <w:szCs w:val="22"/>
              </w:rPr>
              <w:t xml:space="preserve">$5,279,965 </w:t>
            </w:r>
          </w:p>
        </w:tc>
        <w:tc>
          <w:tcPr>
            <w:tcW w:w="1215" w:type="dxa"/>
            <w:tcMar>
              <w:top w:w="20" w:type="dxa"/>
              <w:left w:w="20" w:type="dxa"/>
              <w:bottom w:w="100" w:type="dxa"/>
              <w:right w:w="20" w:type="dxa"/>
            </w:tcMar>
            <w:vAlign w:val="center"/>
          </w:tcPr>
          <w:p w14:paraId="371182D1" w14:textId="77777777" w:rsidR="00044CEF" w:rsidRDefault="00000000">
            <w:pPr>
              <w:widowControl w:val="0"/>
              <w:jc w:val="center"/>
              <w:rPr>
                <w:sz w:val="22"/>
                <w:szCs w:val="22"/>
              </w:rPr>
            </w:pPr>
            <w:r>
              <w:rPr>
                <w:sz w:val="22"/>
                <w:szCs w:val="22"/>
              </w:rPr>
              <w:t xml:space="preserve">$9,078,607 </w:t>
            </w:r>
          </w:p>
        </w:tc>
        <w:tc>
          <w:tcPr>
            <w:tcW w:w="1230" w:type="dxa"/>
            <w:tcMar>
              <w:top w:w="20" w:type="dxa"/>
              <w:left w:w="20" w:type="dxa"/>
              <w:bottom w:w="100" w:type="dxa"/>
              <w:right w:w="20" w:type="dxa"/>
            </w:tcMar>
            <w:vAlign w:val="center"/>
          </w:tcPr>
          <w:p w14:paraId="35D453DC" w14:textId="77777777" w:rsidR="00044CEF" w:rsidRDefault="00000000">
            <w:pPr>
              <w:widowControl w:val="0"/>
              <w:jc w:val="center"/>
              <w:rPr>
                <w:sz w:val="22"/>
                <w:szCs w:val="22"/>
              </w:rPr>
            </w:pPr>
            <w:r>
              <w:rPr>
                <w:sz w:val="22"/>
                <w:szCs w:val="22"/>
              </w:rPr>
              <w:t xml:space="preserve">$6,759,155 </w:t>
            </w:r>
          </w:p>
        </w:tc>
        <w:tc>
          <w:tcPr>
            <w:tcW w:w="1245" w:type="dxa"/>
            <w:tcMar>
              <w:top w:w="20" w:type="dxa"/>
              <w:left w:w="20" w:type="dxa"/>
              <w:bottom w:w="100" w:type="dxa"/>
              <w:right w:w="20" w:type="dxa"/>
            </w:tcMar>
            <w:vAlign w:val="center"/>
          </w:tcPr>
          <w:p w14:paraId="2DA1E0C9" w14:textId="77777777" w:rsidR="00044CEF" w:rsidRDefault="00000000">
            <w:pPr>
              <w:widowControl w:val="0"/>
              <w:jc w:val="center"/>
              <w:rPr>
                <w:sz w:val="22"/>
                <w:szCs w:val="22"/>
              </w:rPr>
            </w:pPr>
            <w:r>
              <w:rPr>
                <w:sz w:val="22"/>
                <w:szCs w:val="22"/>
              </w:rPr>
              <w:t xml:space="preserve">$17,728,459 </w:t>
            </w:r>
          </w:p>
        </w:tc>
        <w:tc>
          <w:tcPr>
            <w:tcW w:w="1215" w:type="dxa"/>
            <w:tcMar>
              <w:top w:w="20" w:type="dxa"/>
              <w:left w:w="20" w:type="dxa"/>
              <w:bottom w:w="100" w:type="dxa"/>
              <w:right w:w="20" w:type="dxa"/>
            </w:tcMar>
            <w:vAlign w:val="center"/>
          </w:tcPr>
          <w:p w14:paraId="36394BE6" w14:textId="77777777" w:rsidR="00044CEF" w:rsidRDefault="00000000">
            <w:pPr>
              <w:widowControl w:val="0"/>
              <w:jc w:val="center"/>
              <w:rPr>
                <w:sz w:val="22"/>
                <w:szCs w:val="22"/>
              </w:rPr>
            </w:pPr>
            <w:r>
              <w:rPr>
                <w:sz w:val="22"/>
                <w:szCs w:val="22"/>
              </w:rPr>
              <w:t xml:space="preserve">$47,644,928 </w:t>
            </w:r>
          </w:p>
        </w:tc>
        <w:tc>
          <w:tcPr>
            <w:tcW w:w="1320" w:type="dxa"/>
            <w:tcMar>
              <w:top w:w="20" w:type="dxa"/>
              <w:left w:w="20" w:type="dxa"/>
              <w:bottom w:w="100" w:type="dxa"/>
              <w:right w:w="20" w:type="dxa"/>
            </w:tcMar>
            <w:vAlign w:val="center"/>
          </w:tcPr>
          <w:p w14:paraId="4F2177F7" w14:textId="77777777" w:rsidR="00044CEF" w:rsidRDefault="00000000">
            <w:pPr>
              <w:widowControl w:val="0"/>
              <w:jc w:val="center"/>
              <w:rPr>
                <w:sz w:val="22"/>
                <w:szCs w:val="22"/>
              </w:rPr>
            </w:pPr>
            <w:r>
              <w:rPr>
                <w:sz w:val="22"/>
                <w:szCs w:val="22"/>
              </w:rPr>
              <w:t xml:space="preserve">$261,227,778 </w:t>
            </w:r>
          </w:p>
        </w:tc>
      </w:tr>
      <w:tr w:rsidR="00044CEF" w14:paraId="13D98359" w14:textId="77777777">
        <w:tc>
          <w:tcPr>
            <w:tcW w:w="1260" w:type="dxa"/>
            <w:shd w:val="clear" w:color="auto" w:fill="auto"/>
            <w:tcMar>
              <w:top w:w="86" w:type="dxa"/>
              <w:left w:w="86" w:type="dxa"/>
              <w:bottom w:w="86" w:type="dxa"/>
              <w:right w:w="86" w:type="dxa"/>
            </w:tcMar>
          </w:tcPr>
          <w:p w14:paraId="0579A4D3" w14:textId="77777777" w:rsidR="00044CEF" w:rsidRDefault="00000000">
            <w:pPr>
              <w:widowControl w:val="0"/>
              <w:rPr>
                <w:b/>
                <w:sz w:val="20"/>
                <w:szCs w:val="20"/>
              </w:rPr>
            </w:pPr>
            <w:r>
              <w:rPr>
                <w:b/>
                <w:sz w:val="20"/>
                <w:szCs w:val="20"/>
              </w:rPr>
              <w:t>Annual Energy Efficiency Savings ($)</w:t>
            </w:r>
          </w:p>
        </w:tc>
        <w:tc>
          <w:tcPr>
            <w:tcW w:w="1110" w:type="dxa"/>
            <w:tcMar>
              <w:top w:w="40" w:type="dxa"/>
              <w:left w:w="40" w:type="dxa"/>
              <w:bottom w:w="40" w:type="dxa"/>
              <w:right w:w="40" w:type="dxa"/>
            </w:tcMar>
            <w:vAlign w:val="center"/>
          </w:tcPr>
          <w:p w14:paraId="26B4D379" w14:textId="77777777" w:rsidR="00044CEF" w:rsidRDefault="00000000">
            <w:pPr>
              <w:widowControl w:val="0"/>
              <w:jc w:val="center"/>
              <w:rPr>
                <w:sz w:val="22"/>
                <w:szCs w:val="22"/>
              </w:rPr>
            </w:pPr>
            <w:r>
              <w:rPr>
                <w:sz w:val="22"/>
                <w:szCs w:val="22"/>
              </w:rPr>
              <w:t>$1,700,881</w:t>
            </w:r>
          </w:p>
        </w:tc>
        <w:tc>
          <w:tcPr>
            <w:tcW w:w="1125" w:type="dxa"/>
            <w:tcMar>
              <w:top w:w="40" w:type="dxa"/>
              <w:left w:w="40" w:type="dxa"/>
              <w:bottom w:w="40" w:type="dxa"/>
              <w:right w:w="40" w:type="dxa"/>
            </w:tcMar>
            <w:vAlign w:val="center"/>
          </w:tcPr>
          <w:p w14:paraId="022191DE" w14:textId="77777777" w:rsidR="00044CEF" w:rsidRDefault="00000000">
            <w:pPr>
              <w:widowControl w:val="0"/>
              <w:jc w:val="center"/>
              <w:rPr>
                <w:sz w:val="22"/>
                <w:szCs w:val="22"/>
              </w:rPr>
            </w:pPr>
            <w:r>
              <w:rPr>
                <w:sz w:val="22"/>
                <w:szCs w:val="22"/>
              </w:rPr>
              <w:t>$5,91,2548</w:t>
            </w:r>
          </w:p>
        </w:tc>
        <w:tc>
          <w:tcPr>
            <w:tcW w:w="1215" w:type="dxa"/>
            <w:tcMar>
              <w:top w:w="40" w:type="dxa"/>
              <w:left w:w="40" w:type="dxa"/>
              <w:bottom w:w="40" w:type="dxa"/>
              <w:right w:w="40" w:type="dxa"/>
            </w:tcMar>
            <w:vAlign w:val="center"/>
          </w:tcPr>
          <w:p w14:paraId="5CE59B02" w14:textId="77777777" w:rsidR="00044CEF" w:rsidRDefault="00000000">
            <w:pPr>
              <w:widowControl w:val="0"/>
              <w:jc w:val="center"/>
              <w:rPr>
                <w:sz w:val="22"/>
                <w:szCs w:val="22"/>
              </w:rPr>
            </w:pPr>
            <w:r>
              <w:rPr>
                <w:sz w:val="22"/>
                <w:szCs w:val="22"/>
              </w:rPr>
              <w:t>$10,832,742</w:t>
            </w:r>
          </w:p>
        </w:tc>
        <w:tc>
          <w:tcPr>
            <w:tcW w:w="1230" w:type="dxa"/>
            <w:tcMar>
              <w:top w:w="40" w:type="dxa"/>
              <w:left w:w="40" w:type="dxa"/>
              <w:bottom w:w="40" w:type="dxa"/>
              <w:right w:w="40" w:type="dxa"/>
            </w:tcMar>
            <w:vAlign w:val="center"/>
          </w:tcPr>
          <w:p w14:paraId="6F787FC1" w14:textId="77777777" w:rsidR="00044CEF" w:rsidRDefault="00000000">
            <w:pPr>
              <w:widowControl w:val="0"/>
              <w:jc w:val="center"/>
              <w:rPr>
                <w:sz w:val="22"/>
                <w:szCs w:val="22"/>
              </w:rPr>
            </w:pPr>
            <w:r>
              <w:rPr>
                <w:sz w:val="22"/>
                <w:szCs w:val="22"/>
              </w:rPr>
              <w:t>$15,438,953</w:t>
            </w:r>
          </w:p>
        </w:tc>
        <w:tc>
          <w:tcPr>
            <w:tcW w:w="1245" w:type="dxa"/>
            <w:tcMar>
              <w:top w:w="40" w:type="dxa"/>
              <w:left w:w="40" w:type="dxa"/>
              <w:bottom w:w="40" w:type="dxa"/>
              <w:right w:w="40" w:type="dxa"/>
            </w:tcMar>
            <w:vAlign w:val="center"/>
          </w:tcPr>
          <w:p w14:paraId="7CCA12C2" w14:textId="77777777" w:rsidR="00044CEF" w:rsidRDefault="00000000">
            <w:pPr>
              <w:widowControl w:val="0"/>
              <w:jc w:val="center"/>
              <w:rPr>
                <w:sz w:val="22"/>
                <w:szCs w:val="22"/>
              </w:rPr>
            </w:pPr>
            <w:r>
              <w:rPr>
                <w:sz w:val="22"/>
                <w:szCs w:val="22"/>
              </w:rPr>
              <w:t>$19,688,894</w:t>
            </w:r>
          </w:p>
        </w:tc>
        <w:tc>
          <w:tcPr>
            <w:tcW w:w="1215" w:type="dxa"/>
            <w:tcMar>
              <w:top w:w="40" w:type="dxa"/>
              <w:left w:w="40" w:type="dxa"/>
              <w:bottom w:w="40" w:type="dxa"/>
              <w:right w:w="40" w:type="dxa"/>
            </w:tcMar>
            <w:vAlign w:val="center"/>
          </w:tcPr>
          <w:p w14:paraId="6F3EA239" w14:textId="77777777" w:rsidR="00044CEF" w:rsidRDefault="00000000">
            <w:pPr>
              <w:widowControl w:val="0"/>
              <w:jc w:val="center"/>
              <w:rPr>
                <w:sz w:val="22"/>
                <w:szCs w:val="22"/>
              </w:rPr>
            </w:pPr>
            <w:r>
              <w:rPr>
                <w:sz w:val="22"/>
                <w:szCs w:val="22"/>
              </w:rPr>
              <w:t>$55,638,818</w:t>
            </w:r>
          </w:p>
        </w:tc>
        <w:tc>
          <w:tcPr>
            <w:tcW w:w="1320" w:type="dxa"/>
            <w:tcMar>
              <w:top w:w="40" w:type="dxa"/>
              <w:left w:w="40" w:type="dxa"/>
              <w:bottom w:w="40" w:type="dxa"/>
              <w:right w:w="40" w:type="dxa"/>
            </w:tcMar>
            <w:vAlign w:val="center"/>
          </w:tcPr>
          <w:p w14:paraId="50E24763" w14:textId="77777777" w:rsidR="00044CEF" w:rsidRDefault="00000000">
            <w:pPr>
              <w:widowControl w:val="0"/>
              <w:jc w:val="center"/>
              <w:rPr>
                <w:sz w:val="22"/>
                <w:szCs w:val="22"/>
              </w:rPr>
            </w:pPr>
            <w:r>
              <w:rPr>
                <w:sz w:val="22"/>
                <w:szCs w:val="22"/>
              </w:rPr>
              <w:t>$323,059,783</w:t>
            </w:r>
          </w:p>
        </w:tc>
      </w:tr>
      <w:tr w:rsidR="00044CEF" w14:paraId="3E1580D4" w14:textId="77777777">
        <w:trPr>
          <w:trHeight w:val="1055"/>
        </w:trPr>
        <w:tc>
          <w:tcPr>
            <w:tcW w:w="1260" w:type="dxa"/>
            <w:shd w:val="clear" w:color="auto" w:fill="auto"/>
            <w:tcMar>
              <w:top w:w="86" w:type="dxa"/>
              <w:left w:w="86" w:type="dxa"/>
              <w:bottom w:w="86" w:type="dxa"/>
              <w:right w:w="86" w:type="dxa"/>
            </w:tcMar>
          </w:tcPr>
          <w:p w14:paraId="1A90B3C4" w14:textId="77777777" w:rsidR="00044CEF" w:rsidRDefault="00000000">
            <w:pPr>
              <w:widowControl w:val="0"/>
              <w:rPr>
                <w:b/>
                <w:sz w:val="20"/>
                <w:szCs w:val="20"/>
              </w:rPr>
            </w:pPr>
            <w:r>
              <w:rPr>
                <w:b/>
                <w:sz w:val="20"/>
                <w:szCs w:val="20"/>
              </w:rPr>
              <w:t xml:space="preserve">Annual Emissions Reductions (metric tons </w:t>
            </w:r>
            <w:proofErr w:type="spellStart"/>
            <w:r>
              <w:rPr>
                <w:b/>
                <w:sz w:val="20"/>
                <w:szCs w:val="20"/>
              </w:rPr>
              <w:t>CO₂e</w:t>
            </w:r>
            <w:proofErr w:type="spellEnd"/>
            <w:r>
              <w:rPr>
                <w:b/>
                <w:sz w:val="20"/>
                <w:szCs w:val="20"/>
              </w:rPr>
              <w:t>)</w:t>
            </w:r>
          </w:p>
        </w:tc>
        <w:tc>
          <w:tcPr>
            <w:tcW w:w="1110" w:type="dxa"/>
            <w:tcMar>
              <w:top w:w="40" w:type="dxa"/>
              <w:left w:w="40" w:type="dxa"/>
              <w:bottom w:w="40" w:type="dxa"/>
              <w:right w:w="40" w:type="dxa"/>
            </w:tcMar>
            <w:vAlign w:val="center"/>
          </w:tcPr>
          <w:p w14:paraId="3C4D3627" w14:textId="77777777" w:rsidR="00044CEF" w:rsidRDefault="00000000">
            <w:pPr>
              <w:widowControl w:val="0"/>
              <w:jc w:val="center"/>
              <w:rPr>
                <w:sz w:val="22"/>
                <w:szCs w:val="22"/>
              </w:rPr>
            </w:pPr>
            <w:r>
              <w:rPr>
                <w:sz w:val="22"/>
                <w:szCs w:val="22"/>
              </w:rPr>
              <w:t>12,878</w:t>
            </w:r>
          </w:p>
        </w:tc>
        <w:tc>
          <w:tcPr>
            <w:tcW w:w="1125" w:type="dxa"/>
            <w:tcMar>
              <w:top w:w="40" w:type="dxa"/>
              <w:left w:w="40" w:type="dxa"/>
              <w:bottom w:w="40" w:type="dxa"/>
              <w:right w:w="40" w:type="dxa"/>
            </w:tcMar>
            <w:vAlign w:val="center"/>
          </w:tcPr>
          <w:p w14:paraId="792348BC" w14:textId="77777777" w:rsidR="00044CEF" w:rsidRDefault="00000000">
            <w:pPr>
              <w:widowControl w:val="0"/>
              <w:jc w:val="center"/>
              <w:rPr>
                <w:sz w:val="22"/>
                <w:szCs w:val="22"/>
              </w:rPr>
            </w:pPr>
            <w:r>
              <w:rPr>
                <w:sz w:val="22"/>
                <w:szCs w:val="22"/>
              </w:rPr>
              <w:t>31,356</w:t>
            </w:r>
          </w:p>
        </w:tc>
        <w:tc>
          <w:tcPr>
            <w:tcW w:w="1215" w:type="dxa"/>
            <w:tcMar>
              <w:top w:w="40" w:type="dxa"/>
              <w:left w:w="40" w:type="dxa"/>
              <w:bottom w:w="40" w:type="dxa"/>
              <w:right w:w="40" w:type="dxa"/>
            </w:tcMar>
            <w:vAlign w:val="center"/>
          </w:tcPr>
          <w:p w14:paraId="59AA5AF1" w14:textId="77777777" w:rsidR="00044CEF" w:rsidRDefault="00000000">
            <w:pPr>
              <w:widowControl w:val="0"/>
              <w:jc w:val="center"/>
              <w:rPr>
                <w:sz w:val="22"/>
                <w:szCs w:val="22"/>
              </w:rPr>
            </w:pPr>
            <w:r>
              <w:rPr>
                <w:sz w:val="22"/>
                <w:szCs w:val="22"/>
              </w:rPr>
              <w:t>53,974</w:t>
            </w:r>
          </w:p>
        </w:tc>
        <w:tc>
          <w:tcPr>
            <w:tcW w:w="1230" w:type="dxa"/>
            <w:tcMar>
              <w:top w:w="40" w:type="dxa"/>
              <w:left w:w="40" w:type="dxa"/>
              <w:bottom w:w="40" w:type="dxa"/>
              <w:right w:w="40" w:type="dxa"/>
            </w:tcMar>
            <w:vAlign w:val="center"/>
          </w:tcPr>
          <w:p w14:paraId="776FB91F" w14:textId="77777777" w:rsidR="00044CEF" w:rsidRDefault="00000000">
            <w:pPr>
              <w:widowControl w:val="0"/>
              <w:jc w:val="center"/>
              <w:rPr>
                <w:sz w:val="22"/>
                <w:szCs w:val="22"/>
              </w:rPr>
            </w:pPr>
            <w:r>
              <w:rPr>
                <w:sz w:val="22"/>
                <w:szCs w:val="22"/>
              </w:rPr>
              <w:t>271,926</w:t>
            </w:r>
          </w:p>
        </w:tc>
        <w:tc>
          <w:tcPr>
            <w:tcW w:w="1245" w:type="dxa"/>
            <w:tcMar>
              <w:top w:w="40" w:type="dxa"/>
              <w:left w:w="40" w:type="dxa"/>
              <w:bottom w:w="40" w:type="dxa"/>
              <w:right w:w="40" w:type="dxa"/>
            </w:tcMar>
            <w:vAlign w:val="center"/>
          </w:tcPr>
          <w:p w14:paraId="141DD7D8" w14:textId="77777777" w:rsidR="00044CEF" w:rsidRDefault="00000000">
            <w:pPr>
              <w:widowControl w:val="0"/>
              <w:jc w:val="center"/>
              <w:rPr>
                <w:sz w:val="22"/>
                <w:szCs w:val="22"/>
              </w:rPr>
            </w:pPr>
            <w:r>
              <w:rPr>
                <w:sz w:val="22"/>
                <w:szCs w:val="22"/>
              </w:rPr>
              <w:t>87,472</w:t>
            </w:r>
          </w:p>
        </w:tc>
        <w:tc>
          <w:tcPr>
            <w:tcW w:w="1215" w:type="dxa"/>
            <w:tcMar>
              <w:top w:w="40" w:type="dxa"/>
              <w:left w:w="40" w:type="dxa"/>
              <w:bottom w:w="40" w:type="dxa"/>
              <w:right w:w="40" w:type="dxa"/>
            </w:tcMar>
            <w:vAlign w:val="center"/>
          </w:tcPr>
          <w:p w14:paraId="57EE3D6D" w14:textId="77777777" w:rsidR="00044CEF" w:rsidRDefault="00000000">
            <w:pPr>
              <w:widowControl w:val="0"/>
              <w:jc w:val="center"/>
              <w:rPr>
                <w:sz w:val="22"/>
                <w:szCs w:val="22"/>
              </w:rPr>
            </w:pPr>
            <w:r>
              <w:rPr>
                <w:sz w:val="22"/>
                <w:szCs w:val="22"/>
              </w:rPr>
              <w:t>241,623</w:t>
            </w:r>
          </w:p>
        </w:tc>
        <w:tc>
          <w:tcPr>
            <w:tcW w:w="1320" w:type="dxa"/>
            <w:tcMar>
              <w:top w:w="40" w:type="dxa"/>
              <w:left w:w="40" w:type="dxa"/>
              <w:bottom w:w="40" w:type="dxa"/>
              <w:right w:w="40" w:type="dxa"/>
            </w:tcMar>
            <w:vAlign w:val="center"/>
          </w:tcPr>
          <w:p w14:paraId="69B77522" w14:textId="77777777" w:rsidR="00044CEF" w:rsidRDefault="00000000">
            <w:pPr>
              <w:widowControl w:val="0"/>
              <w:jc w:val="center"/>
              <w:rPr>
                <w:sz w:val="22"/>
                <w:szCs w:val="22"/>
              </w:rPr>
            </w:pPr>
            <w:r>
              <w:rPr>
                <w:sz w:val="22"/>
                <w:szCs w:val="22"/>
              </w:rPr>
              <w:t>992,022</w:t>
            </w:r>
          </w:p>
        </w:tc>
      </w:tr>
    </w:tbl>
    <w:p w14:paraId="59FC18EF" w14:textId="77777777" w:rsidR="00044CEF" w:rsidRDefault="00044CEF">
      <w:pPr>
        <w:rPr>
          <w:b/>
          <w:sz w:val="22"/>
          <w:szCs w:val="22"/>
        </w:rPr>
      </w:pPr>
    </w:p>
    <w:p w14:paraId="37557373" w14:textId="77777777" w:rsidR="00044CEF" w:rsidRDefault="00000000">
      <w:pPr>
        <w:rPr>
          <w:b/>
          <w:sz w:val="22"/>
          <w:szCs w:val="22"/>
        </w:rPr>
      </w:pPr>
      <w:r>
        <w:rPr>
          <w:b/>
          <w:sz w:val="22"/>
          <w:szCs w:val="22"/>
        </w:rPr>
        <w:t>Table 7 — Cost-Effectiveness Summary for GHG Reduction Measure #2</w:t>
      </w:r>
    </w:p>
    <w:tbl>
      <w:tblPr>
        <w:tblStyle w:val="a5"/>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855"/>
        <w:gridCol w:w="2505"/>
      </w:tblGrid>
      <w:tr w:rsidR="00044CEF" w14:paraId="4CD12657" w14:textId="77777777">
        <w:tc>
          <w:tcPr>
            <w:tcW w:w="6855" w:type="dxa"/>
            <w:shd w:val="clear" w:color="auto" w:fill="auto"/>
            <w:tcMar>
              <w:top w:w="86" w:type="dxa"/>
              <w:left w:w="86" w:type="dxa"/>
              <w:bottom w:w="86" w:type="dxa"/>
              <w:right w:w="86" w:type="dxa"/>
            </w:tcMar>
            <w:vAlign w:val="center"/>
          </w:tcPr>
          <w:p w14:paraId="643AC875" w14:textId="77777777" w:rsidR="00044CEF" w:rsidRDefault="00000000">
            <w:pPr>
              <w:widowControl w:val="0"/>
              <w:rPr>
                <w:b/>
                <w:sz w:val="22"/>
                <w:szCs w:val="22"/>
              </w:rPr>
            </w:pPr>
            <w:r>
              <w:rPr>
                <w:b/>
                <w:sz w:val="22"/>
                <w:szCs w:val="22"/>
              </w:rPr>
              <w:t>CPRG Request ($)</w:t>
            </w:r>
          </w:p>
        </w:tc>
        <w:tc>
          <w:tcPr>
            <w:tcW w:w="2505" w:type="dxa"/>
            <w:shd w:val="clear" w:color="auto" w:fill="auto"/>
            <w:tcMar>
              <w:top w:w="86" w:type="dxa"/>
              <w:left w:w="86" w:type="dxa"/>
              <w:bottom w:w="86" w:type="dxa"/>
              <w:right w:w="86" w:type="dxa"/>
            </w:tcMar>
            <w:vAlign w:val="center"/>
          </w:tcPr>
          <w:p w14:paraId="3E292DDC" w14:textId="77777777" w:rsidR="00044CEF" w:rsidRDefault="00000000">
            <w:pPr>
              <w:widowControl w:val="0"/>
              <w:jc w:val="center"/>
              <w:rPr>
                <w:b/>
                <w:sz w:val="22"/>
                <w:szCs w:val="22"/>
              </w:rPr>
            </w:pPr>
            <w:r>
              <w:rPr>
                <w:b/>
                <w:sz w:val="22"/>
                <w:szCs w:val="22"/>
              </w:rPr>
              <w:t>$190,809,553</w:t>
            </w:r>
          </w:p>
        </w:tc>
      </w:tr>
      <w:tr w:rsidR="00044CEF" w14:paraId="5FCDED72" w14:textId="77777777">
        <w:tc>
          <w:tcPr>
            <w:tcW w:w="6855" w:type="dxa"/>
            <w:shd w:val="clear" w:color="auto" w:fill="auto"/>
            <w:tcMar>
              <w:top w:w="86" w:type="dxa"/>
              <w:left w:w="86" w:type="dxa"/>
              <w:bottom w:w="86" w:type="dxa"/>
              <w:right w:w="86" w:type="dxa"/>
            </w:tcMar>
            <w:vAlign w:val="center"/>
          </w:tcPr>
          <w:p w14:paraId="0EB8B425" w14:textId="77777777" w:rsidR="00044CEF" w:rsidRDefault="00000000">
            <w:pPr>
              <w:widowControl w:val="0"/>
              <w:rPr>
                <w:b/>
                <w:sz w:val="22"/>
                <w:szCs w:val="22"/>
              </w:rPr>
            </w:pPr>
            <w:r>
              <w:rPr>
                <w:b/>
                <w:sz w:val="22"/>
                <w:szCs w:val="22"/>
              </w:rPr>
              <w:t>Cumulative GHG Emissions Reduction, 2025-2030 (metric tons CO₂)</w:t>
            </w:r>
          </w:p>
        </w:tc>
        <w:tc>
          <w:tcPr>
            <w:tcW w:w="2505" w:type="dxa"/>
            <w:tcMar>
              <w:top w:w="86" w:type="dxa"/>
              <w:left w:w="86" w:type="dxa"/>
              <w:bottom w:w="86" w:type="dxa"/>
              <w:right w:w="86" w:type="dxa"/>
            </w:tcMar>
            <w:vAlign w:val="center"/>
          </w:tcPr>
          <w:p w14:paraId="5EE3AF6E" w14:textId="77777777" w:rsidR="00044CEF" w:rsidRDefault="00000000">
            <w:pPr>
              <w:widowControl w:val="0"/>
              <w:spacing w:line="276" w:lineRule="auto"/>
              <w:jc w:val="center"/>
              <w:rPr>
                <w:b/>
                <w:sz w:val="22"/>
                <w:szCs w:val="22"/>
              </w:rPr>
            </w:pPr>
            <w:proofErr w:type="gramStart"/>
            <w:r>
              <w:rPr>
                <w:b/>
                <w:sz w:val="22"/>
                <w:szCs w:val="22"/>
              </w:rPr>
              <w:t>241,623 ton</w:t>
            </w:r>
            <w:proofErr w:type="gramEnd"/>
            <w:r>
              <w:rPr>
                <w:b/>
                <w:sz w:val="22"/>
                <w:szCs w:val="22"/>
              </w:rPr>
              <w:t xml:space="preserve"> CO2e</w:t>
            </w:r>
          </w:p>
        </w:tc>
      </w:tr>
      <w:tr w:rsidR="00044CEF" w14:paraId="5C855C40" w14:textId="77777777">
        <w:tc>
          <w:tcPr>
            <w:tcW w:w="6855" w:type="dxa"/>
            <w:shd w:val="clear" w:color="auto" w:fill="auto"/>
            <w:tcMar>
              <w:top w:w="86" w:type="dxa"/>
              <w:left w:w="86" w:type="dxa"/>
              <w:bottom w:w="86" w:type="dxa"/>
              <w:right w:w="86" w:type="dxa"/>
            </w:tcMar>
            <w:vAlign w:val="center"/>
          </w:tcPr>
          <w:p w14:paraId="7A1B0A20" w14:textId="77777777" w:rsidR="00044CEF" w:rsidRDefault="00000000">
            <w:pPr>
              <w:widowControl w:val="0"/>
              <w:rPr>
                <w:b/>
                <w:sz w:val="22"/>
                <w:szCs w:val="22"/>
              </w:rPr>
            </w:pPr>
            <w:r>
              <w:rPr>
                <w:b/>
                <w:sz w:val="22"/>
                <w:szCs w:val="22"/>
              </w:rPr>
              <w:t xml:space="preserve">Cost-Effectiveness of GHG Reductions ($/metric ton </w:t>
            </w:r>
            <w:proofErr w:type="spellStart"/>
            <w:r>
              <w:rPr>
                <w:b/>
                <w:sz w:val="22"/>
                <w:szCs w:val="22"/>
              </w:rPr>
              <w:t>CO₂e</w:t>
            </w:r>
            <w:proofErr w:type="spellEnd"/>
            <w:r>
              <w:rPr>
                <w:b/>
                <w:sz w:val="22"/>
                <w:szCs w:val="22"/>
              </w:rPr>
              <w:t>)</w:t>
            </w:r>
          </w:p>
        </w:tc>
        <w:tc>
          <w:tcPr>
            <w:tcW w:w="2505" w:type="dxa"/>
            <w:tcMar>
              <w:top w:w="86" w:type="dxa"/>
              <w:left w:w="86" w:type="dxa"/>
              <w:bottom w:w="86" w:type="dxa"/>
              <w:right w:w="86" w:type="dxa"/>
            </w:tcMar>
            <w:vAlign w:val="center"/>
          </w:tcPr>
          <w:p w14:paraId="7A60540C" w14:textId="77777777" w:rsidR="00044CEF" w:rsidRDefault="00000000">
            <w:pPr>
              <w:widowControl w:val="0"/>
              <w:jc w:val="center"/>
              <w:rPr>
                <w:b/>
                <w:sz w:val="22"/>
                <w:szCs w:val="22"/>
              </w:rPr>
            </w:pPr>
            <w:r>
              <w:rPr>
                <w:b/>
                <w:sz w:val="22"/>
                <w:szCs w:val="22"/>
              </w:rPr>
              <w:t xml:space="preserve">$789.70 </w:t>
            </w:r>
            <w:r>
              <w:rPr>
                <w:b/>
                <w:sz w:val="22"/>
                <w:szCs w:val="22"/>
                <w:highlight w:val="white"/>
              </w:rPr>
              <w:t>per ton CO2e</w:t>
            </w:r>
          </w:p>
        </w:tc>
      </w:tr>
    </w:tbl>
    <w:p w14:paraId="0330E1E3" w14:textId="77777777" w:rsidR="00044CEF" w:rsidRDefault="00044CEF">
      <w:pPr>
        <w:rPr>
          <w:b/>
          <w:sz w:val="22"/>
          <w:szCs w:val="22"/>
        </w:rPr>
      </w:pPr>
    </w:p>
    <w:p w14:paraId="055684C1" w14:textId="77777777" w:rsidR="00044CEF" w:rsidRDefault="00000000">
      <w:pPr>
        <w:jc w:val="both"/>
        <w:rPr>
          <w:sz w:val="22"/>
          <w:szCs w:val="22"/>
        </w:rPr>
      </w:pPr>
      <w:r>
        <w:rPr>
          <w:sz w:val="22"/>
          <w:szCs w:val="22"/>
        </w:rPr>
        <w:t xml:space="preserve">The cost-effectiveness of the </w:t>
      </w:r>
      <w:r>
        <w:rPr>
          <w:b/>
          <w:color w:val="185468"/>
          <w:sz w:val="22"/>
          <w:szCs w:val="22"/>
        </w:rPr>
        <w:t xml:space="preserve">Sunshine State Energy Resilience Coalition </w:t>
      </w:r>
      <w:r>
        <w:rPr>
          <w:sz w:val="22"/>
          <w:szCs w:val="22"/>
        </w:rPr>
        <w:t xml:space="preserve">is foremost its emphasis on improving the quality of life, health outcomes, energy burden, and job opportunities for LIDAC residents.  All </w:t>
      </w:r>
      <w:proofErr w:type="gramStart"/>
      <w:r>
        <w:rPr>
          <w:sz w:val="22"/>
          <w:szCs w:val="22"/>
        </w:rPr>
        <w:t>program  funding</w:t>
      </w:r>
      <w:proofErr w:type="gramEnd"/>
      <w:r>
        <w:rPr>
          <w:sz w:val="22"/>
          <w:szCs w:val="22"/>
        </w:rPr>
        <w:t xml:space="preserve"> for the </w:t>
      </w:r>
      <w:r>
        <w:rPr>
          <w:b/>
          <w:color w:val="185468"/>
          <w:sz w:val="22"/>
          <w:szCs w:val="22"/>
        </w:rPr>
        <w:t>Energy Efficiency Education and Toolkit GHG Reduction Measure #1</w:t>
      </w:r>
      <w:r>
        <w:rPr>
          <w:sz w:val="22"/>
          <w:szCs w:val="22"/>
        </w:rPr>
        <w:t xml:space="preserve"> is focused on energy efficiency education and the tools needed for LIDAC residents to reduce their energy burden. The project will provide $601,100 in </w:t>
      </w:r>
      <w:r>
        <w:rPr>
          <w:b/>
          <w:sz w:val="22"/>
          <w:szCs w:val="22"/>
        </w:rPr>
        <w:t xml:space="preserve">Residential Energy Auditing Toolkits (REA Toolkits) </w:t>
      </w:r>
      <w:r>
        <w:rPr>
          <w:sz w:val="22"/>
          <w:szCs w:val="22"/>
        </w:rPr>
        <w:t xml:space="preserve">that will be loaned out from LIDAC service public spaces and refilled after each use to amplify energy savings.  The program will also distribute $565,255 in </w:t>
      </w:r>
      <w:r>
        <w:rPr>
          <w:b/>
          <w:sz w:val="22"/>
          <w:szCs w:val="22"/>
        </w:rPr>
        <w:t xml:space="preserve">Energy Efficiency Tool Kits (EE Toolkits) </w:t>
      </w:r>
      <w:r>
        <w:rPr>
          <w:sz w:val="22"/>
          <w:szCs w:val="22"/>
        </w:rPr>
        <w:t xml:space="preserve">to attendees of educational </w:t>
      </w:r>
      <w:proofErr w:type="gramStart"/>
      <w:r>
        <w:rPr>
          <w:sz w:val="22"/>
          <w:szCs w:val="22"/>
        </w:rPr>
        <w:t>events  in</w:t>
      </w:r>
      <w:proofErr w:type="gramEnd"/>
      <w:r>
        <w:rPr>
          <w:sz w:val="22"/>
          <w:szCs w:val="22"/>
        </w:rPr>
        <w:t xml:space="preserve"> community facilities that serve LIDAC residents. </w:t>
      </w:r>
    </w:p>
    <w:p w14:paraId="632F97EF" w14:textId="77777777" w:rsidR="00044CEF" w:rsidRDefault="00044CEF">
      <w:pPr>
        <w:jc w:val="both"/>
        <w:rPr>
          <w:sz w:val="22"/>
          <w:szCs w:val="22"/>
        </w:rPr>
      </w:pPr>
    </w:p>
    <w:p w14:paraId="33E4A907" w14:textId="77777777" w:rsidR="00044CEF" w:rsidRDefault="00000000">
      <w:pPr>
        <w:jc w:val="both"/>
        <w:rPr>
          <w:sz w:val="22"/>
          <w:szCs w:val="22"/>
        </w:rPr>
      </w:pPr>
      <w:r>
        <w:rPr>
          <w:sz w:val="22"/>
          <w:szCs w:val="22"/>
        </w:rPr>
        <w:t xml:space="preserve">The </w:t>
      </w:r>
      <w:r>
        <w:rPr>
          <w:b/>
          <w:color w:val="185468"/>
          <w:sz w:val="22"/>
          <w:szCs w:val="22"/>
        </w:rPr>
        <w:t xml:space="preserve">Large-Scale Solar and High-Performing Buildings for Climate &amp; Community Resilience GHG Reduction Measure #2 </w:t>
      </w:r>
      <w:r>
        <w:rPr>
          <w:sz w:val="22"/>
          <w:szCs w:val="22"/>
        </w:rPr>
        <w:t xml:space="preserve">will expand existing solar apprenticeship programs for LIDAC residents, holding training in the very facilities upgraded with CPRG funds.  The project will provide $62,733,852 in funding to retrofit community facilities that serve LIDAC residents and $114,189,165 on solar installations in LIDAC serving facilities and to increase the resilience of the energy grid.  As the energy grid becomes less reliable during natural disasters, energy grid redundancy combined with resiliency hubs will protect LIDAC residents who are the least able to evacuate before a natural disaster, saving lives.  </w:t>
      </w:r>
    </w:p>
    <w:p w14:paraId="66353161" w14:textId="77777777" w:rsidR="00044CEF" w:rsidRDefault="00044CEF">
      <w:pPr>
        <w:rPr>
          <w:color w:val="FF0000"/>
          <w:sz w:val="22"/>
          <w:szCs w:val="22"/>
        </w:rPr>
      </w:pPr>
    </w:p>
    <w:p w14:paraId="21B44D27" w14:textId="77777777" w:rsidR="00044CEF" w:rsidRDefault="00000000">
      <w:pPr>
        <w:jc w:val="both"/>
        <w:rPr>
          <w:sz w:val="22"/>
          <w:szCs w:val="22"/>
        </w:rPr>
      </w:pPr>
      <w:r>
        <w:rPr>
          <w:b/>
          <w:sz w:val="22"/>
          <w:szCs w:val="22"/>
        </w:rPr>
        <w:t xml:space="preserve">Documentation of GHG Reduction Assumptions – </w:t>
      </w:r>
      <w:r>
        <w:rPr>
          <w:sz w:val="22"/>
          <w:szCs w:val="22"/>
        </w:rPr>
        <w:t xml:space="preserve">Please see the Technical Appendix for documentation of GHG reduction assumption. </w:t>
      </w:r>
    </w:p>
    <w:p w14:paraId="1D008EC3" w14:textId="77777777" w:rsidR="00044CEF" w:rsidRDefault="00044CEF">
      <w:pPr>
        <w:rPr>
          <w:color w:val="434343"/>
          <w:sz w:val="22"/>
          <w:szCs w:val="22"/>
        </w:rPr>
      </w:pPr>
    </w:p>
    <w:p w14:paraId="39718E28" w14:textId="77777777" w:rsidR="00044CEF" w:rsidRDefault="00000000">
      <w:pPr>
        <w:rPr>
          <w:b/>
          <w:sz w:val="22"/>
          <w:szCs w:val="22"/>
        </w:rPr>
      </w:pPr>
      <w:r>
        <w:rPr>
          <w:b/>
          <w:color w:val="4472C4"/>
          <w:sz w:val="22"/>
          <w:szCs w:val="22"/>
          <w:u w:val="single"/>
        </w:rPr>
        <w:lastRenderedPageBreak/>
        <w:t>3. Environmental Results – Outputs, Outcomes, and Performance Measures</w:t>
      </w:r>
      <w:r>
        <w:rPr>
          <w:b/>
          <w:color w:val="4472C4"/>
          <w:sz w:val="22"/>
          <w:szCs w:val="22"/>
          <w:u w:val="single"/>
        </w:rPr>
        <w:br/>
      </w:r>
    </w:p>
    <w:p w14:paraId="54675AAA" w14:textId="77777777" w:rsidR="00044CEF" w:rsidRDefault="00000000">
      <w:pPr>
        <w:rPr>
          <w:b/>
          <w:sz w:val="22"/>
          <w:szCs w:val="22"/>
        </w:rPr>
      </w:pPr>
      <w:r>
        <w:rPr>
          <w:b/>
          <w:sz w:val="22"/>
          <w:szCs w:val="22"/>
        </w:rPr>
        <w:t>Table 8 — Expected Outputs and Outcomes</w:t>
      </w:r>
    </w:p>
    <w:tbl>
      <w:tblPr>
        <w:tblStyle w:val="a6"/>
        <w:tblW w:w="93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870"/>
        <w:gridCol w:w="975"/>
        <w:gridCol w:w="885"/>
        <w:gridCol w:w="840"/>
        <w:gridCol w:w="930"/>
        <w:gridCol w:w="945"/>
        <w:gridCol w:w="945"/>
      </w:tblGrid>
      <w:tr w:rsidR="00044CEF" w14:paraId="20CE4158" w14:textId="77777777">
        <w:tc>
          <w:tcPr>
            <w:tcW w:w="3870" w:type="dxa"/>
            <w:shd w:val="clear" w:color="auto" w:fill="9FC5E8"/>
            <w:tcMar>
              <w:top w:w="72" w:type="dxa"/>
              <w:left w:w="72" w:type="dxa"/>
              <w:bottom w:w="72" w:type="dxa"/>
              <w:right w:w="72" w:type="dxa"/>
            </w:tcMar>
          </w:tcPr>
          <w:p w14:paraId="1C0E0633" w14:textId="77777777" w:rsidR="00044CEF" w:rsidRDefault="00044CEF">
            <w:pPr>
              <w:widowControl w:val="0"/>
              <w:rPr>
                <w:sz w:val="22"/>
                <w:szCs w:val="22"/>
              </w:rPr>
            </w:pPr>
          </w:p>
        </w:tc>
        <w:tc>
          <w:tcPr>
            <w:tcW w:w="975" w:type="dxa"/>
            <w:shd w:val="clear" w:color="auto" w:fill="9FC5E8"/>
            <w:tcMar>
              <w:top w:w="72" w:type="dxa"/>
              <w:left w:w="72" w:type="dxa"/>
              <w:bottom w:w="72" w:type="dxa"/>
              <w:right w:w="72" w:type="dxa"/>
            </w:tcMar>
          </w:tcPr>
          <w:p w14:paraId="61108F38" w14:textId="77777777" w:rsidR="00044CEF" w:rsidRDefault="00000000">
            <w:pPr>
              <w:widowControl w:val="0"/>
              <w:jc w:val="center"/>
              <w:rPr>
                <w:b/>
                <w:sz w:val="20"/>
                <w:szCs w:val="20"/>
              </w:rPr>
            </w:pPr>
            <w:r>
              <w:rPr>
                <w:b/>
                <w:sz w:val="20"/>
                <w:szCs w:val="20"/>
              </w:rPr>
              <w:t>Y1</w:t>
            </w:r>
          </w:p>
        </w:tc>
        <w:tc>
          <w:tcPr>
            <w:tcW w:w="885" w:type="dxa"/>
            <w:shd w:val="clear" w:color="auto" w:fill="9FC5E8"/>
            <w:tcMar>
              <w:top w:w="72" w:type="dxa"/>
              <w:left w:w="72" w:type="dxa"/>
              <w:bottom w:w="72" w:type="dxa"/>
              <w:right w:w="72" w:type="dxa"/>
            </w:tcMar>
          </w:tcPr>
          <w:p w14:paraId="53533621" w14:textId="77777777" w:rsidR="00044CEF" w:rsidRDefault="00000000">
            <w:pPr>
              <w:widowControl w:val="0"/>
              <w:jc w:val="center"/>
              <w:rPr>
                <w:b/>
                <w:sz w:val="20"/>
                <w:szCs w:val="20"/>
              </w:rPr>
            </w:pPr>
            <w:r>
              <w:rPr>
                <w:b/>
                <w:sz w:val="20"/>
                <w:szCs w:val="20"/>
              </w:rPr>
              <w:t>Y2</w:t>
            </w:r>
          </w:p>
        </w:tc>
        <w:tc>
          <w:tcPr>
            <w:tcW w:w="840" w:type="dxa"/>
            <w:shd w:val="clear" w:color="auto" w:fill="9FC5E8"/>
            <w:tcMar>
              <w:top w:w="72" w:type="dxa"/>
              <w:left w:w="72" w:type="dxa"/>
              <w:bottom w:w="72" w:type="dxa"/>
              <w:right w:w="72" w:type="dxa"/>
            </w:tcMar>
          </w:tcPr>
          <w:p w14:paraId="3A506136" w14:textId="77777777" w:rsidR="00044CEF" w:rsidRDefault="00000000">
            <w:pPr>
              <w:widowControl w:val="0"/>
              <w:jc w:val="center"/>
              <w:rPr>
                <w:b/>
                <w:sz w:val="20"/>
                <w:szCs w:val="20"/>
              </w:rPr>
            </w:pPr>
            <w:r>
              <w:rPr>
                <w:b/>
                <w:sz w:val="20"/>
                <w:szCs w:val="20"/>
              </w:rPr>
              <w:t>Y3</w:t>
            </w:r>
          </w:p>
        </w:tc>
        <w:tc>
          <w:tcPr>
            <w:tcW w:w="930" w:type="dxa"/>
            <w:shd w:val="clear" w:color="auto" w:fill="9FC5E8"/>
            <w:tcMar>
              <w:top w:w="72" w:type="dxa"/>
              <w:left w:w="72" w:type="dxa"/>
              <w:bottom w:w="72" w:type="dxa"/>
              <w:right w:w="72" w:type="dxa"/>
            </w:tcMar>
          </w:tcPr>
          <w:p w14:paraId="38AE2A90" w14:textId="77777777" w:rsidR="00044CEF" w:rsidRDefault="00000000">
            <w:pPr>
              <w:widowControl w:val="0"/>
              <w:jc w:val="center"/>
              <w:rPr>
                <w:b/>
                <w:sz w:val="20"/>
                <w:szCs w:val="20"/>
              </w:rPr>
            </w:pPr>
            <w:r>
              <w:rPr>
                <w:b/>
                <w:sz w:val="20"/>
                <w:szCs w:val="20"/>
              </w:rPr>
              <w:t>Y4</w:t>
            </w:r>
          </w:p>
        </w:tc>
        <w:tc>
          <w:tcPr>
            <w:tcW w:w="945" w:type="dxa"/>
            <w:shd w:val="clear" w:color="auto" w:fill="9FC5E8"/>
            <w:tcMar>
              <w:top w:w="72" w:type="dxa"/>
              <w:left w:w="72" w:type="dxa"/>
              <w:bottom w:w="72" w:type="dxa"/>
              <w:right w:w="72" w:type="dxa"/>
            </w:tcMar>
          </w:tcPr>
          <w:p w14:paraId="0CA396E7" w14:textId="77777777" w:rsidR="00044CEF" w:rsidRDefault="00000000">
            <w:pPr>
              <w:widowControl w:val="0"/>
              <w:jc w:val="center"/>
              <w:rPr>
                <w:b/>
                <w:sz w:val="20"/>
                <w:szCs w:val="20"/>
              </w:rPr>
            </w:pPr>
            <w:r>
              <w:rPr>
                <w:b/>
                <w:sz w:val="20"/>
                <w:szCs w:val="20"/>
              </w:rPr>
              <w:t>Y5</w:t>
            </w:r>
          </w:p>
        </w:tc>
        <w:tc>
          <w:tcPr>
            <w:tcW w:w="945" w:type="dxa"/>
            <w:shd w:val="clear" w:color="auto" w:fill="9FC5E8"/>
            <w:tcMar>
              <w:top w:w="72" w:type="dxa"/>
              <w:left w:w="72" w:type="dxa"/>
              <w:bottom w:w="72" w:type="dxa"/>
              <w:right w:w="72" w:type="dxa"/>
            </w:tcMar>
          </w:tcPr>
          <w:p w14:paraId="7AE0E56B" w14:textId="77777777" w:rsidR="00044CEF" w:rsidRDefault="00000000">
            <w:pPr>
              <w:widowControl w:val="0"/>
              <w:jc w:val="center"/>
              <w:rPr>
                <w:b/>
                <w:sz w:val="20"/>
                <w:szCs w:val="20"/>
              </w:rPr>
            </w:pPr>
            <w:r>
              <w:rPr>
                <w:b/>
                <w:sz w:val="20"/>
                <w:szCs w:val="20"/>
              </w:rPr>
              <w:t>Total</w:t>
            </w:r>
          </w:p>
        </w:tc>
      </w:tr>
      <w:tr w:rsidR="00044CEF" w14:paraId="547B4C2F" w14:textId="77777777">
        <w:trPr>
          <w:trHeight w:val="420"/>
        </w:trPr>
        <w:tc>
          <w:tcPr>
            <w:tcW w:w="9390" w:type="dxa"/>
            <w:gridSpan w:val="7"/>
            <w:shd w:val="clear" w:color="auto" w:fill="CFE2F3"/>
            <w:tcMar>
              <w:top w:w="72" w:type="dxa"/>
              <w:left w:w="72" w:type="dxa"/>
              <w:bottom w:w="72" w:type="dxa"/>
              <w:right w:w="72" w:type="dxa"/>
            </w:tcMar>
          </w:tcPr>
          <w:p w14:paraId="23AD9008" w14:textId="77777777" w:rsidR="00044CEF" w:rsidRDefault="00000000">
            <w:pPr>
              <w:widowControl w:val="0"/>
              <w:rPr>
                <w:b/>
                <w:sz w:val="22"/>
                <w:szCs w:val="22"/>
              </w:rPr>
            </w:pPr>
            <w:r>
              <w:rPr>
                <w:b/>
                <w:sz w:val="22"/>
                <w:szCs w:val="22"/>
              </w:rPr>
              <w:t xml:space="preserve">Performance Measure 1 - % of Coalition Members Providing Energy Efficiency Education. </w:t>
            </w:r>
          </w:p>
        </w:tc>
      </w:tr>
      <w:tr w:rsidR="00044CEF" w14:paraId="78E0F800" w14:textId="77777777">
        <w:trPr>
          <w:trHeight w:val="420"/>
        </w:trPr>
        <w:tc>
          <w:tcPr>
            <w:tcW w:w="9390" w:type="dxa"/>
            <w:gridSpan w:val="7"/>
            <w:shd w:val="clear" w:color="auto" w:fill="CFE2F3"/>
            <w:tcMar>
              <w:top w:w="72" w:type="dxa"/>
              <w:left w:w="72" w:type="dxa"/>
              <w:bottom w:w="72" w:type="dxa"/>
              <w:right w:w="72" w:type="dxa"/>
            </w:tcMar>
          </w:tcPr>
          <w:p w14:paraId="192699A4" w14:textId="77777777" w:rsidR="00044CEF" w:rsidRDefault="00000000">
            <w:pPr>
              <w:widowControl w:val="0"/>
              <w:rPr>
                <w:b/>
                <w:sz w:val="22"/>
                <w:szCs w:val="22"/>
              </w:rPr>
            </w:pPr>
            <w:r>
              <w:rPr>
                <w:b/>
                <w:sz w:val="22"/>
                <w:szCs w:val="22"/>
              </w:rPr>
              <w:t xml:space="preserve">Performance Measure 2 - % of </w:t>
            </w:r>
            <w:proofErr w:type="spellStart"/>
            <w:r>
              <w:rPr>
                <w:b/>
                <w:sz w:val="22"/>
                <w:szCs w:val="22"/>
              </w:rPr>
              <w:t>Subawardees</w:t>
            </w:r>
            <w:proofErr w:type="spellEnd"/>
            <w:r>
              <w:rPr>
                <w:b/>
                <w:sz w:val="22"/>
                <w:szCs w:val="22"/>
              </w:rPr>
              <w:t xml:space="preserve"> Meeting Emission Reduction Goals.</w:t>
            </w:r>
          </w:p>
        </w:tc>
      </w:tr>
      <w:tr w:rsidR="00044CEF" w14:paraId="61E1F328" w14:textId="77777777">
        <w:trPr>
          <w:trHeight w:val="420"/>
        </w:trPr>
        <w:tc>
          <w:tcPr>
            <w:tcW w:w="9390" w:type="dxa"/>
            <w:gridSpan w:val="7"/>
            <w:shd w:val="clear" w:color="auto" w:fill="CFE2F3"/>
            <w:tcMar>
              <w:top w:w="72" w:type="dxa"/>
              <w:left w:w="72" w:type="dxa"/>
              <w:bottom w:w="72" w:type="dxa"/>
              <w:right w:w="72" w:type="dxa"/>
            </w:tcMar>
          </w:tcPr>
          <w:p w14:paraId="69970684" w14:textId="77777777" w:rsidR="00044CEF" w:rsidRDefault="00000000">
            <w:pPr>
              <w:widowControl w:val="0"/>
              <w:rPr>
                <w:b/>
                <w:sz w:val="22"/>
                <w:szCs w:val="22"/>
              </w:rPr>
            </w:pPr>
            <w:r>
              <w:rPr>
                <w:b/>
                <w:sz w:val="22"/>
                <w:szCs w:val="22"/>
              </w:rPr>
              <w:t>Outcome: Reduced GHG Emissions in the Residential Building Sector.</w:t>
            </w:r>
          </w:p>
        </w:tc>
      </w:tr>
      <w:tr w:rsidR="00044CEF" w14:paraId="423C6BAB" w14:textId="77777777">
        <w:tc>
          <w:tcPr>
            <w:tcW w:w="3870" w:type="dxa"/>
            <w:shd w:val="clear" w:color="auto" w:fill="auto"/>
            <w:tcMar>
              <w:top w:w="72" w:type="dxa"/>
              <w:left w:w="72" w:type="dxa"/>
              <w:bottom w:w="72" w:type="dxa"/>
              <w:right w:w="72" w:type="dxa"/>
            </w:tcMar>
          </w:tcPr>
          <w:p w14:paraId="343A3361" w14:textId="77777777" w:rsidR="00044CEF" w:rsidRDefault="00000000">
            <w:pPr>
              <w:widowControl w:val="0"/>
              <w:rPr>
                <w:sz w:val="22"/>
                <w:szCs w:val="22"/>
              </w:rPr>
            </w:pPr>
            <w:r>
              <w:rPr>
                <w:sz w:val="22"/>
                <w:szCs w:val="22"/>
              </w:rPr>
              <w:t xml:space="preserve"># of EE Toolkits Distributed </w:t>
            </w:r>
          </w:p>
        </w:tc>
        <w:tc>
          <w:tcPr>
            <w:tcW w:w="975" w:type="dxa"/>
            <w:shd w:val="clear" w:color="auto" w:fill="auto"/>
            <w:tcMar>
              <w:top w:w="72" w:type="dxa"/>
              <w:left w:w="72" w:type="dxa"/>
              <w:bottom w:w="72" w:type="dxa"/>
              <w:right w:w="72" w:type="dxa"/>
            </w:tcMar>
          </w:tcPr>
          <w:p w14:paraId="37D1CEA8" w14:textId="77777777" w:rsidR="00044CEF" w:rsidRDefault="00000000">
            <w:pPr>
              <w:widowControl w:val="0"/>
              <w:jc w:val="center"/>
              <w:rPr>
                <w:b/>
                <w:sz w:val="22"/>
                <w:szCs w:val="22"/>
              </w:rPr>
            </w:pPr>
            <w:r>
              <w:rPr>
                <w:b/>
                <w:sz w:val="22"/>
                <w:szCs w:val="22"/>
              </w:rPr>
              <w:t>1,000</w:t>
            </w:r>
          </w:p>
        </w:tc>
        <w:tc>
          <w:tcPr>
            <w:tcW w:w="885" w:type="dxa"/>
            <w:shd w:val="clear" w:color="auto" w:fill="auto"/>
            <w:tcMar>
              <w:top w:w="72" w:type="dxa"/>
              <w:left w:w="72" w:type="dxa"/>
              <w:bottom w:w="72" w:type="dxa"/>
              <w:right w:w="72" w:type="dxa"/>
            </w:tcMar>
          </w:tcPr>
          <w:p w14:paraId="06F1C246" w14:textId="77777777" w:rsidR="00044CEF" w:rsidRDefault="00000000">
            <w:pPr>
              <w:widowControl w:val="0"/>
              <w:jc w:val="center"/>
              <w:rPr>
                <w:b/>
                <w:sz w:val="22"/>
                <w:szCs w:val="22"/>
              </w:rPr>
            </w:pPr>
            <w:r>
              <w:rPr>
                <w:b/>
                <w:sz w:val="22"/>
                <w:szCs w:val="22"/>
              </w:rPr>
              <w:t>1,000</w:t>
            </w:r>
          </w:p>
        </w:tc>
        <w:tc>
          <w:tcPr>
            <w:tcW w:w="840" w:type="dxa"/>
            <w:shd w:val="clear" w:color="auto" w:fill="auto"/>
            <w:tcMar>
              <w:top w:w="72" w:type="dxa"/>
              <w:left w:w="72" w:type="dxa"/>
              <w:bottom w:w="72" w:type="dxa"/>
              <w:right w:w="72" w:type="dxa"/>
            </w:tcMar>
          </w:tcPr>
          <w:p w14:paraId="03B6B699" w14:textId="77777777" w:rsidR="00044CEF" w:rsidRDefault="00000000">
            <w:pPr>
              <w:widowControl w:val="0"/>
              <w:jc w:val="center"/>
              <w:rPr>
                <w:b/>
                <w:sz w:val="22"/>
                <w:szCs w:val="22"/>
              </w:rPr>
            </w:pPr>
            <w:r>
              <w:rPr>
                <w:b/>
                <w:sz w:val="22"/>
                <w:szCs w:val="22"/>
              </w:rPr>
              <w:t>1,000</w:t>
            </w:r>
          </w:p>
        </w:tc>
        <w:tc>
          <w:tcPr>
            <w:tcW w:w="930" w:type="dxa"/>
            <w:shd w:val="clear" w:color="auto" w:fill="auto"/>
            <w:tcMar>
              <w:top w:w="72" w:type="dxa"/>
              <w:left w:w="72" w:type="dxa"/>
              <w:bottom w:w="72" w:type="dxa"/>
              <w:right w:w="72" w:type="dxa"/>
            </w:tcMar>
          </w:tcPr>
          <w:p w14:paraId="1387C3C8" w14:textId="77777777" w:rsidR="00044CEF" w:rsidRDefault="00000000">
            <w:pPr>
              <w:widowControl w:val="0"/>
              <w:jc w:val="center"/>
              <w:rPr>
                <w:b/>
                <w:sz w:val="22"/>
                <w:szCs w:val="22"/>
              </w:rPr>
            </w:pPr>
            <w:r>
              <w:rPr>
                <w:b/>
                <w:sz w:val="22"/>
                <w:szCs w:val="22"/>
              </w:rPr>
              <w:t>1,000</w:t>
            </w:r>
          </w:p>
        </w:tc>
        <w:tc>
          <w:tcPr>
            <w:tcW w:w="945" w:type="dxa"/>
            <w:shd w:val="clear" w:color="auto" w:fill="auto"/>
            <w:tcMar>
              <w:top w:w="72" w:type="dxa"/>
              <w:left w:w="72" w:type="dxa"/>
              <w:bottom w:w="72" w:type="dxa"/>
              <w:right w:w="72" w:type="dxa"/>
            </w:tcMar>
          </w:tcPr>
          <w:p w14:paraId="5A6E8BF9" w14:textId="77777777" w:rsidR="00044CEF" w:rsidRDefault="00000000">
            <w:pPr>
              <w:widowControl w:val="0"/>
              <w:jc w:val="center"/>
              <w:rPr>
                <w:b/>
                <w:sz w:val="22"/>
                <w:szCs w:val="22"/>
              </w:rPr>
            </w:pPr>
            <w:r>
              <w:rPr>
                <w:b/>
                <w:sz w:val="22"/>
                <w:szCs w:val="22"/>
              </w:rPr>
              <w:t>1,000</w:t>
            </w:r>
          </w:p>
        </w:tc>
        <w:tc>
          <w:tcPr>
            <w:tcW w:w="945" w:type="dxa"/>
            <w:shd w:val="clear" w:color="auto" w:fill="auto"/>
            <w:tcMar>
              <w:top w:w="72" w:type="dxa"/>
              <w:left w:w="72" w:type="dxa"/>
              <w:bottom w:w="72" w:type="dxa"/>
              <w:right w:w="72" w:type="dxa"/>
            </w:tcMar>
          </w:tcPr>
          <w:p w14:paraId="5DFCB1C3" w14:textId="77777777" w:rsidR="00044CEF" w:rsidRDefault="00000000">
            <w:pPr>
              <w:widowControl w:val="0"/>
              <w:jc w:val="center"/>
              <w:rPr>
                <w:b/>
                <w:sz w:val="22"/>
                <w:szCs w:val="22"/>
              </w:rPr>
            </w:pPr>
            <w:r>
              <w:rPr>
                <w:b/>
                <w:sz w:val="22"/>
                <w:szCs w:val="22"/>
              </w:rPr>
              <w:t>5,000</w:t>
            </w:r>
          </w:p>
        </w:tc>
      </w:tr>
      <w:tr w:rsidR="00044CEF" w14:paraId="164E4074" w14:textId="77777777">
        <w:tc>
          <w:tcPr>
            <w:tcW w:w="3870" w:type="dxa"/>
            <w:shd w:val="clear" w:color="auto" w:fill="auto"/>
            <w:tcMar>
              <w:top w:w="72" w:type="dxa"/>
              <w:left w:w="72" w:type="dxa"/>
              <w:bottom w:w="72" w:type="dxa"/>
              <w:right w:w="72" w:type="dxa"/>
            </w:tcMar>
          </w:tcPr>
          <w:p w14:paraId="22FB5331" w14:textId="77777777" w:rsidR="00044CEF" w:rsidRDefault="00000000">
            <w:pPr>
              <w:widowControl w:val="0"/>
              <w:rPr>
                <w:sz w:val="22"/>
                <w:szCs w:val="22"/>
              </w:rPr>
            </w:pPr>
            <w:r>
              <w:rPr>
                <w:sz w:val="22"/>
                <w:szCs w:val="22"/>
              </w:rPr>
              <w:t xml:space="preserve"># of REA Toolkits Checked Out </w:t>
            </w:r>
          </w:p>
        </w:tc>
        <w:tc>
          <w:tcPr>
            <w:tcW w:w="975" w:type="dxa"/>
            <w:shd w:val="clear" w:color="auto" w:fill="auto"/>
            <w:tcMar>
              <w:top w:w="72" w:type="dxa"/>
              <w:left w:w="72" w:type="dxa"/>
              <w:bottom w:w="72" w:type="dxa"/>
              <w:right w:w="72" w:type="dxa"/>
            </w:tcMar>
          </w:tcPr>
          <w:p w14:paraId="1EB35100" w14:textId="77777777" w:rsidR="00044CEF" w:rsidRDefault="00000000">
            <w:pPr>
              <w:widowControl w:val="0"/>
              <w:jc w:val="center"/>
              <w:rPr>
                <w:b/>
                <w:sz w:val="22"/>
                <w:szCs w:val="22"/>
              </w:rPr>
            </w:pPr>
            <w:r>
              <w:rPr>
                <w:b/>
                <w:sz w:val="22"/>
                <w:szCs w:val="22"/>
              </w:rPr>
              <w:t>300</w:t>
            </w:r>
          </w:p>
        </w:tc>
        <w:tc>
          <w:tcPr>
            <w:tcW w:w="885" w:type="dxa"/>
            <w:shd w:val="clear" w:color="auto" w:fill="auto"/>
            <w:tcMar>
              <w:top w:w="72" w:type="dxa"/>
              <w:left w:w="72" w:type="dxa"/>
              <w:bottom w:w="72" w:type="dxa"/>
              <w:right w:w="72" w:type="dxa"/>
            </w:tcMar>
          </w:tcPr>
          <w:p w14:paraId="60372A71" w14:textId="77777777" w:rsidR="00044CEF" w:rsidRDefault="00000000">
            <w:pPr>
              <w:widowControl w:val="0"/>
              <w:jc w:val="center"/>
              <w:rPr>
                <w:b/>
                <w:sz w:val="22"/>
                <w:szCs w:val="22"/>
              </w:rPr>
            </w:pPr>
            <w:r>
              <w:rPr>
                <w:b/>
                <w:sz w:val="22"/>
                <w:szCs w:val="22"/>
              </w:rPr>
              <w:t>300</w:t>
            </w:r>
          </w:p>
        </w:tc>
        <w:tc>
          <w:tcPr>
            <w:tcW w:w="840" w:type="dxa"/>
            <w:shd w:val="clear" w:color="auto" w:fill="auto"/>
            <w:tcMar>
              <w:top w:w="72" w:type="dxa"/>
              <w:left w:w="72" w:type="dxa"/>
              <w:bottom w:w="72" w:type="dxa"/>
              <w:right w:w="72" w:type="dxa"/>
            </w:tcMar>
          </w:tcPr>
          <w:p w14:paraId="3F6408CB" w14:textId="77777777" w:rsidR="00044CEF" w:rsidRDefault="00000000">
            <w:pPr>
              <w:widowControl w:val="0"/>
              <w:jc w:val="center"/>
              <w:rPr>
                <w:b/>
                <w:sz w:val="22"/>
                <w:szCs w:val="22"/>
              </w:rPr>
            </w:pPr>
            <w:r>
              <w:rPr>
                <w:b/>
                <w:sz w:val="22"/>
                <w:szCs w:val="22"/>
              </w:rPr>
              <w:t>300</w:t>
            </w:r>
          </w:p>
        </w:tc>
        <w:tc>
          <w:tcPr>
            <w:tcW w:w="930" w:type="dxa"/>
            <w:shd w:val="clear" w:color="auto" w:fill="auto"/>
            <w:tcMar>
              <w:top w:w="72" w:type="dxa"/>
              <w:left w:w="72" w:type="dxa"/>
              <w:bottom w:w="72" w:type="dxa"/>
              <w:right w:w="72" w:type="dxa"/>
            </w:tcMar>
          </w:tcPr>
          <w:p w14:paraId="7BB2221E" w14:textId="77777777" w:rsidR="00044CEF" w:rsidRDefault="00000000">
            <w:pPr>
              <w:widowControl w:val="0"/>
              <w:jc w:val="center"/>
              <w:rPr>
                <w:b/>
                <w:sz w:val="22"/>
                <w:szCs w:val="22"/>
              </w:rPr>
            </w:pPr>
            <w:r>
              <w:rPr>
                <w:b/>
                <w:sz w:val="22"/>
                <w:szCs w:val="22"/>
              </w:rPr>
              <w:t>300</w:t>
            </w:r>
          </w:p>
        </w:tc>
        <w:tc>
          <w:tcPr>
            <w:tcW w:w="945" w:type="dxa"/>
            <w:shd w:val="clear" w:color="auto" w:fill="auto"/>
            <w:tcMar>
              <w:top w:w="72" w:type="dxa"/>
              <w:left w:w="72" w:type="dxa"/>
              <w:bottom w:w="72" w:type="dxa"/>
              <w:right w:w="72" w:type="dxa"/>
            </w:tcMar>
          </w:tcPr>
          <w:p w14:paraId="7BD3D8F3" w14:textId="77777777" w:rsidR="00044CEF" w:rsidRDefault="00000000">
            <w:pPr>
              <w:widowControl w:val="0"/>
              <w:jc w:val="center"/>
              <w:rPr>
                <w:b/>
                <w:sz w:val="22"/>
                <w:szCs w:val="22"/>
              </w:rPr>
            </w:pPr>
            <w:r>
              <w:rPr>
                <w:b/>
                <w:sz w:val="22"/>
                <w:szCs w:val="22"/>
              </w:rPr>
              <w:t>300</w:t>
            </w:r>
          </w:p>
        </w:tc>
        <w:tc>
          <w:tcPr>
            <w:tcW w:w="945" w:type="dxa"/>
            <w:shd w:val="clear" w:color="auto" w:fill="auto"/>
            <w:tcMar>
              <w:top w:w="72" w:type="dxa"/>
              <w:left w:w="72" w:type="dxa"/>
              <w:bottom w:w="72" w:type="dxa"/>
              <w:right w:w="72" w:type="dxa"/>
            </w:tcMar>
          </w:tcPr>
          <w:p w14:paraId="0936CC74" w14:textId="77777777" w:rsidR="00044CEF" w:rsidRDefault="00000000">
            <w:pPr>
              <w:widowControl w:val="0"/>
              <w:jc w:val="center"/>
              <w:rPr>
                <w:b/>
                <w:sz w:val="22"/>
                <w:szCs w:val="22"/>
              </w:rPr>
            </w:pPr>
            <w:r>
              <w:rPr>
                <w:b/>
                <w:sz w:val="22"/>
                <w:szCs w:val="22"/>
              </w:rPr>
              <w:t>1,200</w:t>
            </w:r>
          </w:p>
        </w:tc>
      </w:tr>
      <w:tr w:rsidR="00044CEF" w14:paraId="28DD04C3" w14:textId="77777777">
        <w:tc>
          <w:tcPr>
            <w:tcW w:w="3870" w:type="dxa"/>
            <w:shd w:val="clear" w:color="auto" w:fill="auto"/>
            <w:tcMar>
              <w:top w:w="72" w:type="dxa"/>
              <w:left w:w="72" w:type="dxa"/>
              <w:bottom w:w="72" w:type="dxa"/>
              <w:right w:w="72" w:type="dxa"/>
            </w:tcMar>
          </w:tcPr>
          <w:p w14:paraId="530B7277" w14:textId="77777777" w:rsidR="00044CEF" w:rsidRDefault="00000000">
            <w:pPr>
              <w:widowControl w:val="0"/>
              <w:rPr>
                <w:sz w:val="22"/>
                <w:szCs w:val="22"/>
              </w:rPr>
            </w:pPr>
            <w:r>
              <w:rPr>
                <w:sz w:val="22"/>
                <w:szCs w:val="22"/>
              </w:rPr>
              <w:t xml:space="preserve"># of Energy Efficiency Trainings in LIDAC Communities </w:t>
            </w:r>
          </w:p>
        </w:tc>
        <w:tc>
          <w:tcPr>
            <w:tcW w:w="975" w:type="dxa"/>
            <w:shd w:val="clear" w:color="auto" w:fill="auto"/>
            <w:tcMar>
              <w:top w:w="72" w:type="dxa"/>
              <w:left w:w="72" w:type="dxa"/>
              <w:bottom w:w="72" w:type="dxa"/>
              <w:right w:w="72" w:type="dxa"/>
            </w:tcMar>
            <w:vAlign w:val="center"/>
          </w:tcPr>
          <w:p w14:paraId="79330E47" w14:textId="77777777" w:rsidR="00044CEF" w:rsidRDefault="00000000">
            <w:pPr>
              <w:widowControl w:val="0"/>
              <w:jc w:val="center"/>
              <w:rPr>
                <w:b/>
                <w:sz w:val="22"/>
                <w:szCs w:val="22"/>
              </w:rPr>
            </w:pPr>
            <w:r>
              <w:rPr>
                <w:b/>
                <w:sz w:val="22"/>
                <w:szCs w:val="22"/>
              </w:rPr>
              <w:t>120</w:t>
            </w:r>
          </w:p>
        </w:tc>
        <w:tc>
          <w:tcPr>
            <w:tcW w:w="885" w:type="dxa"/>
            <w:shd w:val="clear" w:color="auto" w:fill="auto"/>
            <w:tcMar>
              <w:top w:w="72" w:type="dxa"/>
              <w:left w:w="72" w:type="dxa"/>
              <w:bottom w:w="72" w:type="dxa"/>
              <w:right w:w="72" w:type="dxa"/>
            </w:tcMar>
            <w:vAlign w:val="center"/>
          </w:tcPr>
          <w:p w14:paraId="36B7ABD6" w14:textId="77777777" w:rsidR="00044CEF" w:rsidRDefault="00000000">
            <w:pPr>
              <w:widowControl w:val="0"/>
              <w:jc w:val="center"/>
              <w:rPr>
                <w:b/>
                <w:sz w:val="22"/>
                <w:szCs w:val="22"/>
              </w:rPr>
            </w:pPr>
            <w:r>
              <w:rPr>
                <w:b/>
                <w:sz w:val="22"/>
                <w:szCs w:val="22"/>
              </w:rPr>
              <w:t>120</w:t>
            </w:r>
          </w:p>
        </w:tc>
        <w:tc>
          <w:tcPr>
            <w:tcW w:w="840" w:type="dxa"/>
            <w:shd w:val="clear" w:color="auto" w:fill="auto"/>
            <w:tcMar>
              <w:top w:w="72" w:type="dxa"/>
              <w:left w:w="72" w:type="dxa"/>
              <w:bottom w:w="72" w:type="dxa"/>
              <w:right w:w="72" w:type="dxa"/>
            </w:tcMar>
            <w:vAlign w:val="center"/>
          </w:tcPr>
          <w:p w14:paraId="3F47F5C0" w14:textId="77777777" w:rsidR="00044CEF" w:rsidRDefault="00000000">
            <w:pPr>
              <w:widowControl w:val="0"/>
              <w:jc w:val="center"/>
              <w:rPr>
                <w:b/>
                <w:sz w:val="22"/>
                <w:szCs w:val="22"/>
              </w:rPr>
            </w:pPr>
            <w:r>
              <w:rPr>
                <w:b/>
                <w:sz w:val="22"/>
                <w:szCs w:val="22"/>
              </w:rPr>
              <w:t>120</w:t>
            </w:r>
          </w:p>
        </w:tc>
        <w:tc>
          <w:tcPr>
            <w:tcW w:w="930" w:type="dxa"/>
            <w:shd w:val="clear" w:color="auto" w:fill="auto"/>
            <w:tcMar>
              <w:top w:w="72" w:type="dxa"/>
              <w:left w:w="72" w:type="dxa"/>
              <w:bottom w:w="72" w:type="dxa"/>
              <w:right w:w="72" w:type="dxa"/>
            </w:tcMar>
            <w:vAlign w:val="center"/>
          </w:tcPr>
          <w:p w14:paraId="46ABABC1" w14:textId="77777777" w:rsidR="00044CEF" w:rsidRDefault="00000000">
            <w:pPr>
              <w:widowControl w:val="0"/>
              <w:jc w:val="center"/>
              <w:rPr>
                <w:b/>
                <w:sz w:val="22"/>
                <w:szCs w:val="22"/>
              </w:rPr>
            </w:pPr>
            <w:r>
              <w:rPr>
                <w:b/>
                <w:sz w:val="22"/>
                <w:szCs w:val="22"/>
              </w:rPr>
              <w:t>120</w:t>
            </w:r>
          </w:p>
        </w:tc>
        <w:tc>
          <w:tcPr>
            <w:tcW w:w="945" w:type="dxa"/>
            <w:shd w:val="clear" w:color="auto" w:fill="auto"/>
            <w:tcMar>
              <w:top w:w="72" w:type="dxa"/>
              <w:left w:w="72" w:type="dxa"/>
              <w:bottom w:w="72" w:type="dxa"/>
              <w:right w:w="72" w:type="dxa"/>
            </w:tcMar>
            <w:vAlign w:val="center"/>
          </w:tcPr>
          <w:p w14:paraId="42E8DF42" w14:textId="77777777" w:rsidR="00044CEF" w:rsidRDefault="00000000">
            <w:pPr>
              <w:widowControl w:val="0"/>
              <w:jc w:val="center"/>
              <w:rPr>
                <w:b/>
                <w:sz w:val="22"/>
                <w:szCs w:val="22"/>
              </w:rPr>
            </w:pPr>
            <w:r>
              <w:rPr>
                <w:b/>
                <w:sz w:val="22"/>
                <w:szCs w:val="22"/>
              </w:rPr>
              <w:t>120</w:t>
            </w:r>
          </w:p>
        </w:tc>
        <w:tc>
          <w:tcPr>
            <w:tcW w:w="945" w:type="dxa"/>
            <w:shd w:val="clear" w:color="auto" w:fill="auto"/>
            <w:tcMar>
              <w:top w:w="72" w:type="dxa"/>
              <w:left w:w="72" w:type="dxa"/>
              <w:bottom w:w="72" w:type="dxa"/>
              <w:right w:w="72" w:type="dxa"/>
            </w:tcMar>
            <w:vAlign w:val="center"/>
          </w:tcPr>
          <w:p w14:paraId="7AC9C023" w14:textId="77777777" w:rsidR="00044CEF" w:rsidRDefault="00000000">
            <w:pPr>
              <w:widowControl w:val="0"/>
              <w:jc w:val="center"/>
              <w:rPr>
                <w:b/>
                <w:sz w:val="22"/>
                <w:szCs w:val="22"/>
              </w:rPr>
            </w:pPr>
            <w:r>
              <w:rPr>
                <w:b/>
                <w:sz w:val="22"/>
                <w:szCs w:val="22"/>
              </w:rPr>
              <w:t>600</w:t>
            </w:r>
          </w:p>
        </w:tc>
      </w:tr>
      <w:tr w:rsidR="00044CEF" w14:paraId="6ACEFDBE" w14:textId="77777777">
        <w:tc>
          <w:tcPr>
            <w:tcW w:w="3870" w:type="dxa"/>
            <w:shd w:val="clear" w:color="auto" w:fill="auto"/>
            <w:tcMar>
              <w:top w:w="72" w:type="dxa"/>
              <w:left w:w="72" w:type="dxa"/>
              <w:bottom w:w="72" w:type="dxa"/>
              <w:right w:w="72" w:type="dxa"/>
            </w:tcMar>
          </w:tcPr>
          <w:p w14:paraId="420C8508" w14:textId="77777777" w:rsidR="00044CEF" w:rsidRDefault="00000000">
            <w:pPr>
              <w:widowControl w:val="0"/>
              <w:rPr>
                <w:sz w:val="22"/>
                <w:szCs w:val="22"/>
              </w:rPr>
            </w:pPr>
            <w:r>
              <w:rPr>
                <w:sz w:val="22"/>
                <w:szCs w:val="22"/>
              </w:rPr>
              <w:t xml:space="preserve"># of GHG Emissions Reduced </w:t>
            </w:r>
          </w:p>
        </w:tc>
        <w:tc>
          <w:tcPr>
            <w:tcW w:w="975" w:type="dxa"/>
            <w:tcMar>
              <w:top w:w="40" w:type="dxa"/>
              <w:left w:w="40" w:type="dxa"/>
              <w:bottom w:w="40" w:type="dxa"/>
              <w:right w:w="40" w:type="dxa"/>
            </w:tcMar>
          </w:tcPr>
          <w:p w14:paraId="755855BA" w14:textId="77777777" w:rsidR="00044CEF" w:rsidRDefault="00000000">
            <w:pPr>
              <w:widowControl w:val="0"/>
              <w:jc w:val="center"/>
              <w:rPr>
                <w:b/>
                <w:sz w:val="22"/>
                <w:szCs w:val="22"/>
              </w:rPr>
            </w:pPr>
            <w:r>
              <w:rPr>
                <w:b/>
                <w:sz w:val="22"/>
                <w:szCs w:val="22"/>
              </w:rPr>
              <w:t>1,560</w:t>
            </w:r>
          </w:p>
        </w:tc>
        <w:tc>
          <w:tcPr>
            <w:tcW w:w="885" w:type="dxa"/>
            <w:tcMar>
              <w:top w:w="40" w:type="dxa"/>
              <w:left w:w="40" w:type="dxa"/>
              <w:bottom w:w="40" w:type="dxa"/>
              <w:right w:w="40" w:type="dxa"/>
            </w:tcMar>
          </w:tcPr>
          <w:p w14:paraId="58DDA7E5" w14:textId="77777777" w:rsidR="00044CEF" w:rsidRDefault="00000000">
            <w:pPr>
              <w:widowControl w:val="0"/>
              <w:jc w:val="center"/>
              <w:rPr>
                <w:b/>
                <w:sz w:val="22"/>
                <w:szCs w:val="22"/>
              </w:rPr>
            </w:pPr>
            <w:r>
              <w:rPr>
                <w:b/>
                <w:sz w:val="22"/>
                <w:szCs w:val="22"/>
              </w:rPr>
              <w:t>2,233</w:t>
            </w:r>
          </w:p>
        </w:tc>
        <w:tc>
          <w:tcPr>
            <w:tcW w:w="840" w:type="dxa"/>
            <w:tcMar>
              <w:top w:w="40" w:type="dxa"/>
              <w:left w:w="40" w:type="dxa"/>
              <w:bottom w:w="40" w:type="dxa"/>
              <w:right w:w="40" w:type="dxa"/>
            </w:tcMar>
          </w:tcPr>
          <w:p w14:paraId="4A7EE89D" w14:textId="77777777" w:rsidR="00044CEF" w:rsidRDefault="00000000">
            <w:pPr>
              <w:widowControl w:val="0"/>
              <w:jc w:val="center"/>
              <w:rPr>
                <w:b/>
                <w:sz w:val="22"/>
                <w:szCs w:val="22"/>
              </w:rPr>
            </w:pPr>
            <w:r>
              <w:rPr>
                <w:b/>
                <w:sz w:val="22"/>
                <w:szCs w:val="22"/>
              </w:rPr>
              <w:t>2,739</w:t>
            </w:r>
          </w:p>
        </w:tc>
        <w:tc>
          <w:tcPr>
            <w:tcW w:w="930" w:type="dxa"/>
            <w:tcMar>
              <w:top w:w="40" w:type="dxa"/>
              <w:left w:w="40" w:type="dxa"/>
              <w:bottom w:w="40" w:type="dxa"/>
              <w:right w:w="40" w:type="dxa"/>
            </w:tcMar>
          </w:tcPr>
          <w:p w14:paraId="01AEA282" w14:textId="77777777" w:rsidR="00044CEF" w:rsidRDefault="00000000">
            <w:pPr>
              <w:widowControl w:val="0"/>
              <w:jc w:val="center"/>
              <w:rPr>
                <w:b/>
                <w:sz w:val="22"/>
                <w:szCs w:val="22"/>
              </w:rPr>
            </w:pPr>
            <w:r>
              <w:rPr>
                <w:b/>
                <w:sz w:val="22"/>
                <w:szCs w:val="22"/>
              </w:rPr>
              <w:t>2,722</w:t>
            </w:r>
          </w:p>
        </w:tc>
        <w:tc>
          <w:tcPr>
            <w:tcW w:w="945" w:type="dxa"/>
            <w:tcMar>
              <w:top w:w="40" w:type="dxa"/>
              <w:left w:w="40" w:type="dxa"/>
              <w:bottom w:w="40" w:type="dxa"/>
              <w:right w:w="40" w:type="dxa"/>
            </w:tcMar>
          </w:tcPr>
          <w:p w14:paraId="239D160B" w14:textId="77777777" w:rsidR="00044CEF" w:rsidRDefault="00000000">
            <w:pPr>
              <w:widowControl w:val="0"/>
              <w:jc w:val="center"/>
              <w:rPr>
                <w:b/>
                <w:sz w:val="22"/>
                <w:szCs w:val="22"/>
              </w:rPr>
            </w:pPr>
            <w:r>
              <w:rPr>
                <w:b/>
                <w:sz w:val="22"/>
                <w:szCs w:val="22"/>
              </w:rPr>
              <w:t>3,207</w:t>
            </w:r>
          </w:p>
        </w:tc>
        <w:tc>
          <w:tcPr>
            <w:tcW w:w="945" w:type="dxa"/>
            <w:tcMar>
              <w:top w:w="40" w:type="dxa"/>
              <w:left w:w="40" w:type="dxa"/>
              <w:bottom w:w="40" w:type="dxa"/>
              <w:right w:w="40" w:type="dxa"/>
            </w:tcMar>
          </w:tcPr>
          <w:p w14:paraId="5C635C0B" w14:textId="77777777" w:rsidR="00044CEF" w:rsidRDefault="00000000">
            <w:pPr>
              <w:widowControl w:val="0"/>
              <w:jc w:val="center"/>
              <w:rPr>
                <w:b/>
                <w:sz w:val="22"/>
                <w:szCs w:val="22"/>
              </w:rPr>
            </w:pPr>
            <w:r>
              <w:rPr>
                <w:b/>
                <w:sz w:val="22"/>
                <w:szCs w:val="22"/>
              </w:rPr>
              <w:t>10,296</w:t>
            </w:r>
          </w:p>
        </w:tc>
      </w:tr>
      <w:tr w:rsidR="00044CEF" w14:paraId="0CCF91D8" w14:textId="77777777">
        <w:trPr>
          <w:trHeight w:val="343"/>
        </w:trPr>
        <w:tc>
          <w:tcPr>
            <w:tcW w:w="9390" w:type="dxa"/>
            <w:gridSpan w:val="7"/>
            <w:shd w:val="clear" w:color="auto" w:fill="CFE2F3"/>
            <w:tcMar>
              <w:top w:w="72" w:type="dxa"/>
              <w:left w:w="72" w:type="dxa"/>
              <w:bottom w:w="72" w:type="dxa"/>
              <w:right w:w="72" w:type="dxa"/>
            </w:tcMar>
          </w:tcPr>
          <w:p w14:paraId="21E94382" w14:textId="77777777" w:rsidR="00044CEF" w:rsidRDefault="00000000">
            <w:pPr>
              <w:widowControl w:val="0"/>
              <w:rPr>
                <w:b/>
                <w:sz w:val="22"/>
                <w:szCs w:val="22"/>
              </w:rPr>
            </w:pPr>
            <w:r>
              <w:rPr>
                <w:b/>
                <w:sz w:val="22"/>
                <w:szCs w:val="22"/>
              </w:rPr>
              <w:t xml:space="preserve">Performance Measure 3 - % of Funding Unallocated. </w:t>
            </w:r>
          </w:p>
        </w:tc>
      </w:tr>
      <w:tr w:rsidR="00044CEF" w14:paraId="28556D7E" w14:textId="77777777">
        <w:trPr>
          <w:trHeight w:val="343"/>
        </w:trPr>
        <w:tc>
          <w:tcPr>
            <w:tcW w:w="9390" w:type="dxa"/>
            <w:gridSpan w:val="7"/>
            <w:shd w:val="clear" w:color="auto" w:fill="CFE2F3"/>
            <w:tcMar>
              <w:top w:w="72" w:type="dxa"/>
              <w:left w:w="72" w:type="dxa"/>
              <w:bottom w:w="72" w:type="dxa"/>
              <w:right w:w="72" w:type="dxa"/>
            </w:tcMar>
          </w:tcPr>
          <w:p w14:paraId="121AC71D" w14:textId="77777777" w:rsidR="00044CEF" w:rsidRDefault="00000000">
            <w:pPr>
              <w:widowControl w:val="0"/>
              <w:rPr>
                <w:b/>
                <w:sz w:val="22"/>
                <w:szCs w:val="22"/>
              </w:rPr>
            </w:pPr>
            <w:r>
              <w:rPr>
                <w:b/>
                <w:sz w:val="22"/>
                <w:szCs w:val="22"/>
              </w:rPr>
              <w:t xml:space="preserve">Performance Measure 4 - % of Funding Remaining. </w:t>
            </w:r>
          </w:p>
        </w:tc>
      </w:tr>
      <w:tr w:rsidR="00044CEF" w14:paraId="36D42C6E" w14:textId="77777777">
        <w:trPr>
          <w:trHeight w:val="343"/>
        </w:trPr>
        <w:tc>
          <w:tcPr>
            <w:tcW w:w="9390" w:type="dxa"/>
            <w:gridSpan w:val="7"/>
            <w:shd w:val="clear" w:color="auto" w:fill="CFE2F3"/>
            <w:tcMar>
              <w:top w:w="72" w:type="dxa"/>
              <w:left w:w="72" w:type="dxa"/>
              <w:bottom w:w="72" w:type="dxa"/>
              <w:right w:w="72" w:type="dxa"/>
            </w:tcMar>
          </w:tcPr>
          <w:p w14:paraId="705638F6" w14:textId="77777777" w:rsidR="00044CEF" w:rsidRDefault="00000000">
            <w:pPr>
              <w:widowControl w:val="0"/>
              <w:rPr>
                <w:b/>
                <w:sz w:val="22"/>
                <w:szCs w:val="22"/>
              </w:rPr>
            </w:pPr>
            <w:r>
              <w:rPr>
                <w:b/>
                <w:sz w:val="22"/>
                <w:szCs w:val="22"/>
              </w:rPr>
              <w:t xml:space="preserve">Performance Measure 5 - % of </w:t>
            </w:r>
            <w:proofErr w:type="spellStart"/>
            <w:r>
              <w:rPr>
                <w:b/>
                <w:sz w:val="22"/>
                <w:szCs w:val="22"/>
              </w:rPr>
              <w:t>Subawardees</w:t>
            </w:r>
            <w:proofErr w:type="spellEnd"/>
            <w:r>
              <w:rPr>
                <w:b/>
                <w:sz w:val="22"/>
                <w:szCs w:val="22"/>
              </w:rPr>
              <w:t xml:space="preserve"> Meeting Emission Reduction Goals.   </w:t>
            </w:r>
          </w:p>
        </w:tc>
      </w:tr>
      <w:tr w:rsidR="00044CEF" w14:paraId="5261CFB7" w14:textId="77777777">
        <w:trPr>
          <w:trHeight w:val="420"/>
        </w:trPr>
        <w:tc>
          <w:tcPr>
            <w:tcW w:w="9390" w:type="dxa"/>
            <w:gridSpan w:val="7"/>
            <w:shd w:val="clear" w:color="auto" w:fill="CFE2F3"/>
            <w:tcMar>
              <w:top w:w="72" w:type="dxa"/>
              <w:left w:w="72" w:type="dxa"/>
              <w:bottom w:w="72" w:type="dxa"/>
              <w:right w:w="72" w:type="dxa"/>
            </w:tcMar>
          </w:tcPr>
          <w:p w14:paraId="04B94391" w14:textId="77777777" w:rsidR="00044CEF" w:rsidRDefault="00000000">
            <w:pPr>
              <w:widowControl w:val="0"/>
              <w:rPr>
                <w:b/>
                <w:sz w:val="22"/>
                <w:szCs w:val="22"/>
              </w:rPr>
            </w:pPr>
            <w:r>
              <w:rPr>
                <w:b/>
                <w:sz w:val="22"/>
                <w:szCs w:val="22"/>
              </w:rPr>
              <w:t>Outcome: Reduced GHG Emissions in the Commercial Building Sector.</w:t>
            </w:r>
          </w:p>
        </w:tc>
      </w:tr>
      <w:tr w:rsidR="00044CEF" w14:paraId="6A9A3B85" w14:textId="77777777">
        <w:tc>
          <w:tcPr>
            <w:tcW w:w="3870" w:type="dxa"/>
            <w:shd w:val="clear" w:color="auto" w:fill="auto"/>
            <w:tcMar>
              <w:top w:w="72" w:type="dxa"/>
              <w:left w:w="72" w:type="dxa"/>
              <w:bottom w:w="72" w:type="dxa"/>
              <w:right w:w="72" w:type="dxa"/>
            </w:tcMar>
          </w:tcPr>
          <w:p w14:paraId="0D6A889C" w14:textId="77777777" w:rsidR="00044CEF" w:rsidRDefault="00000000">
            <w:pPr>
              <w:widowControl w:val="0"/>
              <w:rPr>
                <w:sz w:val="22"/>
                <w:szCs w:val="22"/>
              </w:rPr>
            </w:pPr>
            <w:r>
              <w:rPr>
                <w:sz w:val="22"/>
                <w:szCs w:val="22"/>
              </w:rPr>
              <w:t xml:space="preserve"># Number of Energy Retrofits in Community Facility </w:t>
            </w:r>
          </w:p>
        </w:tc>
        <w:tc>
          <w:tcPr>
            <w:tcW w:w="975" w:type="dxa"/>
            <w:shd w:val="clear" w:color="auto" w:fill="auto"/>
            <w:tcMar>
              <w:top w:w="72" w:type="dxa"/>
              <w:left w:w="72" w:type="dxa"/>
              <w:bottom w:w="72" w:type="dxa"/>
              <w:right w:w="72" w:type="dxa"/>
            </w:tcMar>
            <w:vAlign w:val="center"/>
          </w:tcPr>
          <w:p w14:paraId="4B077614" w14:textId="77777777" w:rsidR="00044CEF" w:rsidRDefault="00000000">
            <w:pPr>
              <w:widowControl w:val="0"/>
              <w:jc w:val="center"/>
              <w:rPr>
                <w:b/>
                <w:sz w:val="22"/>
                <w:szCs w:val="22"/>
              </w:rPr>
            </w:pPr>
            <w:r>
              <w:rPr>
                <w:b/>
                <w:sz w:val="22"/>
                <w:szCs w:val="22"/>
              </w:rPr>
              <w:t>100</w:t>
            </w:r>
          </w:p>
        </w:tc>
        <w:tc>
          <w:tcPr>
            <w:tcW w:w="885" w:type="dxa"/>
            <w:shd w:val="clear" w:color="auto" w:fill="auto"/>
            <w:tcMar>
              <w:top w:w="72" w:type="dxa"/>
              <w:left w:w="72" w:type="dxa"/>
              <w:bottom w:w="72" w:type="dxa"/>
              <w:right w:w="72" w:type="dxa"/>
            </w:tcMar>
            <w:vAlign w:val="center"/>
          </w:tcPr>
          <w:p w14:paraId="7849B9F3" w14:textId="77777777" w:rsidR="00044CEF" w:rsidRDefault="00000000">
            <w:pPr>
              <w:widowControl w:val="0"/>
              <w:jc w:val="center"/>
              <w:rPr>
                <w:b/>
                <w:sz w:val="22"/>
                <w:szCs w:val="22"/>
              </w:rPr>
            </w:pPr>
            <w:r>
              <w:rPr>
                <w:b/>
                <w:sz w:val="22"/>
                <w:szCs w:val="22"/>
              </w:rPr>
              <w:t>100</w:t>
            </w:r>
          </w:p>
        </w:tc>
        <w:tc>
          <w:tcPr>
            <w:tcW w:w="840" w:type="dxa"/>
            <w:shd w:val="clear" w:color="auto" w:fill="auto"/>
            <w:tcMar>
              <w:top w:w="72" w:type="dxa"/>
              <w:left w:w="72" w:type="dxa"/>
              <w:bottom w:w="72" w:type="dxa"/>
              <w:right w:w="72" w:type="dxa"/>
            </w:tcMar>
            <w:vAlign w:val="center"/>
          </w:tcPr>
          <w:p w14:paraId="3F6F9391" w14:textId="77777777" w:rsidR="00044CEF" w:rsidRDefault="00000000">
            <w:pPr>
              <w:widowControl w:val="0"/>
              <w:jc w:val="center"/>
              <w:rPr>
                <w:b/>
                <w:sz w:val="22"/>
                <w:szCs w:val="22"/>
              </w:rPr>
            </w:pPr>
            <w:r>
              <w:rPr>
                <w:b/>
                <w:sz w:val="22"/>
                <w:szCs w:val="22"/>
              </w:rPr>
              <w:t>100</w:t>
            </w:r>
          </w:p>
        </w:tc>
        <w:tc>
          <w:tcPr>
            <w:tcW w:w="930" w:type="dxa"/>
            <w:shd w:val="clear" w:color="auto" w:fill="auto"/>
            <w:tcMar>
              <w:top w:w="72" w:type="dxa"/>
              <w:left w:w="72" w:type="dxa"/>
              <w:bottom w:w="72" w:type="dxa"/>
              <w:right w:w="72" w:type="dxa"/>
            </w:tcMar>
            <w:vAlign w:val="center"/>
          </w:tcPr>
          <w:p w14:paraId="367CF7EB" w14:textId="77777777" w:rsidR="00044CEF" w:rsidRDefault="00000000">
            <w:pPr>
              <w:widowControl w:val="0"/>
              <w:jc w:val="center"/>
              <w:rPr>
                <w:b/>
                <w:sz w:val="22"/>
                <w:szCs w:val="22"/>
              </w:rPr>
            </w:pPr>
            <w:r>
              <w:rPr>
                <w:b/>
                <w:sz w:val="22"/>
                <w:szCs w:val="22"/>
              </w:rPr>
              <w:t>100</w:t>
            </w:r>
          </w:p>
        </w:tc>
        <w:tc>
          <w:tcPr>
            <w:tcW w:w="945" w:type="dxa"/>
            <w:shd w:val="clear" w:color="auto" w:fill="auto"/>
            <w:tcMar>
              <w:top w:w="72" w:type="dxa"/>
              <w:left w:w="72" w:type="dxa"/>
              <w:bottom w:w="72" w:type="dxa"/>
              <w:right w:w="72" w:type="dxa"/>
            </w:tcMar>
            <w:vAlign w:val="center"/>
          </w:tcPr>
          <w:p w14:paraId="733FCED4" w14:textId="77777777" w:rsidR="00044CEF" w:rsidRDefault="00000000">
            <w:pPr>
              <w:widowControl w:val="0"/>
              <w:jc w:val="center"/>
              <w:rPr>
                <w:b/>
                <w:sz w:val="22"/>
                <w:szCs w:val="22"/>
              </w:rPr>
            </w:pPr>
            <w:r>
              <w:rPr>
                <w:b/>
                <w:sz w:val="22"/>
                <w:szCs w:val="22"/>
              </w:rPr>
              <w:t>100</w:t>
            </w:r>
          </w:p>
        </w:tc>
        <w:tc>
          <w:tcPr>
            <w:tcW w:w="945" w:type="dxa"/>
            <w:shd w:val="clear" w:color="auto" w:fill="auto"/>
            <w:tcMar>
              <w:top w:w="72" w:type="dxa"/>
              <w:left w:w="72" w:type="dxa"/>
              <w:bottom w:w="72" w:type="dxa"/>
              <w:right w:w="72" w:type="dxa"/>
            </w:tcMar>
            <w:vAlign w:val="center"/>
          </w:tcPr>
          <w:p w14:paraId="71EEA0C3" w14:textId="77777777" w:rsidR="00044CEF" w:rsidRDefault="00000000">
            <w:pPr>
              <w:widowControl w:val="0"/>
              <w:jc w:val="center"/>
              <w:rPr>
                <w:b/>
                <w:sz w:val="22"/>
                <w:szCs w:val="22"/>
              </w:rPr>
            </w:pPr>
            <w:r>
              <w:rPr>
                <w:b/>
                <w:sz w:val="22"/>
                <w:szCs w:val="22"/>
              </w:rPr>
              <w:t>500</w:t>
            </w:r>
          </w:p>
        </w:tc>
      </w:tr>
      <w:tr w:rsidR="00044CEF" w14:paraId="4A270CEC" w14:textId="77777777">
        <w:trPr>
          <w:trHeight w:val="493"/>
        </w:trPr>
        <w:tc>
          <w:tcPr>
            <w:tcW w:w="3870" w:type="dxa"/>
            <w:shd w:val="clear" w:color="auto" w:fill="auto"/>
            <w:tcMar>
              <w:top w:w="72" w:type="dxa"/>
              <w:left w:w="72" w:type="dxa"/>
              <w:bottom w:w="72" w:type="dxa"/>
              <w:right w:w="72" w:type="dxa"/>
            </w:tcMar>
          </w:tcPr>
          <w:p w14:paraId="39EA3FB3" w14:textId="77777777" w:rsidR="00044CEF" w:rsidRDefault="00000000">
            <w:pPr>
              <w:widowControl w:val="0"/>
              <w:rPr>
                <w:sz w:val="22"/>
                <w:szCs w:val="22"/>
              </w:rPr>
            </w:pPr>
            <w:r>
              <w:rPr>
                <w:sz w:val="22"/>
                <w:szCs w:val="22"/>
              </w:rPr>
              <w:t xml:space="preserve"># </w:t>
            </w:r>
            <w:proofErr w:type="gramStart"/>
            <w:r>
              <w:rPr>
                <w:sz w:val="22"/>
                <w:szCs w:val="22"/>
              </w:rPr>
              <w:t>of  Solar</w:t>
            </w:r>
            <w:proofErr w:type="gramEnd"/>
            <w:r>
              <w:rPr>
                <w:sz w:val="22"/>
                <w:szCs w:val="22"/>
              </w:rPr>
              <w:t xml:space="preserve"> Arrays Deployed </w:t>
            </w:r>
          </w:p>
        </w:tc>
        <w:tc>
          <w:tcPr>
            <w:tcW w:w="975" w:type="dxa"/>
            <w:shd w:val="clear" w:color="auto" w:fill="auto"/>
            <w:tcMar>
              <w:top w:w="72" w:type="dxa"/>
              <w:left w:w="72" w:type="dxa"/>
              <w:bottom w:w="72" w:type="dxa"/>
              <w:right w:w="72" w:type="dxa"/>
            </w:tcMar>
          </w:tcPr>
          <w:p w14:paraId="6A9A7C75" w14:textId="77777777" w:rsidR="00044CEF" w:rsidRDefault="00000000">
            <w:pPr>
              <w:widowControl w:val="0"/>
              <w:jc w:val="center"/>
              <w:rPr>
                <w:b/>
                <w:sz w:val="22"/>
                <w:szCs w:val="22"/>
              </w:rPr>
            </w:pPr>
            <w:r>
              <w:rPr>
                <w:b/>
                <w:sz w:val="22"/>
                <w:szCs w:val="22"/>
              </w:rPr>
              <w:t>19</w:t>
            </w:r>
          </w:p>
        </w:tc>
        <w:tc>
          <w:tcPr>
            <w:tcW w:w="885" w:type="dxa"/>
            <w:shd w:val="clear" w:color="auto" w:fill="auto"/>
            <w:tcMar>
              <w:top w:w="72" w:type="dxa"/>
              <w:left w:w="72" w:type="dxa"/>
              <w:bottom w:w="72" w:type="dxa"/>
              <w:right w:w="72" w:type="dxa"/>
            </w:tcMar>
          </w:tcPr>
          <w:p w14:paraId="43A58AD1" w14:textId="77777777" w:rsidR="00044CEF" w:rsidRDefault="00000000">
            <w:pPr>
              <w:widowControl w:val="0"/>
              <w:jc w:val="center"/>
              <w:rPr>
                <w:b/>
                <w:sz w:val="22"/>
                <w:szCs w:val="22"/>
              </w:rPr>
            </w:pPr>
            <w:r>
              <w:rPr>
                <w:b/>
                <w:sz w:val="22"/>
                <w:szCs w:val="22"/>
              </w:rPr>
              <w:t>19</w:t>
            </w:r>
          </w:p>
        </w:tc>
        <w:tc>
          <w:tcPr>
            <w:tcW w:w="840" w:type="dxa"/>
            <w:shd w:val="clear" w:color="auto" w:fill="auto"/>
            <w:tcMar>
              <w:top w:w="72" w:type="dxa"/>
              <w:left w:w="72" w:type="dxa"/>
              <w:bottom w:w="72" w:type="dxa"/>
              <w:right w:w="72" w:type="dxa"/>
            </w:tcMar>
          </w:tcPr>
          <w:p w14:paraId="40CB467F" w14:textId="77777777" w:rsidR="00044CEF" w:rsidRDefault="00000000">
            <w:pPr>
              <w:widowControl w:val="0"/>
              <w:jc w:val="center"/>
              <w:rPr>
                <w:b/>
                <w:sz w:val="22"/>
                <w:szCs w:val="22"/>
              </w:rPr>
            </w:pPr>
            <w:r>
              <w:rPr>
                <w:b/>
                <w:sz w:val="22"/>
                <w:szCs w:val="22"/>
              </w:rPr>
              <w:t>19</w:t>
            </w:r>
          </w:p>
        </w:tc>
        <w:tc>
          <w:tcPr>
            <w:tcW w:w="930" w:type="dxa"/>
            <w:shd w:val="clear" w:color="auto" w:fill="auto"/>
            <w:tcMar>
              <w:top w:w="72" w:type="dxa"/>
              <w:left w:w="72" w:type="dxa"/>
              <w:bottom w:w="72" w:type="dxa"/>
              <w:right w:w="72" w:type="dxa"/>
            </w:tcMar>
          </w:tcPr>
          <w:p w14:paraId="515C566B" w14:textId="77777777" w:rsidR="00044CEF" w:rsidRDefault="00000000">
            <w:pPr>
              <w:widowControl w:val="0"/>
              <w:jc w:val="center"/>
              <w:rPr>
                <w:b/>
                <w:sz w:val="22"/>
                <w:szCs w:val="22"/>
              </w:rPr>
            </w:pPr>
            <w:r>
              <w:rPr>
                <w:b/>
                <w:sz w:val="22"/>
                <w:szCs w:val="22"/>
              </w:rPr>
              <w:t>19</w:t>
            </w:r>
          </w:p>
        </w:tc>
        <w:tc>
          <w:tcPr>
            <w:tcW w:w="945" w:type="dxa"/>
            <w:shd w:val="clear" w:color="auto" w:fill="auto"/>
            <w:tcMar>
              <w:top w:w="72" w:type="dxa"/>
              <w:left w:w="72" w:type="dxa"/>
              <w:bottom w:w="72" w:type="dxa"/>
              <w:right w:w="72" w:type="dxa"/>
            </w:tcMar>
          </w:tcPr>
          <w:p w14:paraId="5E6C305E" w14:textId="77777777" w:rsidR="00044CEF" w:rsidRDefault="00000000">
            <w:pPr>
              <w:widowControl w:val="0"/>
              <w:jc w:val="center"/>
              <w:rPr>
                <w:b/>
                <w:sz w:val="22"/>
                <w:szCs w:val="22"/>
              </w:rPr>
            </w:pPr>
            <w:r>
              <w:rPr>
                <w:b/>
                <w:sz w:val="22"/>
                <w:szCs w:val="22"/>
              </w:rPr>
              <w:t>19</w:t>
            </w:r>
          </w:p>
        </w:tc>
        <w:tc>
          <w:tcPr>
            <w:tcW w:w="945" w:type="dxa"/>
            <w:shd w:val="clear" w:color="auto" w:fill="auto"/>
            <w:tcMar>
              <w:top w:w="72" w:type="dxa"/>
              <w:left w:w="72" w:type="dxa"/>
              <w:bottom w:w="72" w:type="dxa"/>
              <w:right w:w="72" w:type="dxa"/>
            </w:tcMar>
          </w:tcPr>
          <w:p w14:paraId="77887CC2" w14:textId="77777777" w:rsidR="00044CEF" w:rsidRDefault="00000000">
            <w:pPr>
              <w:widowControl w:val="0"/>
              <w:jc w:val="center"/>
              <w:rPr>
                <w:b/>
                <w:sz w:val="22"/>
                <w:szCs w:val="22"/>
              </w:rPr>
            </w:pPr>
            <w:r>
              <w:rPr>
                <w:b/>
                <w:sz w:val="22"/>
                <w:szCs w:val="22"/>
              </w:rPr>
              <w:t>95</w:t>
            </w:r>
          </w:p>
        </w:tc>
      </w:tr>
      <w:tr w:rsidR="00044CEF" w14:paraId="410521C5" w14:textId="77777777">
        <w:tc>
          <w:tcPr>
            <w:tcW w:w="3870" w:type="dxa"/>
            <w:shd w:val="clear" w:color="auto" w:fill="auto"/>
            <w:tcMar>
              <w:top w:w="72" w:type="dxa"/>
              <w:left w:w="72" w:type="dxa"/>
              <w:bottom w:w="72" w:type="dxa"/>
              <w:right w:w="72" w:type="dxa"/>
            </w:tcMar>
          </w:tcPr>
          <w:p w14:paraId="57278988" w14:textId="77777777" w:rsidR="00044CEF" w:rsidRDefault="00000000">
            <w:pPr>
              <w:widowControl w:val="0"/>
              <w:rPr>
                <w:sz w:val="22"/>
                <w:szCs w:val="22"/>
              </w:rPr>
            </w:pPr>
            <w:r>
              <w:rPr>
                <w:sz w:val="22"/>
                <w:szCs w:val="22"/>
              </w:rPr>
              <w:t xml:space="preserve"># of GHG Emissions Reduced </w:t>
            </w:r>
          </w:p>
        </w:tc>
        <w:tc>
          <w:tcPr>
            <w:tcW w:w="975" w:type="dxa"/>
            <w:tcMar>
              <w:top w:w="40" w:type="dxa"/>
              <w:left w:w="40" w:type="dxa"/>
              <w:bottom w:w="40" w:type="dxa"/>
              <w:right w:w="40" w:type="dxa"/>
            </w:tcMar>
          </w:tcPr>
          <w:p w14:paraId="22D41168" w14:textId="77777777" w:rsidR="00044CEF" w:rsidRDefault="00000000">
            <w:pPr>
              <w:widowControl w:val="0"/>
              <w:jc w:val="center"/>
              <w:rPr>
                <w:b/>
                <w:sz w:val="22"/>
                <w:szCs w:val="22"/>
              </w:rPr>
            </w:pPr>
            <w:r>
              <w:rPr>
                <w:b/>
                <w:sz w:val="22"/>
                <w:szCs w:val="22"/>
              </w:rPr>
              <w:t>12,878</w:t>
            </w:r>
          </w:p>
        </w:tc>
        <w:tc>
          <w:tcPr>
            <w:tcW w:w="885" w:type="dxa"/>
            <w:tcMar>
              <w:top w:w="40" w:type="dxa"/>
              <w:left w:w="40" w:type="dxa"/>
              <w:bottom w:w="40" w:type="dxa"/>
              <w:right w:w="40" w:type="dxa"/>
            </w:tcMar>
          </w:tcPr>
          <w:p w14:paraId="3CAC84F2" w14:textId="77777777" w:rsidR="00044CEF" w:rsidRDefault="00000000">
            <w:pPr>
              <w:widowControl w:val="0"/>
              <w:jc w:val="center"/>
              <w:rPr>
                <w:b/>
                <w:sz w:val="22"/>
                <w:szCs w:val="22"/>
              </w:rPr>
            </w:pPr>
            <w:r>
              <w:rPr>
                <w:b/>
                <w:sz w:val="22"/>
                <w:szCs w:val="22"/>
              </w:rPr>
              <w:t>31,356</w:t>
            </w:r>
          </w:p>
        </w:tc>
        <w:tc>
          <w:tcPr>
            <w:tcW w:w="840" w:type="dxa"/>
            <w:tcMar>
              <w:top w:w="40" w:type="dxa"/>
              <w:left w:w="40" w:type="dxa"/>
              <w:bottom w:w="40" w:type="dxa"/>
              <w:right w:w="40" w:type="dxa"/>
            </w:tcMar>
          </w:tcPr>
          <w:p w14:paraId="4174FA4D" w14:textId="77777777" w:rsidR="00044CEF" w:rsidRDefault="00000000">
            <w:pPr>
              <w:widowControl w:val="0"/>
              <w:jc w:val="center"/>
              <w:rPr>
                <w:b/>
                <w:sz w:val="22"/>
                <w:szCs w:val="22"/>
              </w:rPr>
            </w:pPr>
            <w:r>
              <w:rPr>
                <w:b/>
                <w:sz w:val="22"/>
                <w:szCs w:val="22"/>
              </w:rPr>
              <w:t>53,974</w:t>
            </w:r>
          </w:p>
        </w:tc>
        <w:tc>
          <w:tcPr>
            <w:tcW w:w="930" w:type="dxa"/>
            <w:tcMar>
              <w:top w:w="40" w:type="dxa"/>
              <w:left w:w="40" w:type="dxa"/>
              <w:bottom w:w="40" w:type="dxa"/>
              <w:right w:w="40" w:type="dxa"/>
            </w:tcMar>
          </w:tcPr>
          <w:p w14:paraId="3FB33344" w14:textId="77777777" w:rsidR="00044CEF" w:rsidRDefault="00000000">
            <w:pPr>
              <w:widowControl w:val="0"/>
              <w:jc w:val="center"/>
              <w:rPr>
                <w:b/>
                <w:sz w:val="22"/>
                <w:szCs w:val="22"/>
              </w:rPr>
            </w:pPr>
            <w:r>
              <w:rPr>
                <w:b/>
                <w:sz w:val="22"/>
                <w:szCs w:val="22"/>
              </w:rPr>
              <w:t>271,926</w:t>
            </w:r>
          </w:p>
        </w:tc>
        <w:tc>
          <w:tcPr>
            <w:tcW w:w="945" w:type="dxa"/>
            <w:tcMar>
              <w:top w:w="40" w:type="dxa"/>
              <w:left w:w="40" w:type="dxa"/>
              <w:bottom w:w="40" w:type="dxa"/>
              <w:right w:w="40" w:type="dxa"/>
            </w:tcMar>
          </w:tcPr>
          <w:p w14:paraId="58C282A1" w14:textId="77777777" w:rsidR="00044CEF" w:rsidRDefault="00000000">
            <w:pPr>
              <w:widowControl w:val="0"/>
              <w:jc w:val="center"/>
              <w:rPr>
                <w:b/>
                <w:sz w:val="22"/>
                <w:szCs w:val="22"/>
              </w:rPr>
            </w:pPr>
            <w:r>
              <w:rPr>
                <w:b/>
                <w:sz w:val="22"/>
                <w:szCs w:val="22"/>
              </w:rPr>
              <w:t>87,472</w:t>
            </w:r>
          </w:p>
        </w:tc>
        <w:tc>
          <w:tcPr>
            <w:tcW w:w="945" w:type="dxa"/>
            <w:tcMar>
              <w:top w:w="40" w:type="dxa"/>
              <w:left w:w="40" w:type="dxa"/>
              <w:bottom w:w="40" w:type="dxa"/>
              <w:right w:w="40" w:type="dxa"/>
            </w:tcMar>
          </w:tcPr>
          <w:p w14:paraId="391A4CE8" w14:textId="77777777" w:rsidR="00044CEF" w:rsidRDefault="00000000">
            <w:pPr>
              <w:widowControl w:val="0"/>
              <w:jc w:val="center"/>
              <w:rPr>
                <w:b/>
                <w:sz w:val="22"/>
                <w:szCs w:val="22"/>
              </w:rPr>
            </w:pPr>
            <w:r>
              <w:rPr>
                <w:b/>
                <w:sz w:val="22"/>
                <w:szCs w:val="22"/>
              </w:rPr>
              <w:t>241,623</w:t>
            </w:r>
          </w:p>
        </w:tc>
      </w:tr>
      <w:tr w:rsidR="00044CEF" w14:paraId="3794A3C0" w14:textId="77777777">
        <w:trPr>
          <w:trHeight w:val="420"/>
        </w:trPr>
        <w:tc>
          <w:tcPr>
            <w:tcW w:w="9390" w:type="dxa"/>
            <w:gridSpan w:val="7"/>
            <w:shd w:val="clear" w:color="auto" w:fill="CFE2F3"/>
            <w:tcMar>
              <w:top w:w="72" w:type="dxa"/>
              <w:left w:w="72" w:type="dxa"/>
              <w:bottom w:w="72" w:type="dxa"/>
              <w:right w:w="72" w:type="dxa"/>
            </w:tcMar>
          </w:tcPr>
          <w:p w14:paraId="7CED52F6" w14:textId="77777777" w:rsidR="00044CEF" w:rsidRDefault="00000000">
            <w:pPr>
              <w:widowControl w:val="0"/>
              <w:rPr>
                <w:sz w:val="22"/>
                <w:szCs w:val="22"/>
              </w:rPr>
            </w:pPr>
            <w:r>
              <w:rPr>
                <w:b/>
                <w:sz w:val="22"/>
                <w:szCs w:val="22"/>
              </w:rPr>
              <w:t>Outcome: Reduced CAP Emissions in the Commercial and Building Sector.</w:t>
            </w:r>
          </w:p>
        </w:tc>
      </w:tr>
      <w:tr w:rsidR="00044CEF" w14:paraId="652B8F8E" w14:textId="77777777">
        <w:tc>
          <w:tcPr>
            <w:tcW w:w="3870" w:type="dxa"/>
            <w:shd w:val="clear" w:color="auto" w:fill="auto"/>
            <w:tcMar>
              <w:top w:w="72" w:type="dxa"/>
              <w:left w:w="72" w:type="dxa"/>
              <w:bottom w:w="72" w:type="dxa"/>
              <w:right w:w="72" w:type="dxa"/>
            </w:tcMar>
          </w:tcPr>
          <w:p w14:paraId="5C5AC44E" w14:textId="77777777" w:rsidR="00044CEF" w:rsidRDefault="00000000">
            <w:pPr>
              <w:widowControl w:val="0"/>
              <w:rPr>
                <w:sz w:val="22"/>
                <w:szCs w:val="22"/>
              </w:rPr>
            </w:pPr>
            <w:r>
              <w:rPr>
                <w:sz w:val="22"/>
                <w:szCs w:val="22"/>
              </w:rPr>
              <w:t># of SO</w:t>
            </w:r>
            <w:r>
              <w:rPr>
                <w:sz w:val="22"/>
                <w:szCs w:val="22"/>
                <w:vertAlign w:val="subscript"/>
              </w:rPr>
              <w:t>2</w:t>
            </w:r>
            <w:r>
              <w:rPr>
                <w:sz w:val="22"/>
                <w:szCs w:val="22"/>
              </w:rPr>
              <w:t xml:space="preserve"> (</w:t>
            </w:r>
            <w:proofErr w:type="spellStart"/>
            <w:r>
              <w:rPr>
                <w:sz w:val="22"/>
                <w:szCs w:val="22"/>
              </w:rPr>
              <w:t>lbs</w:t>
            </w:r>
            <w:proofErr w:type="spellEnd"/>
            <w:r>
              <w:rPr>
                <w:sz w:val="22"/>
                <w:szCs w:val="22"/>
              </w:rPr>
              <w:t xml:space="preserve">) Emissions Reduced </w:t>
            </w:r>
          </w:p>
        </w:tc>
        <w:tc>
          <w:tcPr>
            <w:tcW w:w="975" w:type="dxa"/>
            <w:shd w:val="clear" w:color="auto" w:fill="auto"/>
            <w:tcMar>
              <w:top w:w="72" w:type="dxa"/>
              <w:left w:w="72" w:type="dxa"/>
              <w:bottom w:w="72" w:type="dxa"/>
              <w:right w:w="72" w:type="dxa"/>
            </w:tcMar>
          </w:tcPr>
          <w:p w14:paraId="2129D016" w14:textId="77777777" w:rsidR="00044CEF" w:rsidRDefault="00000000">
            <w:pPr>
              <w:widowControl w:val="0"/>
              <w:jc w:val="center"/>
              <w:rPr>
                <w:b/>
                <w:sz w:val="22"/>
                <w:szCs w:val="22"/>
              </w:rPr>
            </w:pPr>
            <w:r>
              <w:rPr>
                <w:b/>
                <w:sz w:val="22"/>
                <w:szCs w:val="22"/>
              </w:rPr>
              <w:t>300</w:t>
            </w:r>
          </w:p>
        </w:tc>
        <w:tc>
          <w:tcPr>
            <w:tcW w:w="885" w:type="dxa"/>
            <w:shd w:val="clear" w:color="auto" w:fill="auto"/>
            <w:tcMar>
              <w:top w:w="72" w:type="dxa"/>
              <w:left w:w="72" w:type="dxa"/>
              <w:bottom w:w="72" w:type="dxa"/>
              <w:right w:w="72" w:type="dxa"/>
            </w:tcMar>
          </w:tcPr>
          <w:p w14:paraId="5C20971C" w14:textId="77777777" w:rsidR="00044CEF" w:rsidRDefault="00000000">
            <w:pPr>
              <w:widowControl w:val="0"/>
              <w:jc w:val="center"/>
              <w:rPr>
                <w:b/>
                <w:sz w:val="22"/>
                <w:szCs w:val="22"/>
              </w:rPr>
            </w:pPr>
            <w:r>
              <w:rPr>
                <w:b/>
                <w:sz w:val="22"/>
                <w:szCs w:val="22"/>
              </w:rPr>
              <w:t>698</w:t>
            </w:r>
          </w:p>
        </w:tc>
        <w:tc>
          <w:tcPr>
            <w:tcW w:w="840" w:type="dxa"/>
            <w:shd w:val="clear" w:color="auto" w:fill="auto"/>
            <w:tcMar>
              <w:top w:w="72" w:type="dxa"/>
              <w:left w:w="72" w:type="dxa"/>
              <w:bottom w:w="72" w:type="dxa"/>
              <w:right w:w="72" w:type="dxa"/>
            </w:tcMar>
          </w:tcPr>
          <w:p w14:paraId="6951F312" w14:textId="77777777" w:rsidR="00044CEF" w:rsidRDefault="00000000">
            <w:pPr>
              <w:widowControl w:val="0"/>
              <w:jc w:val="center"/>
              <w:rPr>
                <w:b/>
                <w:sz w:val="22"/>
                <w:szCs w:val="22"/>
              </w:rPr>
            </w:pPr>
            <w:r>
              <w:rPr>
                <w:b/>
                <w:sz w:val="22"/>
                <w:szCs w:val="22"/>
              </w:rPr>
              <w:t>697</w:t>
            </w:r>
          </w:p>
        </w:tc>
        <w:tc>
          <w:tcPr>
            <w:tcW w:w="930" w:type="dxa"/>
            <w:shd w:val="clear" w:color="auto" w:fill="auto"/>
            <w:tcMar>
              <w:top w:w="72" w:type="dxa"/>
              <w:left w:w="72" w:type="dxa"/>
              <w:bottom w:w="72" w:type="dxa"/>
              <w:right w:w="72" w:type="dxa"/>
            </w:tcMar>
          </w:tcPr>
          <w:p w14:paraId="07E6FAF2" w14:textId="77777777" w:rsidR="00044CEF" w:rsidRDefault="00000000">
            <w:pPr>
              <w:widowControl w:val="0"/>
              <w:jc w:val="center"/>
              <w:rPr>
                <w:b/>
                <w:sz w:val="22"/>
                <w:szCs w:val="22"/>
              </w:rPr>
            </w:pPr>
            <w:r>
              <w:rPr>
                <w:b/>
                <w:sz w:val="22"/>
                <w:szCs w:val="22"/>
              </w:rPr>
              <w:t>698</w:t>
            </w:r>
          </w:p>
        </w:tc>
        <w:tc>
          <w:tcPr>
            <w:tcW w:w="945" w:type="dxa"/>
            <w:shd w:val="clear" w:color="auto" w:fill="auto"/>
            <w:tcMar>
              <w:top w:w="72" w:type="dxa"/>
              <w:left w:w="72" w:type="dxa"/>
              <w:bottom w:w="72" w:type="dxa"/>
              <w:right w:w="72" w:type="dxa"/>
            </w:tcMar>
          </w:tcPr>
          <w:p w14:paraId="4335BDA0" w14:textId="77777777" w:rsidR="00044CEF" w:rsidRDefault="00000000">
            <w:pPr>
              <w:widowControl w:val="0"/>
              <w:jc w:val="center"/>
              <w:rPr>
                <w:b/>
                <w:sz w:val="22"/>
                <w:szCs w:val="22"/>
              </w:rPr>
            </w:pPr>
            <w:r>
              <w:rPr>
                <w:b/>
                <w:sz w:val="22"/>
                <w:szCs w:val="22"/>
              </w:rPr>
              <w:t>697</w:t>
            </w:r>
          </w:p>
        </w:tc>
        <w:tc>
          <w:tcPr>
            <w:tcW w:w="945" w:type="dxa"/>
            <w:shd w:val="clear" w:color="auto" w:fill="auto"/>
            <w:tcMar>
              <w:top w:w="72" w:type="dxa"/>
              <w:left w:w="72" w:type="dxa"/>
              <w:bottom w:w="72" w:type="dxa"/>
              <w:right w:w="72" w:type="dxa"/>
            </w:tcMar>
          </w:tcPr>
          <w:p w14:paraId="7FB8874D" w14:textId="77777777" w:rsidR="00044CEF" w:rsidRDefault="00000000">
            <w:pPr>
              <w:widowControl w:val="0"/>
              <w:jc w:val="center"/>
              <w:rPr>
                <w:b/>
                <w:sz w:val="22"/>
                <w:szCs w:val="22"/>
              </w:rPr>
            </w:pPr>
            <w:r>
              <w:rPr>
                <w:b/>
                <w:sz w:val="22"/>
                <w:szCs w:val="22"/>
              </w:rPr>
              <w:t>3,090</w:t>
            </w:r>
          </w:p>
        </w:tc>
      </w:tr>
      <w:tr w:rsidR="00044CEF" w14:paraId="00BF3AE4" w14:textId="77777777">
        <w:tc>
          <w:tcPr>
            <w:tcW w:w="3870" w:type="dxa"/>
            <w:shd w:val="clear" w:color="auto" w:fill="auto"/>
            <w:tcMar>
              <w:top w:w="72" w:type="dxa"/>
              <w:left w:w="72" w:type="dxa"/>
              <w:bottom w:w="72" w:type="dxa"/>
              <w:right w:w="72" w:type="dxa"/>
            </w:tcMar>
          </w:tcPr>
          <w:p w14:paraId="532F1AB8" w14:textId="77777777" w:rsidR="00044CEF" w:rsidRDefault="00000000">
            <w:pPr>
              <w:widowControl w:val="0"/>
              <w:rPr>
                <w:sz w:val="22"/>
                <w:szCs w:val="22"/>
              </w:rPr>
            </w:pPr>
            <w:r>
              <w:rPr>
                <w:sz w:val="22"/>
                <w:szCs w:val="22"/>
              </w:rPr>
              <w:t># of NO</w:t>
            </w:r>
            <w:r>
              <w:rPr>
                <w:sz w:val="22"/>
                <w:szCs w:val="22"/>
                <w:vertAlign w:val="subscript"/>
              </w:rPr>
              <w:t>x</w:t>
            </w:r>
            <w:r>
              <w:rPr>
                <w:sz w:val="22"/>
                <w:szCs w:val="22"/>
              </w:rPr>
              <w:t xml:space="preserve"> (</w:t>
            </w:r>
            <w:proofErr w:type="spellStart"/>
            <w:r>
              <w:rPr>
                <w:sz w:val="22"/>
                <w:szCs w:val="22"/>
              </w:rPr>
              <w:t>lbs</w:t>
            </w:r>
            <w:proofErr w:type="spellEnd"/>
            <w:r>
              <w:rPr>
                <w:sz w:val="22"/>
                <w:szCs w:val="22"/>
              </w:rPr>
              <w:t xml:space="preserve">) Emissions Reduced </w:t>
            </w:r>
          </w:p>
        </w:tc>
        <w:tc>
          <w:tcPr>
            <w:tcW w:w="975" w:type="dxa"/>
            <w:shd w:val="clear" w:color="auto" w:fill="auto"/>
            <w:tcMar>
              <w:top w:w="72" w:type="dxa"/>
              <w:left w:w="72" w:type="dxa"/>
              <w:bottom w:w="72" w:type="dxa"/>
              <w:right w:w="72" w:type="dxa"/>
            </w:tcMar>
          </w:tcPr>
          <w:p w14:paraId="5120E068" w14:textId="77777777" w:rsidR="00044CEF" w:rsidRDefault="00000000">
            <w:pPr>
              <w:widowControl w:val="0"/>
              <w:jc w:val="center"/>
              <w:rPr>
                <w:b/>
                <w:sz w:val="22"/>
                <w:szCs w:val="22"/>
              </w:rPr>
            </w:pPr>
            <w:r>
              <w:rPr>
                <w:b/>
                <w:sz w:val="22"/>
                <w:szCs w:val="22"/>
              </w:rPr>
              <w:t>1,000</w:t>
            </w:r>
          </w:p>
        </w:tc>
        <w:tc>
          <w:tcPr>
            <w:tcW w:w="885" w:type="dxa"/>
            <w:shd w:val="clear" w:color="auto" w:fill="auto"/>
            <w:tcMar>
              <w:top w:w="72" w:type="dxa"/>
              <w:left w:w="72" w:type="dxa"/>
              <w:bottom w:w="72" w:type="dxa"/>
              <w:right w:w="72" w:type="dxa"/>
            </w:tcMar>
          </w:tcPr>
          <w:p w14:paraId="754DCE45" w14:textId="77777777" w:rsidR="00044CEF" w:rsidRDefault="00000000">
            <w:pPr>
              <w:widowControl w:val="0"/>
              <w:jc w:val="center"/>
              <w:rPr>
                <w:b/>
                <w:sz w:val="22"/>
                <w:szCs w:val="22"/>
              </w:rPr>
            </w:pPr>
            <w:r>
              <w:rPr>
                <w:b/>
                <w:sz w:val="22"/>
                <w:szCs w:val="22"/>
              </w:rPr>
              <w:t>2,040</w:t>
            </w:r>
          </w:p>
        </w:tc>
        <w:tc>
          <w:tcPr>
            <w:tcW w:w="840" w:type="dxa"/>
            <w:shd w:val="clear" w:color="auto" w:fill="auto"/>
            <w:tcMar>
              <w:top w:w="72" w:type="dxa"/>
              <w:left w:w="72" w:type="dxa"/>
              <w:bottom w:w="72" w:type="dxa"/>
              <w:right w:w="72" w:type="dxa"/>
            </w:tcMar>
          </w:tcPr>
          <w:p w14:paraId="44EF1AC3" w14:textId="77777777" w:rsidR="00044CEF" w:rsidRDefault="00000000">
            <w:pPr>
              <w:widowControl w:val="0"/>
              <w:jc w:val="center"/>
              <w:rPr>
                <w:b/>
                <w:sz w:val="22"/>
                <w:szCs w:val="22"/>
              </w:rPr>
            </w:pPr>
            <w:r>
              <w:rPr>
                <w:b/>
                <w:sz w:val="22"/>
                <w:szCs w:val="22"/>
              </w:rPr>
              <w:t>2,040</w:t>
            </w:r>
          </w:p>
        </w:tc>
        <w:tc>
          <w:tcPr>
            <w:tcW w:w="930" w:type="dxa"/>
            <w:shd w:val="clear" w:color="auto" w:fill="auto"/>
            <w:tcMar>
              <w:top w:w="72" w:type="dxa"/>
              <w:left w:w="72" w:type="dxa"/>
              <w:bottom w:w="72" w:type="dxa"/>
              <w:right w:w="72" w:type="dxa"/>
            </w:tcMar>
          </w:tcPr>
          <w:p w14:paraId="23E281AF" w14:textId="77777777" w:rsidR="00044CEF" w:rsidRDefault="00000000">
            <w:pPr>
              <w:widowControl w:val="0"/>
              <w:jc w:val="center"/>
              <w:rPr>
                <w:b/>
                <w:sz w:val="22"/>
                <w:szCs w:val="22"/>
              </w:rPr>
            </w:pPr>
            <w:r>
              <w:rPr>
                <w:b/>
                <w:sz w:val="22"/>
                <w:szCs w:val="22"/>
              </w:rPr>
              <w:t>2,040</w:t>
            </w:r>
          </w:p>
        </w:tc>
        <w:tc>
          <w:tcPr>
            <w:tcW w:w="945" w:type="dxa"/>
            <w:shd w:val="clear" w:color="auto" w:fill="auto"/>
            <w:tcMar>
              <w:top w:w="72" w:type="dxa"/>
              <w:left w:w="72" w:type="dxa"/>
              <w:bottom w:w="72" w:type="dxa"/>
              <w:right w:w="72" w:type="dxa"/>
            </w:tcMar>
          </w:tcPr>
          <w:p w14:paraId="4395DE0E" w14:textId="77777777" w:rsidR="00044CEF" w:rsidRDefault="00000000">
            <w:pPr>
              <w:widowControl w:val="0"/>
              <w:jc w:val="center"/>
              <w:rPr>
                <w:b/>
                <w:sz w:val="22"/>
                <w:szCs w:val="22"/>
              </w:rPr>
            </w:pPr>
            <w:r>
              <w:rPr>
                <w:b/>
                <w:sz w:val="22"/>
                <w:szCs w:val="22"/>
              </w:rPr>
              <w:t>2,040</w:t>
            </w:r>
          </w:p>
        </w:tc>
        <w:tc>
          <w:tcPr>
            <w:tcW w:w="945" w:type="dxa"/>
            <w:shd w:val="clear" w:color="auto" w:fill="auto"/>
            <w:tcMar>
              <w:top w:w="72" w:type="dxa"/>
              <w:left w:w="72" w:type="dxa"/>
              <w:bottom w:w="72" w:type="dxa"/>
              <w:right w:w="72" w:type="dxa"/>
            </w:tcMar>
          </w:tcPr>
          <w:p w14:paraId="6774A3DD" w14:textId="77777777" w:rsidR="00044CEF" w:rsidRDefault="00000000">
            <w:pPr>
              <w:widowControl w:val="0"/>
              <w:jc w:val="center"/>
              <w:rPr>
                <w:b/>
                <w:sz w:val="22"/>
                <w:szCs w:val="22"/>
              </w:rPr>
            </w:pPr>
            <w:r>
              <w:rPr>
                <w:b/>
                <w:sz w:val="22"/>
                <w:szCs w:val="22"/>
              </w:rPr>
              <w:t>9,160</w:t>
            </w:r>
          </w:p>
        </w:tc>
      </w:tr>
      <w:tr w:rsidR="00044CEF" w14:paraId="2E44325E" w14:textId="77777777">
        <w:tc>
          <w:tcPr>
            <w:tcW w:w="3870" w:type="dxa"/>
            <w:shd w:val="clear" w:color="auto" w:fill="auto"/>
            <w:tcMar>
              <w:top w:w="72" w:type="dxa"/>
              <w:left w:w="72" w:type="dxa"/>
              <w:bottom w:w="72" w:type="dxa"/>
              <w:right w:w="72" w:type="dxa"/>
            </w:tcMar>
          </w:tcPr>
          <w:p w14:paraId="4342FBFE" w14:textId="77777777" w:rsidR="00044CEF" w:rsidRDefault="00000000">
            <w:pPr>
              <w:widowControl w:val="0"/>
              <w:rPr>
                <w:sz w:val="22"/>
                <w:szCs w:val="22"/>
              </w:rPr>
            </w:pPr>
            <w:r>
              <w:rPr>
                <w:sz w:val="22"/>
                <w:szCs w:val="22"/>
              </w:rPr>
              <w:t># of PM</w:t>
            </w:r>
            <w:r>
              <w:rPr>
                <w:sz w:val="22"/>
                <w:szCs w:val="22"/>
                <w:vertAlign w:val="subscript"/>
              </w:rPr>
              <w:t>2.5</w:t>
            </w:r>
            <w:r>
              <w:rPr>
                <w:sz w:val="22"/>
                <w:szCs w:val="22"/>
              </w:rPr>
              <w:t xml:space="preserve"> (</w:t>
            </w:r>
            <w:proofErr w:type="spellStart"/>
            <w:r>
              <w:rPr>
                <w:sz w:val="22"/>
                <w:szCs w:val="22"/>
              </w:rPr>
              <w:t>lbs</w:t>
            </w:r>
            <w:proofErr w:type="spellEnd"/>
            <w:r>
              <w:rPr>
                <w:sz w:val="22"/>
                <w:szCs w:val="22"/>
              </w:rPr>
              <w:t xml:space="preserve">) Emissions Reduced </w:t>
            </w:r>
          </w:p>
        </w:tc>
        <w:tc>
          <w:tcPr>
            <w:tcW w:w="975" w:type="dxa"/>
            <w:shd w:val="clear" w:color="auto" w:fill="auto"/>
            <w:tcMar>
              <w:top w:w="72" w:type="dxa"/>
              <w:left w:w="72" w:type="dxa"/>
              <w:bottom w:w="72" w:type="dxa"/>
              <w:right w:w="72" w:type="dxa"/>
            </w:tcMar>
          </w:tcPr>
          <w:p w14:paraId="7BCA1DD5" w14:textId="77777777" w:rsidR="00044CEF" w:rsidRDefault="00000000">
            <w:pPr>
              <w:widowControl w:val="0"/>
              <w:jc w:val="center"/>
              <w:rPr>
                <w:b/>
                <w:sz w:val="22"/>
                <w:szCs w:val="22"/>
              </w:rPr>
            </w:pPr>
            <w:r>
              <w:rPr>
                <w:b/>
                <w:sz w:val="22"/>
                <w:szCs w:val="22"/>
              </w:rPr>
              <w:t>5,000</w:t>
            </w:r>
          </w:p>
        </w:tc>
        <w:tc>
          <w:tcPr>
            <w:tcW w:w="885" w:type="dxa"/>
            <w:shd w:val="clear" w:color="auto" w:fill="auto"/>
            <w:tcMar>
              <w:top w:w="72" w:type="dxa"/>
              <w:left w:w="72" w:type="dxa"/>
              <w:bottom w:w="72" w:type="dxa"/>
              <w:right w:w="72" w:type="dxa"/>
            </w:tcMar>
          </w:tcPr>
          <w:p w14:paraId="13E76287" w14:textId="77777777" w:rsidR="00044CEF" w:rsidRDefault="00000000">
            <w:pPr>
              <w:widowControl w:val="0"/>
              <w:jc w:val="center"/>
              <w:rPr>
                <w:b/>
                <w:sz w:val="22"/>
                <w:szCs w:val="22"/>
              </w:rPr>
            </w:pPr>
            <w:r>
              <w:rPr>
                <w:b/>
                <w:sz w:val="22"/>
                <w:szCs w:val="22"/>
              </w:rPr>
              <w:t>10,590</w:t>
            </w:r>
          </w:p>
        </w:tc>
        <w:tc>
          <w:tcPr>
            <w:tcW w:w="840" w:type="dxa"/>
            <w:shd w:val="clear" w:color="auto" w:fill="auto"/>
            <w:tcMar>
              <w:top w:w="72" w:type="dxa"/>
              <w:left w:w="72" w:type="dxa"/>
              <w:bottom w:w="72" w:type="dxa"/>
              <w:right w:w="72" w:type="dxa"/>
            </w:tcMar>
          </w:tcPr>
          <w:p w14:paraId="2EBB88F8" w14:textId="77777777" w:rsidR="00044CEF" w:rsidRDefault="00000000">
            <w:pPr>
              <w:widowControl w:val="0"/>
              <w:jc w:val="center"/>
              <w:rPr>
                <w:b/>
                <w:sz w:val="22"/>
                <w:szCs w:val="22"/>
              </w:rPr>
            </w:pPr>
            <w:r>
              <w:rPr>
                <w:b/>
                <w:sz w:val="22"/>
                <w:szCs w:val="22"/>
              </w:rPr>
              <w:t>10,590</w:t>
            </w:r>
          </w:p>
        </w:tc>
        <w:tc>
          <w:tcPr>
            <w:tcW w:w="930" w:type="dxa"/>
            <w:shd w:val="clear" w:color="auto" w:fill="auto"/>
            <w:tcMar>
              <w:top w:w="72" w:type="dxa"/>
              <w:left w:w="72" w:type="dxa"/>
              <w:bottom w:w="72" w:type="dxa"/>
              <w:right w:w="72" w:type="dxa"/>
            </w:tcMar>
          </w:tcPr>
          <w:p w14:paraId="6B826736" w14:textId="77777777" w:rsidR="00044CEF" w:rsidRDefault="00000000">
            <w:pPr>
              <w:widowControl w:val="0"/>
              <w:jc w:val="center"/>
              <w:rPr>
                <w:b/>
                <w:sz w:val="22"/>
                <w:szCs w:val="22"/>
              </w:rPr>
            </w:pPr>
            <w:r>
              <w:rPr>
                <w:b/>
                <w:sz w:val="22"/>
                <w:szCs w:val="22"/>
              </w:rPr>
              <w:t>10,590</w:t>
            </w:r>
          </w:p>
        </w:tc>
        <w:tc>
          <w:tcPr>
            <w:tcW w:w="945" w:type="dxa"/>
            <w:shd w:val="clear" w:color="auto" w:fill="auto"/>
            <w:tcMar>
              <w:top w:w="72" w:type="dxa"/>
              <w:left w:w="72" w:type="dxa"/>
              <w:bottom w:w="72" w:type="dxa"/>
              <w:right w:w="72" w:type="dxa"/>
            </w:tcMar>
          </w:tcPr>
          <w:p w14:paraId="04BE69A6" w14:textId="77777777" w:rsidR="00044CEF" w:rsidRDefault="00000000">
            <w:pPr>
              <w:widowControl w:val="0"/>
              <w:jc w:val="center"/>
              <w:rPr>
                <w:b/>
                <w:sz w:val="22"/>
                <w:szCs w:val="22"/>
              </w:rPr>
            </w:pPr>
            <w:r>
              <w:rPr>
                <w:b/>
                <w:sz w:val="22"/>
                <w:szCs w:val="22"/>
              </w:rPr>
              <w:t>10,590</w:t>
            </w:r>
          </w:p>
        </w:tc>
        <w:tc>
          <w:tcPr>
            <w:tcW w:w="945" w:type="dxa"/>
            <w:shd w:val="clear" w:color="auto" w:fill="auto"/>
            <w:tcMar>
              <w:top w:w="72" w:type="dxa"/>
              <w:left w:w="72" w:type="dxa"/>
              <w:bottom w:w="72" w:type="dxa"/>
              <w:right w:w="72" w:type="dxa"/>
            </w:tcMar>
          </w:tcPr>
          <w:p w14:paraId="17E7AF7E" w14:textId="77777777" w:rsidR="00044CEF" w:rsidRDefault="00000000">
            <w:pPr>
              <w:widowControl w:val="0"/>
              <w:jc w:val="center"/>
              <w:rPr>
                <w:b/>
                <w:sz w:val="22"/>
                <w:szCs w:val="22"/>
              </w:rPr>
            </w:pPr>
            <w:r>
              <w:rPr>
                <w:b/>
                <w:sz w:val="22"/>
                <w:szCs w:val="22"/>
              </w:rPr>
              <w:t>47,360</w:t>
            </w:r>
          </w:p>
        </w:tc>
      </w:tr>
      <w:tr w:rsidR="00044CEF" w14:paraId="0E61AD46" w14:textId="77777777">
        <w:tc>
          <w:tcPr>
            <w:tcW w:w="3870" w:type="dxa"/>
            <w:shd w:val="clear" w:color="auto" w:fill="auto"/>
            <w:tcMar>
              <w:top w:w="72" w:type="dxa"/>
              <w:left w:w="72" w:type="dxa"/>
              <w:bottom w:w="72" w:type="dxa"/>
              <w:right w:w="72" w:type="dxa"/>
            </w:tcMar>
          </w:tcPr>
          <w:p w14:paraId="094CFF77" w14:textId="77777777" w:rsidR="00044CEF" w:rsidRDefault="00000000">
            <w:pPr>
              <w:widowControl w:val="0"/>
              <w:rPr>
                <w:sz w:val="22"/>
                <w:szCs w:val="22"/>
              </w:rPr>
            </w:pPr>
            <w:r>
              <w:rPr>
                <w:sz w:val="22"/>
                <w:szCs w:val="22"/>
              </w:rPr>
              <w:t># of VOC (</w:t>
            </w:r>
            <w:proofErr w:type="spellStart"/>
            <w:r>
              <w:rPr>
                <w:sz w:val="22"/>
                <w:szCs w:val="22"/>
              </w:rPr>
              <w:t>lbs</w:t>
            </w:r>
            <w:proofErr w:type="spellEnd"/>
            <w:r>
              <w:rPr>
                <w:sz w:val="22"/>
                <w:szCs w:val="22"/>
              </w:rPr>
              <w:t xml:space="preserve">) Emissions Reduced </w:t>
            </w:r>
          </w:p>
        </w:tc>
        <w:tc>
          <w:tcPr>
            <w:tcW w:w="975" w:type="dxa"/>
            <w:shd w:val="clear" w:color="auto" w:fill="auto"/>
            <w:tcMar>
              <w:top w:w="72" w:type="dxa"/>
              <w:left w:w="72" w:type="dxa"/>
              <w:bottom w:w="72" w:type="dxa"/>
              <w:right w:w="72" w:type="dxa"/>
            </w:tcMar>
          </w:tcPr>
          <w:p w14:paraId="69F13E5C" w14:textId="77777777" w:rsidR="00044CEF" w:rsidRDefault="00000000">
            <w:pPr>
              <w:widowControl w:val="0"/>
              <w:jc w:val="center"/>
              <w:rPr>
                <w:b/>
                <w:sz w:val="22"/>
                <w:szCs w:val="22"/>
              </w:rPr>
            </w:pPr>
            <w:r>
              <w:rPr>
                <w:b/>
                <w:sz w:val="22"/>
                <w:szCs w:val="22"/>
              </w:rPr>
              <w:t>700</w:t>
            </w:r>
          </w:p>
        </w:tc>
        <w:tc>
          <w:tcPr>
            <w:tcW w:w="885" w:type="dxa"/>
            <w:shd w:val="clear" w:color="auto" w:fill="auto"/>
            <w:tcMar>
              <w:top w:w="72" w:type="dxa"/>
              <w:left w:w="72" w:type="dxa"/>
              <w:bottom w:w="72" w:type="dxa"/>
              <w:right w:w="72" w:type="dxa"/>
            </w:tcMar>
          </w:tcPr>
          <w:p w14:paraId="66F25039" w14:textId="77777777" w:rsidR="00044CEF" w:rsidRDefault="00000000">
            <w:pPr>
              <w:widowControl w:val="0"/>
              <w:jc w:val="center"/>
              <w:rPr>
                <w:b/>
                <w:sz w:val="22"/>
                <w:szCs w:val="22"/>
              </w:rPr>
            </w:pPr>
            <w:r>
              <w:rPr>
                <w:b/>
                <w:sz w:val="22"/>
                <w:szCs w:val="22"/>
              </w:rPr>
              <w:t>1,180</w:t>
            </w:r>
          </w:p>
        </w:tc>
        <w:tc>
          <w:tcPr>
            <w:tcW w:w="840" w:type="dxa"/>
            <w:shd w:val="clear" w:color="auto" w:fill="auto"/>
            <w:tcMar>
              <w:top w:w="72" w:type="dxa"/>
              <w:left w:w="72" w:type="dxa"/>
              <w:bottom w:w="72" w:type="dxa"/>
              <w:right w:w="72" w:type="dxa"/>
            </w:tcMar>
          </w:tcPr>
          <w:p w14:paraId="78FC7DC2" w14:textId="77777777" w:rsidR="00044CEF" w:rsidRDefault="00000000">
            <w:pPr>
              <w:widowControl w:val="0"/>
              <w:jc w:val="center"/>
              <w:rPr>
                <w:b/>
                <w:sz w:val="22"/>
                <w:szCs w:val="22"/>
              </w:rPr>
            </w:pPr>
            <w:r>
              <w:rPr>
                <w:b/>
                <w:sz w:val="22"/>
                <w:szCs w:val="22"/>
              </w:rPr>
              <w:t>1,180</w:t>
            </w:r>
          </w:p>
        </w:tc>
        <w:tc>
          <w:tcPr>
            <w:tcW w:w="930" w:type="dxa"/>
            <w:shd w:val="clear" w:color="auto" w:fill="auto"/>
            <w:tcMar>
              <w:top w:w="72" w:type="dxa"/>
              <w:left w:w="72" w:type="dxa"/>
              <w:bottom w:w="72" w:type="dxa"/>
              <w:right w:w="72" w:type="dxa"/>
            </w:tcMar>
          </w:tcPr>
          <w:p w14:paraId="097180A1" w14:textId="77777777" w:rsidR="00044CEF" w:rsidRDefault="00000000">
            <w:pPr>
              <w:widowControl w:val="0"/>
              <w:jc w:val="center"/>
              <w:rPr>
                <w:b/>
                <w:sz w:val="22"/>
                <w:szCs w:val="22"/>
              </w:rPr>
            </w:pPr>
            <w:r>
              <w:rPr>
                <w:b/>
                <w:sz w:val="22"/>
                <w:szCs w:val="22"/>
              </w:rPr>
              <w:t>1,180</w:t>
            </w:r>
          </w:p>
        </w:tc>
        <w:tc>
          <w:tcPr>
            <w:tcW w:w="945" w:type="dxa"/>
            <w:shd w:val="clear" w:color="auto" w:fill="auto"/>
            <w:tcMar>
              <w:top w:w="72" w:type="dxa"/>
              <w:left w:w="72" w:type="dxa"/>
              <w:bottom w:w="72" w:type="dxa"/>
              <w:right w:w="72" w:type="dxa"/>
            </w:tcMar>
          </w:tcPr>
          <w:p w14:paraId="62604B6C" w14:textId="77777777" w:rsidR="00044CEF" w:rsidRDefault="00000000">
            <w:pPr>
              <w:widowControl w:val="0"/>
              <w:jc w:val="center"/>
              <w:rPr>
                <w:b/>
                <w:sz w:val="22"/>
                <w:szCs w:val="22"/>
              </w:rPr>
            </w:pPr>
            <w:r>
              <w:rPr>
                <w:b/>
                <w:sz w:val="22"/>
                <w:szCs w:val="22"/>
              </w:rPr>
              <w:t>1,180</w:t>
            </w:r>
          </w:p>
        </w:tc>
        <w:tc>
          <w:tcPr>
            <w:tcW w:w="945" w:type="dxa"/>
            <w:shd w:val="clear" w:color="auto" w:fill="auto"/>
            <w:tcMar>
              <w:top w:w="72" w:type="dxa"/>
              <w:left w:w="72" w:type="dxa"/>
              <w:bottom w:w="72" w:type="dxa"/>
              <w:right w:w="72" w:type="dxa"/>
            </w:tcMar>
          </w:tcPr>
          <w:p w14:paraId="233A4B26" w14:textId="77777777" w:rsidR="00044CEF" w:rsidRDefault="00000000">
            <w:pPr>
              <w:widowControl w:val="0"/>
              <w:jc w:val="center"/>
              <w:rPr>
                <w:b/>
                <w:sz w:val="22"/>
                <w:szCs w:val="22"/>
              </w:rPr>
            </w:pPr>
            <w:r>
              <w:rPr>
                <w:b/>
                <w:sz w:val="22"/>
                <w:szCs w:val="22"/>
              </w:rPr>
              <w:t>5,420</w:t>
            </w:r>
          </w:p>
        </w:tc>
      </w:tr>
      <w:tr w:rsidR="00044CEF" w14:paraId="1CA38D73" w14:textId="77777777">
        <w:tc>
          <w:tcPr>
            <w:tcW w:w="3870" w:type="dxa"/>
            <w:shd w:val="clear" w:color="auto" w:fill="auto"/>
            <w:tcMar>
              <w:top w:w="72" w:type="dxa"/>
              <w:left w:w="72" w:type="dxa"/>
              <w:bottom w:w="72" w:type="dxa"/>
              <w:right w:w="72" w:type="dxa"/>
            </w:tcMar>
          </w:tcPr>
          <w:p w14:paraId="5441204F" w14:textId="77777777" w:rsidR="00044CEF" w:rsidRDefault="00000000">
            <w:pPr>
              <w:widowControl w:val="0"/>
              <w:rPr>
                <w:sz w:val="22"/>
                <w:szCs w:val="22"/>
              </w:rPr>
            </w:pPr>
            <w:r>
              <w:rPr>
                <w:sz w:val="22"/>
                <w:szCs w:val="22"/>
              </w:rPr>
              <w:t xml:space="preserve"># of </w:t>
            </w:r>
            <w:r>
              <w:t>NH</w:t>
            </w:r>
            <w:r>
              <w:rPr>
                <w:vertAlign w:val="subscript"/>
              </w:rPr>
              <w:t>3</w:t>
            </w:r>
            <w:r>
              <w:rPr>
                <w:sz w:val="22"/>
                <w:szCs w:val="22"/>
              </w:rPr>
              <w:t xml:space="preserve"> (</w:t>
            </w:r>
            <w:proofErr w:type="spellStart"/>
            <w:r>
              <w:rPr>
                <w:sz w:val="22"/>
                <w:szCs w:val="22"/>
              </w:rPr>
              <w:t>lbs</w:t>
            </w:r>
            <w:proofErr w:type="spellEnd"/>
            <w:r>
              <w:rPr>
                <w:sz w:val="22"/>
                <w:szCs w:val="22"/>
              </w:rPr>
              <w:t xml:space="preserve">) Emissions Reduced </w:t>
            </w:r>
          </w:p>
        </w:tc>
        <w:tc>
          <w:tcPr>
            <w:tcW w:w="975" w:type="dxa"/>
            <w:shd w:val="clear" w:color="auto" w:fill="auto"/>
            <w:tcMar>
              <w:top w:w="72" w:type="dxa"/>
              <w:left w:w="72" w:type="dxa"/>
              <w:bottom w:w="72" w:type="dxa"/>
              <w:right w:w="72" w:type="dxa"/>
            </w:tcMar>
          </w:tcPr>
          <w:p w14:paraId="61815448" w14:textId="77777777" w:rsidR="00044CEF" w:rsidRDefault="00000000">
            <w:pPr>
              <w:widowControl w:val="0"/>
              <w:jc w:val="center"/>
              <w:rPr>
                <w:b/>
                <w:sz w:val="22"/>
                <w:szCs w:val="22"/>
              </w:rPr>
            </w:pPr>
            <w:r>
              <w:rPr>
                <w:b/>
                <w:sz w:val="22"/>
                <w:szCs w:val="22"/>
              </w:rPr>
              <w:t>400</w:t>
            </w:r>
          </w:p>
        </w:tc>
        <w:tc>
          <w:tcPr>
            <w:tcW w:w="885" w:type="dxa"/>
            <w:shd w:val="clear" w:color="auto" w:fill="auto"/>
            <w:tcMar>
              <w:top w:w="72" w:type="dxa"/>
              <w:left w:w="72" w:type="dxa"/>
              <w:bottom w:w="72" w:type="dxa"/>
              <w:right w:w="72" w:type="dxa"/>
            </w:tcMar>
          </w:tcPr>
          <w:p w14:paraId="398B4957" w14:textId="77777777" w:rsidR="00044CEF" w:rsidRDefault="00000000">
            <w:pPr>
              <w:widowControl w:val="0"/>
              <w:jc w:val="center"/>
              <w:rPr>
                <w:b/>
                <w:sz w:val="22"/>
                <w:szCs w:val="22"/>
              </w:rPr>
            </w:pPr>
            <w:r>
              <w:rPr>
                <w:b/>
                <w:sz w:val="22"/>
                <w:szCs w:val="22"/>
              </w:rPr>
              <w:t>313</w:t>
            </w:r>
          </w:p>
        </w:tc>
        <w:tc>
          <w:tcPr>
            <w:tcW w:w="840" w:type="dxa"/>
            <w:shd w:val="clear" w:color="auto" w:fill="auto"/>
            <w:tcMar>
              <w:top w:w="72" w:type="dxa"/>
              <w:left w:w="72" w:type="dxa"/>
              <w:bottom w:w="72" w:type="dxa"/>
              <w:right w:w="72" w:type="dxa"/>
            </w:tcMar>
          </w:tcPr>
          <w:p w14:paraId="2F8959C3" w14:textId="77777777" w:rsidR="00044CEF" w:rsidRDefault="00000000">
            <w:pPr>
              <w:widowControl w:val="0"/>
              <w:jc w:val="center"/>
              <w:rPr>
                <w:b/>
                <w:sz w:val="22"/>
                <w:szCs w:val="22"/>
              </w:rPr>
            </w:pPr>
            <w:r>
              <w:rPr>
                <w:b/>
                <w:sz w:val="22"/>
                <w:szCs w:val="22"/>
              </w:rPr>
              <w:t>312</w:t>
            </w:r>
          </w:p>
        </w:tc>
        <w:tc>
          <w:tcPr>
            <w:tcW w:w="930" w:type="dxa"/>
            <w:shd w:val="clear" w:color="auto" w:fill="auto"/>
            <w:tcMar>
              <w:top w:w="72" w:type="dxa"/>
              <w:left w:w="72" w:type="dxa"/>
              <w:bottom w:w="72" w:type="dxa"/>
              <w:right w:w="72" w:type="dxa"/>
            </w:tcMar>
          </w:tcPr>
          <w:p w14:paraId="4345486F" w14:textId="77777777" w:rsidR="00044CEF" w:rsidRDefault="00000000">
            <w:pPr>
              <w:widowControl w:val="0"/>
              <w:jc w:val="center"/>
              <w:rPr>
                <w:b/>
                <w:sz w:val="22"/>
                <w:szCs w:val="22"/>
              </w:rPr>
            </w:pPr>
            <w:r>
              <w:rPr>
                <w:b/>
                <w:sz w:val="22"/>
                <w:szCs w:val="22"/>
              </w:rPr>
              <w:t>313</w:t>
            </w:r>
          </w:p>
        </w:tc>
        <w:tc>
          <w:tcPr>
            <w:tcW w:w="945" w:type="dxa"/>
            <w:shd w:val="clear" w:color="auto" w:fill="auto"/>
            <w:tcMar>
              <w:top w:w="72" w:type="dxa"/>
              <w:left w:w="72" w:type="dxa"/>
              <w:bottom w:w="72" w:type="dxa"/>
              <w:right w:w="72" w:type="dxa"/>
            </w:tcMar>
          </w:tcPr>
          <w:p w14:paraId="53F8A5D0" w14:textId="77777777" w:rsidR="00044CEF" w:rsidRDefault="00000000">
            <w:pPr>
              <w:widowControl w:val="0"/>
              <w:jc w:val="center"/>
              <w:rPr>
                <w:b/>
                <w:sz w:val="22"/>
                <w:szCs w:val="22"/>
              </w:rPr>
            </w:pPr>
            <w:r>
              <w:rPr>
                <w:b/>
                <w:sz w:val="22"/>
                <w:szCs w:val="22"/>
              </w:rPr>
              <w:t>312</w:t>
            </w:r>
          </w:p>
        </w:tc>
        <w:tc>
          <w:tcPr>
            <w:tcW w:w="945" w:type="dxa"/>
            <w:shd w:val="clear" w:color="auto" w:fill="auto"/>
            <w:tcMar>
              <w:top w:w="72" w:type="dxa"/>
              <w:left w:w="72" w:type="dxa"/>
              <w:bottom w:w="72" w:type="dxa"/>
              <w:right w:w="72" w:type="dxa"/>
            </w:tcMar>
          </w:tcPr>
          <w:p w14:paraId="04FDEE17" w14:textId="77777777" w:rsidR="00044CEF" w:rsidRDefault="00000000">
            <w:pPr>
              <w:widowControl w:val="0"/>
              <w:jc w:val="center"/>
              <w:rPr>
                <w:b/>
                <w:sz w:val="22"/>
                <w:szCs w:val="22"/>
              </w:rPr>
            </w:pPr>
            <w:r>
              <w:rPr>
                <w:b/>
                <w:sz w:val="22"/>
                <w:szCs w:val="22"/>
              </w:rPr>
              <w:t>1,650</w:t>
            </w:r>
          </w:p>
        </w:tc>
      </w:tr>
      <w:tr w:rsidR="00044CEF" w14:paraId="5471BD1B" w14:textId="77777777">
        <w:trPr>
          <w:trHeight w:val="420"/>
        </w:trPr>
        <w:tc>
          <w:tcPr>
            <w:tcW w:w="9390" w:type="dxa"/>
            <w:gridSpan w:val="7"/>
            <w:shd w:val="clear" w:color="auto" w:fill="CFE2F3"/>
            <w:tcMar>
              <w:top w:w="72" w:type="dxa"/>
              <w:left w:w="72" w:type="dxa"/>
              <w:bottom w:w="72" w:type="dxa"/>
              <w:right w:w="72" w:type="dxa"/>
            </w:tcMar>
          </w:tcPr>
          <w:p w14:paraId="497624E2" w14:textId="77777777" w:rsidR="00044CEF" w:rsidRDefault="00000000">
            <w:pPr>
              <w:widowControl w:val="0"/>
              <w:rPr>
                <w:b/>
                <w:sz w:val="22"/>
                <w:szCs w:val="22"/>
              </w:rPr>
            </w:pPr>
            <w:r>
              <w:rPr>
                <w:b/>
                <w:sz w:val="22"/>
                <w:szCs w:val="22"/>
              </w:rPr>
              <w:t xml:space="preserve">Performance Measure 6 - % of Municipal </w:t>
            </w:r>
            <w:proofErr w:type="spellStart"/>
            <w:r>
              <w:rPr>
                <w:b/>
                <w:sz w:val="22"/>
                <w:szCs w:val="22"/>
              </w:rPr>
              <w:t>Subawardees</w:t>
            </w:r>
            <w:proofErr w:type="spellEnd"/>
            <w:r>
              <w:rPr>
                <w:b/>
                <w:sz w:val="22"/>
                <w:szCs w:val="22"/>
              </w:rPr>
              <w:t xml:space="preserve"> Partnered with Apprenticeship/Pre-Apprenticeship Programs. </w:t>
            </w:r>
          </w:p>
        </w:tc>
      </w:tr>
      <w:tr w:rsidR="00044CEF" w14:paraId="3A17B3BF" w14:textId="77777777">
        <w:trPr>
          <w:trHeight w:val="420"/>
        </w:trPr>
        <w:tc>
          <w:tcPr>
            <w:tcW w:w="9390" w:type="dxa"/>
            <w:gridSpan w:val="7"/>
            <w:shd w:val="clear" w:color="auto" w:fill="CFE2F3"/>
            <w:tcMar>
              <w:top w:w="72" w:type="dxa"/>
              <w:left w:w="72" w:type="dxa"/>
              <w:bottom w:w="72" w:type="dxa"/>
              <w:right w:w="72" w:type="dxa"/>
            </w:tcMar>
          </w:tcPr>
          <w:p w14:paraId="2A7087D5" w14:textId="77777777" w:rsidR="00044CEF" w:rsidRDefault="00000000">
            <w:pPr>
              <w:widowControl w:val="0"/>
              <w:rPr>
                <w:b/>
                <w:sz w:val="22"/>
                <w:szCs w:val="22"/>
              </w:rPr>
            </w:pPr>
            <w:r>
              <w:rPr>
                <w:b/>
                <w:sz w:val="22"/>
                <w:szCs w:val="22"/>
              </w:rPr>
              <w:lastRenderedPageBreak/>
              <w:t xml:space="preserve">Performance Measure 7 - % of Solar Contracts Includes Apprenticeship/Pre-Apprenticeship Trainees. </w:t>
            </w:r>
          </w:p>
        </w:tc>
      </w:tr>
      <w:tr w:rsidR="00044CEF" w14:paraId="48833264" w14:textId="77777777">
        <w:trPr>
          <w:trHeight w:val="420"/>
        </w:trPr>
        <w:tc>
          <w:tcPr>
            <w:tcW w:w="9390" w:type="dxa"/>
            <w:gridSpan w:val="7"/>
            <w:shd w:val="clear" w:color="auto" w:fill="CFE2F3"/>
            <w:tcMar>
              <w:top w:w="72" w:type="dxa"/>
              <w:left w:w="72" w:type="dxa"/>
              <w:bottom w:w="72" w:type="dxa"/>
              <w:right w:w="72" w:type="dxa"/>
            </w:tcMar>
          </w:tcPr>
          <w:p w14:paraId="3A577729" w14:textId="77777777" w:rsidR="00044CEF" w:rsidRDefault="00000000">
            <w:pPr>
              <w:widowControl w:val="0"/>
              <w:rPr>
                <w:b/>
                <w:sz w:val="22"/>
                <w:szCs w:val="22"/>
              </w:rPr>
            </w:pPr>
            <w:r>
              <w:rPr>
                <w:b/>
                <w:sz w:val="22"/>
                <w:szCs w:val="22"/>
              </w:rPr>
              <w:t xml:space="preserve">Outcome: Skilled Workforce to Support the Burgeoning Green Economy in the Sunshine State. </w:t>
            </w:r>
          </w:p>
        </w:tc>
      </w:tr>
      <w:tr w:rsidR="00044CEF" w14:paraId="0C7AFE62" w14:textId="77777777">
        <w:trPr>
          <w:trHeight w:val="582"/>
        </w:trPr>
        <w:tc>
          <w:tcPr>
            <w:tcW w:w="3870" w:type="dxa"/>
            <w:shd w:val="clear" w:color="auto" w:fill="auto"/>
            <w:tcMar>
              <w:top w:w="72" w:type="dxa"/>
              <w:left w:w="72" w:type="dxa"/>
              <w:bottom w:w="72" w:type="dxa"/>
              <w:right w:w="72" w:type="dxa"/>
            </w:tcMar>
            <w:vAlign w:val="center"/>
          </w:tcPr>
          <w:p w14:paraId="6C30FFA4" w14:textId="77777777" w:rsidR="00044CEF" w:rsidRDefault="00000000">
            <w:pPr>
              <w:widowControl w:val="0"/>
              <w:rPr>
                <w:sz w:val="22"/>
                <w:szCs w:val="22"/>
              </w:rPr>
            </w:pPr>
            <w:r>
              <w:rPr>
                <w:sz w:val="22"/>
                <w:szCs w:val="22"/>
              </w:rPr>
              <w:t xml:space="preserve"># of Apprentices Who Participate from LIDAC Communities </w:t>
            </w:r>
          </w:p>
        </w:tc>
        <w:tc>
          <w:tcPr>
            <w:tcW w:w="975" w:type="dxa"/>
            <w:shd w:val="clear" w:color="auto" w:fill="auto"/>
            <w:tcMar>
              <w:top w:w="72" w:type="dxa"/>
              <w:left w:w="72" w:type="dxa"/>
              <w:bottom w:w="72" w:type="dxa"/>
              <w:right w:w="72" w:type="dxa"/>
            </w:tcMar>
            <w:vAlign w:val="center"/>
          </w:tcPr>
          <w:p w14:paraId="2ECC2433" w14:textId="77777777" w:rsidR="00044CEF" w:rsidRDefault="00000000">
            <w:pPr>
              <w:widowControl w:val="0"/>
              <w:jc w:val="center"/>
              <w:rPr>
                <w:b/>
                <w:sz w:val="22"/>
                <w:szCs w:val="22"/>
              </w:rPr>
            </w:pPr>
            <w:r>
              <w:rPr>
                <w:b/>
                <w:sz w:val="22"/>
                <w:szCs w:val="22"/>
              </w:rPr>
              <w:t>15</w:t>
            </w:r>
          </w:p>
        </w:tc>
        <w:tc>
          <w:tcPr>
            <w:tcW w:w="885" w:type="dxa"/>
            <w:shd w:val="clear" w:color="auto" w:fill="auto"/>
            <w:tcMar>
              <w:top w:w="72" w:type="dxa"/>
              <w:left w:w="72" w:type="dxa"/>
              <w:bottom w:w="72" w:type="dxa"/>
              <w:right w:w="72" w:type="dxa"/>
            </w:tcMar>
            <w:vAlign w:val="center"/>
          </w:tcPr>
          <w:p w14:paraId="68958879" w14:textId="77777777" w:rsidR="00044CEF" w:rsidRDefault="00000000">
            <w:pPr>
              <w:widowControl w:val="0"/>
              <w:jc w:val="center"/>
              <w:rPr>
                <w:b/>
                <w:sz w:val="22"/>
                <w:szCs w:val="22"/>
              </w:rPr>
            </w:pPr>
            <w:r>
              <w:rPr>
                <w:b/>
                <w:sz w:val="22"/>
                <w:szCs w:val="22"/>
              </w:rPr>
              <w:t>15</w:t>
            </w:r>
          </w:p>
        </w:tc>
        <w:tc>
          <w:tcPr>
            <w:tcW w:w="840" w:type="dxa"/>
            <w:shd w:val="clear" w:color="auto" w:fill="auto"/>
            <w:tcMar>
              <w:top w:w="72" w:type="dxa"/>
              <w:left w:w="72" w:type="dxa"/>
              <w:bottom w:w="72" w:type="dxa"/>
              <w:right w:w="72" w:type="dxa"/>
            </w:tcMar>
            <w:vAlign w:val="center"/>
          </w:tcPr>
          <w:p w14:paraId="4BA182E4" w14:textId="77777777" w:rsidR="00044CEF" w:rsidRDefault="00000000">
            <w:pPr>
              <w:widowControl w:val="0"/>
              <w:jc w:val="center"/>
              <w:rPr>
                <w:b/>
                <w:sz w:val="22"/>
                <w:szCs w:val="22"/>
              </w:rPr>
            </w:pPr>
            <w:r>
              <w:rPr>
                <w:b/>
                <w:sz w:val="22"/>
                <w:szCs w:val="22"/>
              </w:rPr>
              <w:t>30</w:t>
            </w:r>
          </w:p>
        </w:tc>
        <w:tc>
          <w:tcPr>
            <w:tcW w:w="930" w:type="dxa"/>
            <w:shd w:val="clear" w:color="auto" w:fill="auto"/>
            <w:tcMar>
              <w:top w:w="72" w:type="dxa"/>
              <w:left w:w="72" w:type="dxa"/>
              <w:bottom w:w="72" w:type="dxa"/>
              <w:right w:w="72" w:type="dxa"/>
            </w:tcMar>
            <w:vAlign w:val="center"/>
          </w:tcPr>
          <w:p w14:paraId="0E27451D" w14:textId="77777777" w:rsidR="00044CEF" w:rsidRDefault="00000000">
            <w:pPr>
              <w:widowControl w:val="0"/>
              <w:jc w:val="center"/>
              <w:rPr>
                <w:b/>
                <w:sz w:val="22"/>
                <w:szCs w:val="22"/>
              </w:rPr>
            </w:pPr>
            <w:r>
              <w:rPr>
                <w:b/>
                <w:sz w:val="22"/>
                <w:szCs w:val="22"/>
              </w:rPr>
              <w:t>30</w:t>
            </w:r>
          </w:p>
        </w:tc>
        <w:tc>
          <w:tcPr>
            <w:tcW w:w="945" w:type="dxa"/>
            <w:shd w:val="clear" w:color="auto" w:fill="auto"/>
            <w:tcMar>
              <w:top w:w="72" w:type="dxa"/>
              <w:left w:w="72" w:type="dxa"/>
              <w:bottom w:w="72" w:type="dxa"/>
              <w:right w:w="72" w:type="dxa"/>
            </w:tcMar>
            <w:vAlign w:val="center"/>
          </w:tcPr>
          <w:p w14:paraId="13932CAD" w14:textId="77777777" w:rsidR="00044CEF" w:rsidRDefault="00000000">
            <w:pPr>
              <w:widowControl w:val="0"/>
              <w:jc w:val="center"/>
              <w:rPr>
                <w:b/>
                <w:sz w:val="22"/>
                <w:szCs w:val="22"/>
              </w:rPr>
            </w:pPr>
            <w:r>
              <w:rPr>
                <w:b/>
                <w:sz w:val="22"/>
                <w:szCs w:val="22"/>
              </w:rPr>
              <w:t>30</w:t>
            </w:r>
          </w:p>
        </w:tc>
        <w:tc>
          <w:tcPr>
            <w:tcW w:w="945" w:type="dxa"/>
            <w:shd w:val="clear" w:color="auto" w:fill="auto"/>
            <w:tcMar>
              <w:top w:w="72" w:type="dxa"/>
              <w:left w:w="72" w:type="dxa"/>
              <w:bottom w:w="72" w:type="dxa"/>
              <w:right w:w="72" w:type="dxa"/>
            </w:tcMar>
            <w:vAlign w:val="center"/>
          </w:tcPr>
          <w:p w14:paraId="102592BC" w14:textId="77777777" w:rsidR="00044CEF" w:rsidRDefault="00000000">
            <w:pPr>
              <w:widowControl w:val="0"/>
              <w:jc w:val="center"/>
              <w:rPr>
                <w:b/>
                <w:sz w:val="22"/>
                <w:szCs w:val="22"/>
              </w:rPr>
            </w:pPr>
            <w:r>
              <w:rPr>
                <w:b/>
                <w:sz w:val="22"/>
                <w:szCs w:val="22"/>
              </w:rPr>
              <w:t>120</w:t>
            </w:r>
          </w:p>
        </w:tc>
      </w:tr>
      <w:tr w:rsidR="00044CEF" w14:paraId="6837B459" w14:textId="77777777">
        <w:trPr>
          <w:trHeight w:val="223"/>
        </w:trPr>
        <w:tc>
          <w:tcPr>
            <w:tcW w:w="3870" w:type="dxa"/>
            <w:shd w:val="clear" w:color="auto" w:fill="auto"/>
            <w:tcMar>
              <w:top w:w="72" w:type="dxa"/>
              <w:left w:w="72" w:type="dxa"/>
              <w:bottom w:w="72" w:type="dxa"/>
              <w:right w:w="72" w:type="dxa"/>
            </w:tcMar>
            <w:vAlign w:val="center"/>
          </w:tcPr>
          <w:p w14:paraId="657D9F09" w14:textId="77777777" w:rsidR="00044CEF" w:rsidRDefault="00000000">
            <w:pPr>
              <w:widowControl w:val="0"/>
              <w:rPr>
                <w:sz w:val="22"/>
                <w:szCs w:val="22"/>
              </w:rPr>
            </w:pPr>
            <w:r>
              <w:rPr>
                <w:sz w:val="22"/>
                <w:szCs w:val="22"/>
              </w:rPr>
              <w:t xml:space="preserve"># of Workforce Training Partners </w:t>
            </w:r>
          </w:p>
        </w:tc>
        <w:tc>
          <w:tcPr>
            <w:tcW w:w="975" w:type="dxa"/>
            <w:shd w:val="clear" w:color="auto" w:fill="auto"/>
            <w:tcMar>
              <w:top w:w="72" w:type="dxa"/>
              <w:left w:w="72" w:type="dxa"/>
              <w:bottom w:w="72" w:type="dxa"/>
              <w:right w:w="72" w:type="dxa"/>
            </w:tcMar>
            <w:vAlign w:val="center"/>
          </w:tcPr>
          <w:p w14:paraId="1F4B0745" w14:textId="77777777" w:rsidR="00044CEF" w:rsidRDefault="00000000">
            <w:pPr>
              <w:widowControl w:val="0"/>
              <w:jc w:val="center"/>
              <w:rPr>
                <w:b/>
                <w:sz w:val="22"/>
                <w:szCs w:val="22"/>
              </w:rPr>
            </w:pPr>
            <w:r>
              <w:rPr>
                <w:b/>
                <w:sz w:val="22"/>
                <w:szCs w:val="22"/>
              </w:rPr>
              <w:t>1</w:t>
            </w:r>
          </w:p>
        </w:tc>
        <w:tc>
          <w:tcPr>
            <w:tcW w:w="885" w:type="dxa"/>
            <w:shd w:val="clear" w:color="auto" w:fill="auto"/>
            <w:tcMar>
              <w:top w:w="72" w:type="dxa"/>
              <w:left w:w="72" w:type="dxa"/>
              <w:bottom w:w="72" w:type="dxa"/>
              <w:right w:w="72" w:type="dxa"/>
            </w:tcMar>
            <w:vAlign w:val="center"/>
          </w:tcPr>
          <w:p w14:paraId="1C62A43B" w14:textId="77777777" w:rsidR="00044CEF" w:rsidRDefault="00000000">
            <w:pPr>
              <w:widowControl w:val="0"/>
              <w:jc w:val="center"/>
              <w:rPr>
                <w:b/>
                <w:sz w:val="22"/>
                <w:szCs w:val="22"/>
              </w:rPr>
            </w:pPr>
            <w:r>
              <w:rPr>
                <w:b/>
                <w:sz w:val="22"/>
                <w:szCs w:val="22"/>
              </w:rPr>
              <w:t>4</w:t>
            </w:r>
          </w:p>
        </w:tc>
        <w:tc>
          <w:tcPr>
            <w:tcW w:w="840" w:type="dxa"/>
            <w:shd w:val="clear" w:color="auto" w:fill="auto"/>
            <w:tcMar>
              <w:top w:w="72" w:type="dxa"/>
              <w:left w:w="72" w:type="dxa"/>
              <w:bottom w:w="72" w:type="dxa"/>
              <w:right w:w="72" w:type="dxa"/>
            </w:tcMar>
            <w:vAlign w:val="center"/>
          </w:tcPr>
          <w:p w14:paraId="0F432DD3" w14:textId="77777777" w:rsidR="00044CEF" w:rsidRDefault="00000000">
            <w:pPr>
              <w:widowControl w:val="0"/>
              <w:jc w:val="center"/>
              <w:rPr>
                <w:b/>
                <w:sz w:val="22"/>
                <w:szCs w:val="22"/>
              </w:rPr>
            </w:pPr>
            <w:r>
              <w:rPr>
                <w:b/>
                <w:sz w:val="22"/>
                <w:szCs w:val="22"/>
              </w:rPr>
              <w:t>2</w:t>
            </w:r>
          </w:p>
        </w:tc>
        <w:tc>
          <w:tcPr>
            <w:tcW w:w="930" w:type="dxa"/>
            <w:shd w:val="clear" w:color="auto" w:fill="auto"/>
            <w:tcMar>
              <w:top w:w="72" w:type="dxa"/>
              <w:left w:w="72" w:type="dxa"/>
              <w:bottom w:w="72" w:type="dxa"/>
              <w:right w:w="72" w:type="dxa"/>
            </w:tcMar>
            <w:vAlign w:val="center"/>
          </w:tcPr>
          <w:p w14:paraId="1F41A895" w14:textId="77777777" w:rsidR="00044CEF" w:rsidRDefault="00000000">
            <w:pPr>
              <w:widowControl w:val="0"/>
              <w:jc w:val="center"/>
              <w:rPr>
                <w:b/>
                <w:sz w:val="22"/>
                <w:szCs w:val="22"/>
              </w:rPr>
            </w:pPr>
            <w:r>
              <w:rPr>
                <w:b/>
                <w:sz w:val="22"/>
                <w:szCs w:val="22"/>
              </w:rPr>
              <w:t>2</w:t>
            </w:r>
          </w:p>
        </w:tc>
        <w:tc>
          <w:tcPr>
            <w:tcW w:w="945" w:type="dxa"/>
            <w:shd w:val="clear" w:color="auto" w:fill="auto"/>
            <w:tcMar>
              <w:top w:w="72" w:type="dxa"/>
              <w:left w:w="72" w:type="dxa"/>
              <w:bottom w:w="72" w:type="dxa"/>
              <w:right w:w="72" w:type="dxa"/>
            </w:tcMar>
            <w:vAlign w:val="center"/>
          </w:tcPr>
          <w:p w14:paraId="34ED270F" w14:textId="77777777" w:rsidR="00044CEF" w:rsidRDefault="00000000">
            <w:pPr>
              <w:widowControl w:val="0"/>
              <w:jc w:val="center"/>
              <w:rPr>
                <w:b/>
                <w:sz w:val="22"/>
                <w:szCs w:val="22"/>
              </w:rPr>
            </w:pPr>
            <w:r>
              <w:rPr>
                <w:b/>
                <w:sz w:val="22"/>
                <w:szCs w:val="22"/>
              </w:rPr>
              <w:t>2</w:t>
            </w:r>
          </w:p>
        </w:tc>
        <w:tc>
          <w:tcPr>
            <w:tcW w:w="945" w:type="dxa"/>
            <w:shd w:val="clear" w:color="auto" w:fill="auto"/>
            <w:tcMar>
              <w:top w:w="72" w:type="dxa"/>
              <w:left w:w="72" w:type="dxa"/>
              <w:bottom w:w="72" w:type="dxa"/>
              <w:right w:w="72" w:type="dxa"/>
            </w:tcMar>
            <w:vAlign w:val="center"/>
          </w:tcPr>
          <w:p w14:paraId="09003681" w14:textId="77777777" w:rsidR="00044CEF" w:rsidRDefault="00000000">
            <w:pPr>
              <w:widowControl w:val="0"/>
              <w:jc w:val="center"/>
              <w:rPr>
                <w:b/>
                <w:sz w:val="22"/>
                <w:szCs w:val="22"/>
              </w:rPr>
            </w:pPr>
            <w:r>
              <w:rPr>
                <w:b/>
                <w:sz w:val="22"/>
                <w:szCs w:val="22"/>
              </w:rPr>
              <w:t>11</w:t>
            </w:r>
          </w:p>
        </w:tc>
      </w:tr>
    </w:tbl>
    <w:p w14:paraId="3C0EB118" w14:textId="77777777" w:rsidR="00044CEF" w:rsidRDefault="00044CEF">
      <w:pPr>
        <w:pBdr>
          <w:top w:val="nil"/>
          <w:left w:val="nil"/>
          <w:bottom w:val="nil"/>
          <w:right w:val="nil"/>
          <w:between w:val="nil"/>
        </w:pBdr>
        <w:rPr>
          <w:sz w:val="22"/>
          <w:szCs w:val="22"/>
        </w:rPr>
      </w:pPr>
    </w:p>
    <w:p w14:paraId="1AACBBBD" w14:textId="77777777" w:rsidR="00044CEF" w:rsidRDefault="00000000">
      <w:pPr>
        <w:rPr>
          <w:b/>
          <w:sz w:val="22"/>
          <w:szCs w:val="22"/>
        </w:rPr>
      </w:pPr>
      <w:r>
        <w:rPr>
          <w:b/>
          <w:color w:val="E69243"/>
          <w:sz w:val="22"/>
          <w:szCs w:val="22"/>
        </w:rPr>
        <w:t xml:space="preserve">3.1 Performance Measures and Plan </w:t>
      </w:r>
    </w:p>
    <w:p w14:paraId="6FAB0937" w14:textId="77777777" w:rsidR="00044CEF" w:rsidRDefault="00000000">
      <w:pPr>
        <w:jc w:val="both"/>
        <w:rPr>
          <w:sz w:val="22"/>
          <w:szCs w:val="22"/>
        </w:rPr>
      </w:pPr>
      <w:r>
        <w:rPr>
          <w:sz w:val="22"/>
          <w:szCs w:val="22"/>
        </w:rPr>
        <w:t xml:space="preserve">The SSERC Coalition will ensure the success of the project by tracking, measuring, and reporting on progress toward the outputs, outcome measures, and performance measures listed above. TBRPC will create a tracking system that each </w:t>
      </w:r>
      <w:proofErr w:type="spellStart"/>
      <w:r>
        <w:rPr>
          <w:sz w:val="22"/>
          <w:szCs w:val="22"/>
        </w:rPr>
        <w:t>subawardee</w:t>
      </w:r>
      <w:proofErr w:type="spellEnd"/>
      <w:r>
        <w:rPr>
          <w:sz w:val="22"/>
          <w:szCs w:val="22"/>
        </w:rPr>
        <w:t xml:space="preserve"> will update monthly to ensure that energy education, distribution of toolkits, community facility retrofits, solar deployment, and workforce training efforts remain on track. SSERC will track energy consumption in community facilities by performing a pre- and post-energy usage analysis on community facilities and thereafter tracking kilowatt hours used in the facility. Solar projects will be measured by the total amount of kilowatts produced. Coalition members will also estimate the reduction in energy usage by the number of toolkits distributed. Using the estimated energy reductions, CAP reductions will be obtained using U.S. EPA’s Avert Tool. These measures will be included in the semi-annual reports which will include percentages of projects that benefit LIDAC residents.  </w:t>
      </w:r>
    </w:p>
    <w:p w14:paraId="0F8D6EBB" w14:textId="77777777" w:rsidR="00044CEF" w:rsidRDefault="00044CEF">
      <w:pPr>
        <w:jc w:val="both"/>
        <w:rPr>
          <w:sz w:val="22"/>
          <w:szCs w:val="22"/>
          <w:highlight w:val="yellow"/>
        </w:rPr>
      </w:pPr>
    </w:p>
    <w:p w14:paraId="3FDDB70D" w14:textId="77777777" w:rsidR="00044CEF" w:rsidRDefault="00000000">
      <w:pPr>
        <w:pBdr>
          <w:top w:val="nil"/>
          <w:left w:val="nil"/>
          <w:bottom w:val="nil"/>
          <w:right w:val="nil"/>
          <w:between w:val="nil"/>
        </w:pBdr>
        <w:jc w:val="both"/>
        <w:rPr>
          <w:b/>
          <w:sz w:val="22"/>
          <w:szCs w:val="22"/>
        </w:rPr>
      </w:pPr>
      <w:r>
        <w:rPr>
          <w:b/>
          <w:color w:val="E69243"/>
          <w:sz w:val="22"/>
          <w:szCs w:val="22"/>
        </w:rPr>
        <w:t xml:space="preserve">3.2 Authorities, Implementation Timeline, and Milestones </w:t>
      </w:r>
    </w:p>
    <w:p w14:paraId="37C453A0" w14:textId="77777777" w:rsidR="00044CEF" w:rsidRDefault="00000000">
      <w:pPr>
        <w:jc w:val="both"/>
        <w:rPr>
          <w:b/>
          <w:color w:val="467886"/>
          <w:sz w:val="22"/>
          <w:szCs w:val="22"/>
          <w:u w:val="single"/>
        </w:rPr>
      </w:pPr>
      <w:r>
        <w:rPr>
          <w:b/>
          <w:color w:val="467886"/>
          <w:sz w:val="22"/>
          <w:szCs w:val="22"/>
          <w:u w:val="single"/>
        </w:rPr>
        <w:t>Authorities</w:t>
      </w:r>
    </w:p>
    <w:p w14:paraId="01C8FC2B" w14:textId="77777777" w:rsidR="00044CEF" w:rsidRDefault="00000000">
      <w:pPr>
        <w:jc w:val="both"/>
        <w:rPr>
          <w:sz w:val="22"/>
          <w:szCs w:val="22"/>
        </w:rPr>
      </w:pPr>
      <w:r>
        <w:rPr>
          <w:b/>
          <w:sz w:val="22"/>
          <w:szCs w:val="22"/>
        </w:rPr>
        <w:t>Tampa Bay Regional Planning Council (TBRPC)</w:t>
      </w:r>
      <w:r>
        <w:rPr>
          <w:sz w:val="22"/>
          <w:szCs w:val="22"/>
        </w:rPr>
        <w:t xml:space="preserve"> is the lead applicant but does not have the authority to implement projects in the TSPC MSA. For GHG Reduction Measure #2, TBRPC and Sarasota County will design a subgrant process to award CPRG grant funding to counties and cities within TSPC MSA. Subgrants will be determined based on project cost, the amount of GHG emissions reduced, and benefits to LIDAC communities. TBRPC </w:t>
      </w:r>
      <w:proofErr w:type="gramStart"/>
      <w:r>
        <w:rPr>
          <w:sz w:val="22"/>
          <w:szCs w:val="22"/>
        </w:rPr>
        <w:t>will</w:t>
      </w:r>
      <w:proofErr w:type="gramEnd"/>
      <w:r>
        <w:rPr>
          <w:sz w:val="22"/>
          <w:szCs w:val="22"/>
        </w:rPr>
        <w:t xml:space="preserve"> subaward to the City of Kissimmee and Winter Park in the OKS MSA in order for them to implement GHG Reduction Measure #2 within their own localities where they have the authority to implement. TBRPC has the authority to contract with nonprofit organizations and </w:t>
      </w:r>
      <w:proofErr w:type="gramStart"/>
      <w:r>
        <w:rPr>
          <w:sz w:val="22"/>
          <w:szCs w:val="22"/>
        </w:rPr>
        <w:t>will</w:t>
      </w:r>
      <w:proofErr w:type="gramEnd"/>
      <w:r>
        <w:rPr>
          <w:sz w:val="22"/>
          <w:szCs w:val="22"/>
        </w:rPr>
        <w:t xml:space="preserve"> subaward to non-profit organizations within its region to provide wrap-around services for the workforce training and hiring program. </w:t>
      </w:r>
    </w:p>
    <w:p w14:paraId="167EA556" w14:textId="77777777" w:rsidR="00044CEF" w:rsidRDefault="00044CEF">
      <w:pPr>
        <w:jc w:val="both"/>
        <w:rPr>
          <w:sz w:val="22"/>
          <w:szCs w:val="22"/>
        </w:rPr>
      </w:pPr>
    </w:p>
    <w:p w14:paraId="13999210" w14:textId="77777777" w:rsidR="00044CEF" w:rsidRDefault="00000000">
      <w:pPr>
        <w:jc w:val="both"/>
        <w:rPr>
          <w:sz w:val="22"/>
          <w:szCs w:val="22"/>
        </w:rPr>
      </w:pPr>
      <w:r>
        <w:rPr>
          <w:b/>
          <w:sz w:val="22"/>
          <w:szCs w:val="22"/>
        </w:rPr>
        <w:t>Sarasota County</w:t>
      </w:r>
      <w:r>
        <w:rPr>
          <w:sz w:val="22"/>
          <w:szCs w:val="22"/>
        </w:rPr>
        <w:t xml:space="preserve"> is a Coalition member that represents the NPSB MSA and has the authority to implement GHG Reduction Measure projects in unincorporated Sarasota County only. Sarasota County is working in partnership with TBRPC to design a grant process to award CPRG grant funding as described above. Sarasota County has the authority and will sub-award to municipalities within its MSA that have authority to implement projects. Sarasota County has the authority and </w:t>
      </w:r>
      <w:proofErr w:type="gramStart"/>
      <w:r>
        <w:rPr>
          <w:sz w:val="22"/>
          <w:szCs w:val="22"/>
        </w:rPr>
        <w:t>will</w:t>
      </w:r>
      <w:proofErr w:type="gramEnd"/>
      <w:r>
        <w:rPr>
          <w:sz w:val="22"/>
          <w:szCs w:val="22"/>
        </w:rPr>
        <w:t xml:space="preserve"> subaward with nonprofits to provide wrap-around services for the workforce training and hiring program. </w:t>
      </w:r>
    </w:p>
    <w:p w14:paraId="058534AD" w14:textId="77777777" w:rsidR="00044CEF" w:rsidRDefault="00000000">
      <w:pPr>
        <w:jc w:val="both"/>
        <w:rPr>
          <w:sz w:val="22"/>
          <w:szCs w:val="22"/>
        </w:rPr>
      </w:pPr>
      <w:r>
        <w:rPr>
          <w:sz w:val="22"/>
          <w:szCs w:val="22"/>
        </w:rPr>
        <w:t xml:space="preserve"> </w:t>
      </w:r>
    </w:p>
    <w:p w14:paraId="6242818D" w14:textId="77777777" w:rsidR="00044CEF" w:rsidRDefault="00000000">
      <w:pPr>
        <w:jc w:val="both"/>
        <w:rPr>
          <w:sz w:val="22"/>
          <w:szCs w:val="22"/>
        </w:rPr>
      </w:pPr>
      <w:r>
        <w:rPr>
          <w:b/>
          <w:sz w:val="22"/>
          <w:szCs w:val="22"/>
        </w:rPr>
        <w:t>City of Jacksonville</w:t>
      </w:r>
      <w:r>
        <w:rPr>
          <w:sz w:val="22"/>
          <w:szCs w:val="22"/>
        </w:rPr>
        <w:t xml:space="preserve"> is a Coalition member that represents the JF MSA and has the authority to implement GHG Reduction Measure projects in the City of Jacksonville and Duval County. Jacksonville will sub-award to communities within its MSA with the authority to implement projects. The City has the authority to subaward to non-profits offering wrap-around services for the workforce training and hiring program for the JF MSA. </w:t>
      </w:r>
    </w:p>
    <w:p w14:paraId="2C70DA9C" w14:textId="77777777" w:rsidR="00044CEF" w:rsidRDefault="00044CEF">
      <w:pPr>
        <w:jc w:val="both"/>
        <w:rPr>
          <w:sz w:val="22"/>
          <w:szCs w:val="22"/>
        </w:rPr>
      </w:pPr>
    </w:p>
    <w:p w14:paraId="007F6B17" w14:textId="77777777" w:rsidR="00044CEF" w:rsidRDefault="00000000">
      <w:pPr>
        <w:jc w:val="both"/>
        <w:rPr>
          <w:sz w:val="22"/>
          <w:szCs w:val="22"/>
        </w:rPr>
      </w:pPr>
      <w:r>
        <w:rPr>
          <w:b/>
          <w:sz w:val="22"/>
          <w:szCs w:val="22"/>
        </w:rPr>
        <w:lastRenderedPageBreak/>
        <w:t>Orange County</w:t>
      </w:r>
      <w:r>
        <w:rPr>
          <w:color w:val="FF0000"/>
          <w:sz w:val="22"/>
          <w:szCs w:val="22"/>
        </w:rPr>
        <w:t xml:space="preserve"> </w:t>
      </w:r>
      <w:r>
        <w:rPr>
          <w:sz w:val="22"/>
          <w:szCs w:val="22"/>
        </w:rPr>
        <w:t xml:space="preserve">is a Coalition member representing the OKS MSA and has the authority to implement GHG Reduction Measure projects within unincorporated Orange County. The County has the authority and will sub-award with the East Central Florida Regional Planning Council to provide grant oversight and with nonprofits to provide wrap-around services for the workforce training and hiring program. Orange County also has the authority to implement </w:t>
      </w:r>
      <w:proofErr w:type="gramStart"/>
      <w:r>
        <w:rPr>
          <w:sz w:val="22"/>
          <w:szCs w:val="22"/>
        </w:rPr>
        <w:t>a</w:t>
      </w:r>
      <w:proofErr w:type="gramEnd"/>
      <w:r>
        <w:rPr>
          <w:sz w:val="22"/>
          <w:szCs w:val="22"/>
        </w:rPr>
        <w:t xml:space="preserve"> MSA-wide energy efficiency and education program and for an energy efficiency toolkit program. </w:t>
      </w:r>
    </w:p>
    <w:p w14:paraId="333C11B8" w14:textId="77777777" w:rsidR="00044CEF" w:rsidRDefault="00044CEF">
      <w:pPr>
        <w:jc w:val="both"/>
        <w:rPr>
          <w:sz w:val="22"/>
          <w:szCs w:val="22"/>
        </w:rPr>
      </w:pPr>
    </w:p>
    <w:p w14:paraId="22809ACF" w14:textId="77777777" w:rsidR="00044CEF" w:rsidRDefault="00000000">
      <w:pPr>
        <w:jc w:val="both"/>
        <w:rPr>
          <w:sz w:val="22"/>
          <w:szCs w:val="22"/>
        </w:rPr>
      </w:pPr>
      <w:r>
        <w:rPr>
          <w:b/>
          <w:sz w:val="22"/>
          <w:szCs w:val="22"/>
        </w:rPr>
        <w:t xml:space="preserve">Osceola County, Seminole County, and the City of Orlando </w:t>
      </w:r>
      <w:r>
        <w:rPr>
          <w:sz w:val="22"/>
          <w:szCs w:val="22"/>
        </w:rPr>
        <w:t xml:space="preserve">are all Coalition members. They have the authority to implement GHG Reduction Measures within their own municipal boundaries. </w:t>
      </w:r>
    </w:p>
    <w:p w14:paraId="3ABFC9CF" w14:textId="77777777" w:rsidR="00044CEF" w:rsidRDefault="00044CEF">
      <w:pPr>
        <w:jc w:val="both"/>
        <w:rPr>
          <w:sz w:val="22"/>
          <w:szCs w:val="22"/>
        </w:rPr>
      </w:pPr>
    </w:p>
    <w:p w14:paraId="6AADDAC8" w14:textId="77777777" w:rsidR="00044CEF" w:rsidRDefault="00000000">
      <w:pPr>
        <w:rPr>
          <w:b/>
          <w:color w:val="467886"/>
          <w:sz w:val="22"/>
          <w:szCs w:val="22"/>
        </w:rPr>
      </w:pPr>
      <w:r>
        <w:rPr>
          <w:b/>
          <w:color w:val="467886"/>
          <w:sz w:val="22"/>
          <w:szCs w:val="22"/>
          <w:u w:val="single"/>
        </w:rPr>
        <w:t>Implementation Timeline and Milestones</w:t>
      </w:r>
      <w:r>
        <w:rPr>
          <w:b/>
          <w:color w:val="467886"/>
          <w:sz w:val="22"/>
          <w:szCs w:val="22"/>
        </w:rPr>
        <w:t xml:space="preserve"> - GHG Reduction Measure #1: Energy Efficiency Education and Tools</w:t>
      </w:r>
    </w:p>
    <w:p w14:paraId="2AAF2551" w14:textId="77777777" w:rsidR="00044CEF" w:rsidRDefault="00000000">
      <w:pPr>
        <w:jc w:val="both"/>
        <w:rPr>
          <w:b/>
          <w:sz w:val="22"/>
          <w:szCs w:val="22"/>
        </w:rPr>
      </w:pPr>
      <w:r>
        <w:rPr>
          <w:b/>
          <w:sz w:val="22"/>
          <w:szCs w:val="22"/>
        </w:rPr>
        <w:t xml:space="preserve">1) Project Setup and Capacity Building </w:t>
      </w:r>
      <w:r>
        <w:rPr>
          <w:i/>
          <w:sz w:val="22"/>
          <w:szCs w:val="22"/>
        </w:rPr>
        <w:t xml:space="preserve">(July 2024 to April 2025) </w:t>
      </w:r>
    </w:p>
    <w:p w14:paraId="1C37552B" w14:textId="77777777" w:rsidR="00044CEF" w:rsidRDefault="00000000">
      <w:pPr>
        <w:numPr>
          <w:ilvl w:val="0"/>
          <w:numId w:val="2"/>
        </w:numPr>
        <w:ind w:left="360"/>
        <w:jc w:val="both"/>
        <w:rPr>
          <w:sz w:val="22"/>
          <w:szCs w:val="22"/>
        </w:rPr>
      </w:pPr>
      <w:r>
        <w:rPr>
          <w:sz w:val="22"/>
          <w:szCs w:val="22"/>
        </w:rPr>
        <w:t xml:space="preserve">July 2024: Turn in MOAs signed by all Coalition members. </w:t>
      </w:r>
    </w:p>
    <w:p w14:paraId="11CB03B4" w14:textId="77777777" w:rsidR="00044CEF" w:rsidRDefault="00000000">
      <w:pPr>
        <w:numPr>
          <w:ilvl w:val="0"/>
          <w:numId w:val="2"/>
        </w:numPr>
        <w:ind w:left="360"/>
        <w:jc w:val="both"/>
        <w:rPr>
          <w:sz w:val="22"/>
          <w:szCs w:val="22"/>
        </w:rPr>
      </w:pPr>
      <w:r>
        <w:rPr>
          <w:sz w:val="22"/>
          <w:szCs w:val="22"/>
        </w:rPr>
        <w:t xml:space="preserve">October 2024: Grant agreement in place with U.S. EPA. </w:t>
      </w:r>
    </w:p>
    <w:p w14:paraId="3459C2E5" w14:textId="77777777" w:rsidR="00044CEF" w:rsidRDefault="00000000">
      <w:pPr>
        <w:numPr>
          <w:ilvl w:val="0"/>
          <w:numId w:val="2"/>
        </w:numPr>
        <w:ind w:left="360"/>
        <w:jc w:val="both"/>
        <w:rPr>
          <w:sz w:val="22"/>
          <w:szCs w:val="22"/>
        </w:rPr>
      </w:pPr>
      <w:r>
        <w:rPr>
          <w:sz w:val="22"/>
          <w:szCs w:val="22"/>
        </w:rPr>
        <w:t xml:space="preserve">October 15, 2024: Estimated project start date. </w:t>
      </w:r>
    </w:p>
    <w:p w14:paraId="72968F00" w14:textId="77777777" w:rsidR="00044CEF" w:rsidRDefault="00000000">
      <w:pPr>
        <w:numPr>
          <w:ilvl w:val="0"/>
          <w:numId w:val="2"/>
        </w:numPr>
        <w:ind w:left="360"/>
        <w:jc w:val="both"/>
        <w:rPr>
          <w:sz w:val="22"/>
          <w:szCs w:val="22"/>
        </w:rPr>
      </w:pPr>
      <w:r>
        <w:rPr>
          <w:sz w:val="22"/>
          <w:szCs w:val="22"/>
        </w:rPr>
        <w:t xml:space="preserve">November 2024: TBRPC hires new outreach staff and/or expands hours of existing staff to design energy efficiency educational programming. </w:t>
      </w:r>
    </w:p>
    <w:p w14:paraId="14F8DB9A" w14:textId="77777777" w:rsidR="00044CEF" w:rsidRDefault="00000000">
      <w:pPr>
        <w:numPr>
          <w:ilvl w:val="0"/>
          <w:numId w:val="2"/>
        </w:numPr>
        <w:ind w:left="360"/>
        <w:jc w:val="both"/>
        <w:rPr>
          <w:sz w:val="22"/>
          <w:szCs w:val="22"/>
        </w:rPr>
      </w:pPr>
      <w:r>
        <w:rPr>
          <w:sz w:val="22"/>
          <w:szCs w:val="22"/>
        </w:rPr>
        <w:t xml:space="preserve">November 2024: TBRPC signs agreements with Coalition members named in the application. </w:t>
      </w:r>
    </w:p>
    <w:p w14:paraId="2A0D6C4D" w14:textId="77777777" w:rsidR="00044CEF" w:rsidRDefault="00000000">
      <w:pPr>
        <w:numPr>
          <w:ilvl w:val="0"/>
          <w:numId w:val="2"/>
        </w:numPr>
        <w:ind w:left="360"/>
        <w:jc w:val="both"/>
        <w:rPr>
          <w:sz w:val="22"/>
          <w:szCs w:val="22"/>
        </w:rPr>
      </w:pPr>
      <w:r>
        <w:rPr>
          <w:sz w:val="22"/>
          <w:szCs w:val="22"/>
        </w:rPr>
        <w:t xml:space="preserve">Nov. 2024 - Feb. 2024: TBRPC signs agreements with </w:t>
      </w:r>
      <w:proofErr w:type="spellStart"/>
      <w:r>
        <w:rPr>
          <w:sz w:val="22"/>
          <w:szCs w:val="22"/>
        </w:rPr>
        <w:t>Subawardees</w:t>
      </w:r>
      <w:proofErr w:type="spellEnd"/>
      <w:r>
        <w:rPr>
          <w:sz w:val="22"/>
          <w:szCs w:val="22"/>
        </w:rPr>
        <w:t xml:space="preserve"> named in the </w:t>
      </w:r>
      <w:proofErr w:type="gramStart"/>
      <w:r>
        <w:rPr>
          <w:sz w:val="22"/>
          <w:szCs w:val="22"/>
        </w:rPr>
        <w:t>application</w:t>
      </w:r>
      <w:proofErr w:type="gramEnd"/>
    </w:p>
    <w:p w14:paraId="60009924" w14:textId="77777777" w:rsidR="00044CEF" w:rsidRDefault="00000000">
      <w:pPr>
        <w:numPr>
          <w:ilvl w:val="0"/>
          <w:numId w:val="2"/>
        </w:numPr>
        <w:ind w:left="360"/>
        <w:jc w:val="both"/>
        <w:rPr>
          <w:sz w:val="22"/>
          <w:szCs w:val="22"/>
        </w:rPr>
      </w:pPr>
      <w:r>
        <w:rPr>
          <w:sz w:val="22"/>
          <w:szCs w:val="22"/>
        </w:rPr>
        <w:t xml:space="preserve">December 2024: Coalition members hire grant management and outreach staff. </w:t>
      </w:r>
    </w:p>
    <w:p w14:paraId="11FFEBBF" w14:textId="77777777" w:rsidR="00044CEF" w:rsidRDefault="00000000">
      <w:pPr>
        <w:numPr>
          <w:ilvl w:val="0"/>
          <w:numId w:val="2"/>
        </w:numPr>
        <w:ind w:left="360"/>
        <w:jc w:val="both"/>
        <w:rPr>
          <w:sz w:val="22"/>
          <w:szCs w:val="22"/>
        </w:rPr>
      </w:pPr>
      <w:r>
        <w:rPr>
          <w:sz w:val="22"/>
          <w:szCs w:val="22"/>
        </w:rPr>
        <w:t xml:space="preserve">January 2025: Identify and partner with nonprofits that serve marginalized community members for advice on how to best outreach to each region's LIDAC population. </w:t>
      </w:r>
    </w:p>
    <w:p w14:paraId="2203C6EB" w14:textId="77777777" w:rsidR="00044CEF" w:rsidRDefault="00000000">
      <w:pPr>
        <w:numPr>
          <w:ilvl w:val="0"/>
          <w:numId w:val="2"/>
        </w:numPr>
        <w:ind w:left="360"/>
        <w:jc w:val="both"/>
        <w:rPr>
          <w:sz w:val="22"/>
          <w:szCs w:val="22"/>
        </w:rPr>
      </w:pPr>
      <w:r>
        <w:rPr>
          <w:sz w:val="22"/>
          <w:szCs w:val="22"/>
        </w:rPr>
        <w:t xml:space="preserve">January 2025: Procure a multi-language translation and ADA service for energy efficiency education opportunities and to translate educational material. </w:t>
      </w:r>
    </w:p>
    <w:p w14:paraId="05F2F89F" w14:textId="77777777" w:rsidR="00044CEF" w:rsidRDefault="00000000">
      <w:pPr>
        <w:numPr>
          <w:ilvl w:val="0"/>
          <w:numId w:val="2"/>
        </w:numPr>
        <w:ind w:left="360"/>
        <w:jc w:val="both"/>
        <w:rPr>
          <w:sz w:val="22"/>
          <w:szCs w:val="22"/>
        </w:rPr>
      </w:pPr>
      <w:r>
        <w:rPr>
          <w:sz w:val="22"/>
          <w:szCs w:val="22"/>
        </w:rPr>
        <w:t xml:space="preserve">March 2025: Contract with community partners in LIDAC Census Tracts to hold energy efficiency training and store and distribute energy efficiency tool kits. </w:t>
      </w:r>
    </w:p>
    <w:p w14:paraId="553897AB" w14:textId="77777777" w:rsidR="00044CEF" w:rsidRDefault="00000000">
      <w:pPr>
        <w:numPr>
          <w:ilvl w:val="0"/>
          <w:numId w:val="2"/>
        </w:numPr>
        <w:ind w:left="360"/>
        <w:jc w:val="both"/>
        <w:rPr>
          <w:sz w:val="22"/>
          <w:szCs w:val="22"/>
        </w:rPr>
      </w:pPr>
      <w:r>
        <w:rPr>
          <w:sz w:val="22"/>
          <w:szCs w:val="22"/>
        </w:rPr>
        <w:t xml:space="preserve">May 2025: Purchase EE Tool Kits and REA Toolkits for distribution. </w:t>
      </w:r>
    </w:p>
    <w:p w14:paraId="771F65E4" w14:textId="77777777" w:rsidR="00044CEF" w:rsidRDefault="00000000">
      <w:pPr>
        <w:numPr>
          <w:ilvl w:val="0"/>
          <w:numId w:val="2"/>
        </w:numPr>
        <w:ind w:left="360"/>
        <w:jc w:val="both"/>
        <w:rPr>
          <w:sz w:val="22"/>
          <w:szCs w:val="22"/>
        </w:rPr>
      </w:pPr>
      <w:r>
        <w:rPr>
          <w:sz w:val="22"/>
          <w:szCs w:val="22"/>
        </w:rPr>
        <w:t xml:space="preserve">May 2025: Begin recruitment of trusted local advocates to help disseminate information about educational events and assist with workshops. </w:t>
      </w:r>
    </w:p>
    <w:p w14:paraId="0A94D5D1" w14:textId="77777777" w:rsidR="00044CEF" w:rsidRDefault="00000000">
      <w:pPr>
        <w:jc w:val="both"/>
        <w:rPr>
          <w:b/>
          <w:sz w:val="22"/>
          <w:szCs w:val="22"/>
        </w:rPr>
      </w:pPr>
      <w:r>
        <w:rPr>
          <w:b/>
          <w:sz w:val="22"/>
          <w:szCs w:val="22"/>
        </w:rPr>
        <w:t xml:space="preserve">2) Initial Education Outreach and Energy Efficiency Implementation </w:t>
      </w:r>
      <w:r>
        <w:rPr>
          <w:i/>
          <w:sz w:val="22"/>
          <w:szCs w:val="22"/>
        </w:rPr>
        <w:t xml:space="preserve">(May 2025 to November 2025) </w:t>
      </w:r>
    </w:p>
    <w:p w14:paraId="0ADB5B51" w14:textId="77777777" w:rsidR="00044CEF" w:rsidRDefault="00000000">
      <w:pPr>
        <w:numPr>
          <w:ilvl w:val="0"/>
          <w:numId w:val="2"/>
        </w:numPr>
        <w:ind w:left="360"/>
        <w:jc w:val="both"/>
        <w:rPr>
          <w:sz w:val="22"/>
          <w:szCs w:val="22"/>
        </w:rPr>
      </w:pPr>
      <w:r>
        <w:rPr>
          <w:sz w:val="22"/>
          <w:szCs w:val="22"/>
        </w:rPr>
        <w:t xml:space="preserve">April 2025: Establish partnerships with </w:t>
      </w:r>
      <w:proofErr w:type="gramStart"/>
      <w:r>
        <w:rPr>
          <w:sz w:val="22"/>
          <w:szCs w:val="22"/>
        </w:rPr>
        <w:t>community based</w:t>
      </w:r>
      <w:proofErr w:type="gramEnd"/>
      <w:r>
        <w:rPr>
          <w:sz w:val="22"/>
          <w:szCs w:val="22"/>
        </w:rPr>
        <w:t xml:space="preserve"> organizations, nonprofits, and K-12 schools for educational events.</w:t>
      </w:r>
    </w:p>
    <w:p w14:paraId="1C4AE23C" w14:textId="77777777" w:rsidR="00044CEF" w:rsidRDefault="00000000">
      <w:pPr>
        <w:numPr>
          <w:ilvl w:val="0"/>
          <w:numId w:val="2"/>
        </w:numPr>
        <w:ind w:left="360"/>
        <w:jc w:val="both"/>
        <w:rPr>
          <w:sz w:val="22"/>
          <w:szCs w:val="22"/>
        </w:rPr>
      </w:pPr>
      <w:r>
        <w:rPr>
          <w:sz w:val="22"/>
          <w:szCs w:val="22"/>
        </w:rPr>
        <w:t xml:space="preserve">May 2025: Begin educational workshops with translation and ADA services where EE Tool Kits and REA Toolkits are explained and provided. </w:t>
      </w:r>
    </w:p>
    <w:p w14:paraId="7FD5C6EC" w14:textId="77777777" w:rsidR="00044CEF" w:rsidRDefault="00000000">
      <w:pPr>
        <w:numPr>
          <w:ilvl w:val="0"/>
          <w:numId w:val="2"/>
        </w:numPr>
        <w:ind w:left="360"/>
        <w:jc w:val="both"/>
        <w:rPr>
          <w:sz w:val="22"/>
          <w:szCs w:val="22"/>
        </w:rPr>
      </w:pPr>
      <w:r>
        <w:rPr>
          <w:sz w:val="22"/>
          <w:szCs w:val="22"/>
        </w:rPr>
        <w:t xml:space="preserve">May 2026 - August 2030: Provide </w:t>
      </w:r>
      <w:r>
        <w:rPr>
          <w:b/>
          <w:sz w:val="22"/>
          <w:szCs w:val="22"/>
        </w:rPr>
        <w:t>600</w:t>
      </w:r>
      <w:r>
        <w:rPr>
          <w:sz w:val="22"/>
          <w:szCs w:val="22"/>
        </w:rPr>
        <w:t xml:space="preserve"> </w:t>
      </w:r>
      <w:r>
        <w:rPr>
          <w:b/>
          <w:sz w:val="22"/>
          <w:szCs w:val="22"/>
        </w:rPr>
        <w:t xml:space="preserve">educational workshops </w:t>
      </w:r>
      <w:r>
        <w:rPr>
          <w:sz w:val="22"/>
          <w:szCs w:val="22"/>
        </w:rPr>
        <w:t xml:space="preserve">in trusted community facilities; distribute </w:t>
      </w:r>
      <w:proofErr w:type="gramStart"/>
      <w:r>
        <w:rPr>
          <w:b/>
          <w:sz w:val="22"/>
          <w:szCs w:val="22"/>
        </w:rPr>
        <w:t>1,000  EE</w:t>
      </w:r>
      <w:proofErr w:type="gramEnd"/>
      <w:r>
        <w:rPr>
          <w:b/>
          <w:sz w:val="22"/>
          <w:szCs w:val="22"/>
        </w:rPr>
        <w:t xml:space="preserve"> Tools Kits</w:t>
      </w:r>
      <w:r>
        <w:rPr>
          <w:sz w:val="22"/>
          <w:szCs w:val="22"/>
        </w:rPr>
        <w:t>, and provide</w:t>
      </w:r>
      <w:r>
        <w:rPr>
          <w:b/>
          <w:sz w:val="22"/>
          <w:szCs w:val="22"/>
        </w:rPr>
        <w:t xml:space="preserve"> 700 REA Toolkits</w:t>
      </w:r>
      <w:r>
        <w:rPr>
          <w:sz w:val="22"/>
          <w:szCs w:val="22"/>
        </w:rPr>
        <w:t xml:space="preserve"> to LIDAC serving community facilities to be loaned out.   </w:t>
      </w:r>
    </w:p>
    <w:p w14:paraId="473D559A" w14:textId="77777777" w:rsidR="00044CEF" w:rsidRDefault="00000000">
      <w:pPr>
        <w:jc w:val="both"/>
        <w:rPr>
          <w:b/>
          <w:sz w:val="22"/>
          <w:szCs w:val="22"/>
        </w:rPr>
      </w:pPr>
      <w:r>
        <w:rPr>
          <w:b/>
          <w:sz w:val="22"/>
          <w:szCs w:val="22"/>
        </w:rPr>
        <w:t xml:space="preserve">3) Ongoing Reporting &amp; Closeout </w:t>
      </w:r>
      <w:r>
        <w:rPr>
          <w:i/>
          <w:sz w:val="22"/>
          <w:szCs w:val="22"/>
        </w:rPr>
        <w:t xml:space="preserve">(October 2025 to September 2030) </w:t>
      </w:r>
    </w:p>
    <w:p w14:paraId="1709D72E" w14:textId="77777777" w:rsidR="00044CEF" w:rsidRDefault="00000000">
      <w:pPr>
        <w:numPr>
          <w:ilvl w:val="0"/>
          <w:numId w:val="2"/>
        </w:numPr>
        <w:ind w:left="360"/>
        <w:jc w:val="both"/>
        <w:rPr>
          <w:sz w:val="22"/>
          <w:szCs w:val="22"/>
        </w:rPr>
      </w:pPr>
      <w:r>
        <w:rPr>
          <w:sz w:val="22"/>
          <w:szCs w:val="22"/>
        </w:rPr>
        <w:t>August 2025: Preparation for report to U.S. EPA that quantifies benefits to low-income and disadvantaged communities, including changes in co-pollutant emissions.</w:t>
      </w:r>
    </w:p>
    <w:p w14:paraId="6F90B834" w14:textId="77777777" w:rsidR="00044CEF" w:rsidRDefault="00000000">
      <w:pPr>
        <w:numPr>
          <w:ilvl w:val="0"/>
          <w:numId w:val="2"/>
        </w:numPr>
        <w:ind w:left="360"/>
        <w:jc w:val="both"/>
        <w:rPr>
          <w:sz w:val="22"/>
          <w:szCs w:val="22"/>
        </w:rPr>
      </w:pPr>
      <w:r>
        <w:rPr>
          <w:sz w:val="22"/>
          <w:szCs w:val="22"/>
        </w:rPr>
        <w:t>September 2025: Provide a report to U.S. EPA that quantifies benefits to low-income and disadvantaged communities, including changes in co-pollutant emissions.</w:t>
      </w:r>
    </w:p>
    <w:p w14:paraId="1DF7A172" w14:textId="77777777" w:rsidR="00044CEF" w:rsidRDefault="00000000">
      <w:pPr>
        <w:numPr>
          <w:ilvl w:val="0"/>
          <w:numId w:val="2"/>
        </w:numPr>
        <w:ind w:left="360"/>
        <w:jc w:val="both"/>
        <w:rPr>
          <w:sz w:val="22"/>
          <w:szCs w:val="22"/>
        </w:rPr>
      </w:pPr>
      <w:r>
        <w:rPr>
          <w:sz w:val="22"/>
          <w:szCs w:val="22"/>
        </w:rPr>
        <w:t xml:space="preserve">May and November 2025 - 2030: Preparation and publication of Semi-Annual Progress Reports summarizing technical progress, accomplishments, and milestones achieved, planned activities for the next six months, a summary of expenditures to date, and progress on community engagement. </w:t>
      </w:r>
    </w:p>
    <w:p w14:paraId="3FF96450" w14:textId="77777777" w:rsidR="00044CEF" w:rsidRDefault="00000000">
      <w:pPr>
        <w:numPr>
          <w:ilvl w:val="0"/>
          <w:numId w:val="2"/>
        </w:numPr>
        <w:ind w:left="360"/>
        <w:jc w:val="both"/>
        <w:rPr>
          <w:sz w:val="22"/>
          <w:szCs w:val="22"/>
        </w:rPr>
      </w:pPr>
      <w:r>
        <w:rPr>
          <w:sz w:val="22"/>
          <w:szCs w:val="22"/>
        </w:rPr>
        <w:t xml:space="preserve">June 2030 - September 2030: Prepare to close out the grant and provide final reports. </w:t>
      </w:r>
    </w:p>
    <w:p w14:paraId="5D8A18FE" w14:textId="77777777" w:rsidR="00044CEF" w:rsidRDefault="00000000">
      <w:pPr>
        <w:numPr>
          <w:ilvl w:val="0"/>
          <w:numId w:val="2"/>
        </w:numPr>
        <w:ind w:left="360"/>
        <w:jc w:val="both"/>
        <w:rPr>
          <w:sz w:val="22"/>
          <w:szCs w:val="22"/>
        </w:rPr>
      </w:pPr>
      <w:r>
        <w:rPr>
          <w:sz w:val="22"/>
          <w:szCs w:val="22"/>
        </w:rPr>
        <w:t xml:space="preserve">September 2030: Close out grant and final </w:t>
      </w:r>
      <w:proofErr w:type="gramStart"/>
      <w:r>
        <w:rPr>
          <w:sz w:val="22"/>
          <w:szCs w:val="22"/>
        </w:rPr>
        <w:t>reporting</w:t>
      </w:r>
      <w:proofErr w:type="gramEnd"/>
    </w:p>
    <w:p w14:paraId="15EDB080" w14:textId="77777777" w:rsidR="00044CEF" w:rsidRDefault="00044CEF">
      <w:pPr>
        <w:pBdr>
          <w:top w:val="nil"/>
          <w:left w:val="nil"/>
          <w:bottom w:val="nil"/>
          <w:right w:val="nil"/>
          <w:between w:val="nil"/>
        </w:pBdr>
        <w:jc w:val="both"/>
        <w:rPr>
          <w:rFonts w:ascii="Times New Roman" w:eastAsia="Times New Roman" w:hAnsi="Times New Roman" w:cs="Times New Roman"/>
          <w:b/>
          <w:u w:val="single"/>
        </w:rPr>
      </w:pPr>
    </w:p>
    <w:p w14:paraId="5A98EB60" w14:textId="77777777" w:rsidR="00044CEF" w:rsidRDefault="00000000">
      <w:pPr>
        <w:pBdr>
          <w:top w:val="nil"/>
          <w:left w:val="nil"/>
          <w:bottom w:val="nil"/>
          <w:right w:val="nil"/>
          <w:between w:val="nil"/>
        </w:pBdr>
        <w:rPr>
          <w:b/>
          <w:color w:val="467886"/>
          <w:sz w:val="22"/>
          <w:szCs w:val="22"/>
          <w:u w:val="single"/>
        </w:rPr>
      </w:pPr>
      <w:r>
        <w:rPr>
          <w:b/>
          <w:color w:val="467886"/>
          <w:sz w:val="22"/>
          <w:szCs w:val="22"/>
          <w:u w:val="single"/>
        </w:rPr>
        <w:t>Implementation Timeline and Milestones</w:t>
      </w:r>
      <w:r>
        <w:rPr>
          <w:b/>
          <w:color w:val="467886"/>
          <w:sz w:val="22"/>
          <w:szCs w:val="22"/>
        </w:rPr>
        <w:t xml:space="preserve"> - GHG Reduction Measure #2: Large-Scale Solar and High-Performing Buildings for Climate &amp; Community Resilience </w:t>
      </w:r>
    </w:p>
    <w:p w14:paraId="378AA9A7" w14:textId="77777777" w:rsidR="00044CEF" w:rsidRDefault="00000000">
      <w:pPr>
        <w:jc w:val="both"/>
        <w:rPr>
          <w:i/>
          <w:sz w:val="22"/>
          <w:szCs w:val="22"/>
        </w:rPr>
      </w:pPr>
      <w:r>
        <w:rPr>
          <w:b/>
          <w:sz w:val="22"/>
          <w:szCs w:val="22"/>
        </w:rPr>
        <w:t xml:space="preserve">1) Project Setup and Capacity Building </w:t>
      </w:r>
    </w:p>
    <w:p w14:paraId="5D9B3519" w14:textId="77777777" w:rsidR="00044CEF" w:rsidRDefault="00000000">
      <w:pPr>
        <w:numPr>
          <w:ilvl w:val="0"/>
          <w:numId w:val="6"/>
        </w:numPr>
        <w:ind w:left="360"/>
        <w:jc w:val="both"/>
        <w:rPr>
          <w:sz w:val="22"/>
          <w:szCs w:val="22"/>
        </w:rPr>
      </w:pPr>
      <w:r>
        <w:rPr>
          <w:sz w:val="22"/>
          <w:szCs w:val="22"/>
        </w:rPr>
        <w:t xml:space="preserve">July 2024: Turn in MOAs signed by all Coalition members. </w:t>
      </w:r>
    </w:p>
    <w:p w14:paraId="2650DA39" w14:textId="77777777" w:rsidR="00044CEF" w:rsidRDefault="00000000">
      <w:pPr>
        <w:numPr>
          <w:ilvl w:val="0"/>
          <w:numId w:val="6"/>
        </w:numPr>
        <w:ind w:left="360"/>
        <w:jc w:val="both"/>
        <w:rPr>
          <w:sz w:val="22"/>
          <w:szCs w:val="22"/>
        </w:rPr>
      </w:pPr>
      <w:r>
        <w:rPr>
          <w:sz w:val="22"/>
          <w:szCs w:val="22"/>
        </w:rPr>
        <w:t xml:space="preserve">October 2024: Grant agreement in place with U.S. EPA. </w:t>
      </w:r>
    </w:p>
    <w:p w14:paraId="06D083E5" w14:textId="77777777" w:rsidR="00044CEF" w:rsidRDefault="00000000">
      <w:pPr>
        <w:numPr>
          <w:ilvl w:val="0"/>
          <w:numId w:val="6"/>
        </w:numPr>
        <w:ind w:left="360"/>
        <w:jc w:val="both"/>
        <w:rPr>
          <w:sz w:val="22"/>
          <w:szCs w:val="22"/>
        </w:rPr>
      </w:pPr>
      <w:r>
        <w:rPr>
          <w:sz w:val="22"/>
          <w:szCs w:val="22"/>
        </w:rPr>
        <w:t>October 15, 2024: Estimated project start date.</w:t>
      </w:r>
    </w:p>
    <w:p w14:paraId="08608ABD" w14:textId="77777777" w:rsidR="00044CEF" w:rsidRDefault="00000000">
      <w:pPr>
        <w:numPr>
          <w:ilvl w:val="0"/>
          <w:numId w:val="6"/>
        </w:numPr>
        <w:ind w:left="360"/>
        <w:jc w:val="both"/>
        <w:rPr>
          <w:sz w:val="22"/>
          <w:szCs w:val="22"/>
        </w:rPr>
      </w:pPr>
      <w:r>
        <w:rPr>
          <w:sz w:val="22"/>
          <w:szCs w:val="22"/>
        </w:rPr>
        <w:t xml:space="preserve">Nov. 2024 - Feb. 2024: TBRPC signs agreements with </w:t>
      </w:r>
      <w:proofErr w:type="spellStart"/>
      <w:r>
        <w:rPr>
          <w:sz w:val="22"/>
          <w:szCs w:val="22"/>
        </w:rPr>
        <w:t>subawardees</w:t>
      </w:r>
      <w:proofErr w:type="spellEnd"/>
      <w:r>
        <w:rPr>
          <w:sz w:val="22"/>
          <w:szCs w:val="22"/>
        </w:rPr>
        <w:t xml:space="preserve"> named in the application. December 2024: Hire new program staff or expand the hours of existing program staff. </w:t>
      </w:r>
    </w:p>
    <w:p w14:paraId="7AB71E04" w14:textId="77777777" w:rsidR="00044CEF" w:rsidRDefault="00000000">
      <w:pPr>
        <w:numPr>
          <w:ilvl w:val="0"/>
          <w:numId w:val="6"/>
        </w:numPr>
        <w:ind w:left="360"/>
        <w:jc w:val="both"/>
        <w:rPr>
          <w:sz w:val="22"/>
          <w:szCs w:val="22"/>
        </w:rPr>
      </w:pPr>
      <w:r>
        <w:rPr>
          <w:sz w:val="22"/>
          <w:szCs w:val="22"/>
        </w:rPr>
        <w:t xml:space="preserve">December 2024: Coalition members hire grant management and outreach staff. </w:t>
      </w:r>
    </w:p>
    <w:p w14:paraId="5E0789D8" w14:textId="77777777" w:rsidR="00044CEF" w:rsidRDefault="00000000">
      <w:pPr>
        <w:numPr>
          <w:ilvl w:val="0"/>
          <w:numId w:val="6"/>
        </w:numPr>
        <w:ind w:left="360"/>
        <w:jc w:val="both"/>
        <w:rPr>
          <w:sz w:val="22"/>
          <w:szCs w:val="22"/>
        </w:rPr>
      </w:pPr>
      <w:r>
        <w:rPr>
          <w:sz w:val="22"/>
          <w:szCs w:val="22"/>
        </w:rPr>
        <w:t xml:space="preserve">January 2025: TBRPC procures marketing and outreach staff to brand SSERC, including translation for marketing outreach toolkits for Coalition members. </w:t>
      </w:r>
    </w:p>
    <w:p w14:paraId="62401030" w14:textId="77777777" w:rsidR="00044CEF" w:rsidRDefault="00000000">
      <w:pPr>
        <w:jc w:val="both"/>
        <w:rPr>
          <w:b/>
          <w:sz w:val="22"/>
          <w:szCs w:val="22"/>
        </w:rPr>
      </w:pPr>
      <w:r>
        <w:rPr>
          <w:b/>
          <w:sz w:val="22"/>
          <w:szCs w:val="22"/>
        </w:rPr>
        <w:t xml:space="preserve">2) Workforce Training </w:t>
      </w:r>
    </w:p>
    <w:p w14:paraId="4EB9F0C8" w14:textId="77777777" w:rsidR="00044CEF" w:rsidRDefault="00000000">
      <w:pPr>
        <w:numPr>
          <w:ilvl w:val="0"/>
          <w:numId w:val="6"/>
        </w:numPr>
        <w:ind w:left="360"/>
        <w:jc w:val="both"/>
        <w:rPr>
          <w:sz w:val="22"/>
          <w:szCs w:val="22"/>
        </w:rPr>
      </w:pPr>
      <w:r>
        <w:rPr>
          <w:sz w:val="22"/>
          <w:szCs w:val="22"/>
        </w:rPr>
        <w:t xml:space="preserve">January 2025: SSERC partners with an apprenticeship non-profit to kick start its workforce training and hiring program in solar installation and deployment. </w:t>
      </w:r>
    </w:p>
    <w:p w14:paraId="4E56FF59" w14:textId="77777777" w:rsidR="00044CEF" w:rsidRDefault="00000000">
      <w:pPr>
        <w:numPr>
          <w:ilvl w:val="0"/>
          <w:numId w:val="6"/>
        </w:numPr>
        <w:ind w:left="360"/>
        <w:rPr>
          <w:sz w:val="22"/>
          <w:szCs w:val="22"/>
        </w:rPr>
      </w:pPr>
      <w:r>
        <w:rPr>
          <w:sz w:val="22"/>
          <w:szCs w:val="22"/>
        </w:rPr>
        <w:t xml:space="preserve">February 2025: MOUs in place with regional Career Source Centers that expand and support training in LIDAC facilities throughout the four-MSA region. </w:t>
      </w:r>
    </w:p>
    <w:p w14:paraId="7A8ED93D" w14:textId="77777777" w:rsidR="00044CEF" w:rsidRDefault="00000000">
      <w:pPr>
        <w:numPr>
          <w:ilvl w:val="0"/>
          <w:numId w:val="6"/>
        </w:numPr>
        <w:ind w:left="360"/>
        <w:rPr>
          <w:sz w:val="22"/>
          <w:szCs w:val="22"/>
        </w:rPr>
      </w:pPr>
      <w:r>
        <w:rPr>
          <w:sz w:val="22"/>
          <w:szCs w:val="22"/>
        </w:rPr>
        <w:t xml:space="preserve">June 2025: Begin training for apprenticeship programs in LIDAC buildings. </w:t>
      </w:r>
    </w:p>
    <w:p w14:paraId="5530E62E" w14:textId="77777777" w:rsidR="00044CEF" w:rsidRDefault="00000000">
      <w:pPr>
        <w:numPr>
          <w:ilvl w:val="0"/>
          <w:numId w:val="6"/>
        </w:numPr>
        <w:ind w:left="360"/>
        <w:rPr>
          <w:sz w:val="22"/>
          <w:szCs w:val="22"/>
        </w:rPr>
      </w:pPr>
      <w:r>
        <w:rPr>
          <w:sz w:val="22"/>
          <w:szCs w:val="22"/>
        </w:rPr>
        <w:t xml:space="preserve">July 2025 to August 2030:  Quarterly </w:t>
      </w:r>
      <w:proofErr w:type="gramStart"/>
      <w:r>
        <w:rPr>
          <w:sz w:val="22"/>
          <w:szCs w:val="22"/>
        </w:rPr>
        <w:t>training  for</w:t>
      </w:r>
      <w:proofErr w:type="gramEnd"/>
      <w:r>
        <w:rPr>
          <w:sz w:val="22"/>
          <w:szCs w:val="22"/>
        </w:rPr>
        <w:t xml:space="preserve"> an apprenticeship program in LIDAC buildings and 120 LIDAC residents trained through the apprenticeship program. </w:t>
      </w:r>
    </w:p>
    <w:p w14:paraId="4FFB57A4" w14:textId="77777777" w:rsidR="00044CEF" w:rsidRDefault="00000000">
      <w:pPr>
        <w:rPr>
          <w:i/>
          <w:sz w:val="22"/>
          <w:szCs w:val="22"/>
        </w:rPr>
      </w:pPr>
      <w:r>
        <w:rPr>
          <w:b/>
          <w:sz w:val="22"/>
          <w:szCs w:val="22"/>
        </w:rPr>
        <w:t xml:space="preserve">3) Grant and Subgrant Process </w:t>
      </w:r>
    </w:p>
    <w:p w14:paraId="785DFBC0" w14:textId="77777777" w:rsidR="00044CEF" w:rsidRDefault="00000000">
      <w:pPr>
        <w:numPr>
          <w:ilvl w:val="0"/>
          <w:numId w:val="6"/>
        </w:numPr>
        <w:ind w:left="360"/>
        <w:rPr>
          <w:sz w:val="22"/>
          <w:szCs w:val="22"/>
        </w:rPr>
      </w:pPr>
      <w:r>
        <w:rPr>
          <w:sz w:val="22"/>
          <w:szCs w:val="22"/>
        </w:rPr>
        <w:t xml:space="preserve">August 2024: Project staff to finalize subaward criteria for JF MSA and OKS MSA and for grant criteria/subaward criteria for TSPC MSA and NPSB MSA. </w:t>
      </w:r>
    </w:p>
    <w:p w14:paraId="488FF866" w14:textId="77777777" w:rsidR="00044CEF" w:rsidRDefault="00000000">
      <w:pPr>
        <w:numPr>
          <w:ilvl w:val="0"/>
          <w:numId w:val="6"/>
        </w:numPr>
        <w:ind w:left="360"/>
        <w:rPr>
          <w:sz w:val="22"/>
          <w:szCs w:val="22"/>
        </w:rPr>
      </w:pPr>
      <w:r>
        <w:rPr>
          <w:sz w:val="22"/>
          <w:szCs w:val="22"/>
        </w:rPr>
        <w:t xml:space="preserve">September 2024 - November 2025: </w:t>
      </w:r>
      <w:proofErr w:type="gramStart"/>
      <w:r>
        <w:rPr>
          <w:sz w:val="22"/>
          <w:szCs w:val="22"/>
        </w:rPr>
        <w:t>TSPC  MSA</w:t>
      </w:r>
      <w:proofErr w:type="gramEnd"/>
      <w:r>
        <w:rPr>
          <w:sz w:val="22"/>
          <w:szCs w:val="22"/>
        </w:rPr>
        <w:t xml:space="preserve"> and NPSB MSA release and award subgrants to municipalities for Large-Scale Solar and High-Performing Buildings for Climate &amp; Community Resilience projects in their MSAs. </w:t>
      </w:r>
    </w:p>
    <w:p w14:paraId="56394070" w14:textId="77777777" w:rsidR="00044CEF" w:rsidRDefault="00000000">
      <w:pPr>
        <w:numPr>
          <w:ilvl w:val="0"/>
          <w:numId w:val="6"/>
        </w:numPr>
        <w:ind w:left="360"/>
        <w:rPr>
          <w:sz w:val="22"/>
          <w:szCs w:val="22"/>
        </w:rPr>
      </w:pPr>
      <w:r>
        <w:rPr>
          <w:sz w:val="22"/>
          <w:szCs w:val="22"/>
        </w:rPr>
        <w:t>October 2024:</w:t>
      </w:r>
      <w:r>
        <w:rPr>
          <w:b/>
          <w:sz w:val="22"/>
          <w:szCs w:val="22"/>
        </w:rPr>
        <w:t xml:space="preserve"> </w:t>
      </w:r>
      <w:r>
        <w:rPr>
          <w:sz w:val="22"/>
          <w:szCs w:val="22"/>
        </w:rPr>
        <w:t xml:space="preserve">JF MSA and OKS MSA complete subawards for municipalities in their MSAs for Large-Scale Solar and High-Performing Buildings for Climate &amp; Community Resilience projects in their MSAs. </w:t>
      </w:r>
    </w:p>
    <w:p w14:paraId="6D69EB4A" w14:textId="77777777" w:rsidR="00044CEF" w:rsidRDefault="00000000">
      <w:pPr>
        <w:jc w:val="both"/>
        <w:rPr>
          <w:sz w:val="22"/>
          <w:szCs w:val="22"/>
        </w:rPr>
      </w:pPr>
      <w:r>
        <w:rPr>
          <w:b/>
          <w:sz w:val="22"/>
          <w:szCs w:val="22"/>
        </w:rPr>
        <w:t xml:space="preserve">4) Large-Scale Solar/Energy Retrofits with Solar </w:t>
      </w:r>
    </w:p>
    <w:p w14:paraId="13747796" w14:textId="77777777" w:rsidR="00044CEF" w:rsidRDefault="00000000">
      <w:pPr>
        <w:numPr>
          <w:ilvl w:val="0"/>
          <w:numId w:val="6"/>
        </w:numPr>
        <w:ind w:left="360"/>
        <w:jc w:val="both"/>
        <w:rPr>
          <w:sz w:val="22"/>
          <w:szCs w:val="22"/>
        </w:rPr>
      </w:pPr>
      <w:r>
        <w:rPr>
          <w:sz w:val="22"/>
          <w:szCs w:val="22"/>
        </w:rPr>
        <w:t xml:space="preserve">March 2025 - June 2025: Multi-lingual outreach in LIDAC communities to shape final projects in LIDAC communities. </w:t>
      </w:r>
    </w:p>
    <w:p w14:paraId="761C7926" w14:textId="77777777" w:rsidR="00044CEF" w:rsidRDefault="00000000">
      <w:pPr>
        <w:numPr>
          <w:ilvl w:val="0"/>
          <w:numId w:val="6"/>
        </w:numPr>
        <w:ind w:left="360"/>
        <w:rPr>
          <w:sz w:val="22"/>
          <w:szCs w:val="22"/>
        </w:rPr>
      </w:pPr>
      <w:r>
        <w:rPr>
          <w:sz w:val="22"/>
          <w:szCs w:val="22"/>
        </w:rPr>
        <w:t xml:space="preserve">October 2025-August 2030: 600 energy retrofits </w:t>
      </w:r>
      <w:proofErr w:type="gramStart"/>
      <w:r>
        <w:rPr>
          <w:sz w:val="22"/>
          <w:szCs w:val="22"/>
        </w:rPr>
        <w:t>in  community</w:t>
      </w:r>
      <w:proofErr w:type="gramEnd"/>
      <w:r>
        <w:rPr>
          <w:sz w:val="22"/>
          <w:szCs w:val="22"/>
        </w:rPr>
        <w:t xml:space="preserve"> facilities. </w:t>
      </w:r>
    </w:p>
    <w:p w14:paraId="3D60A7D5" w14:textId="77777777" w:rsidR="00044CEF" w:rsidRDefault="00000000">
      <w:pPr>
        <w:numPr>
          <w:ilvl w:val="0"/>
          <w:numId w:val="6"/>
        </w:numPr>
        <w:ind w:left="360"/>
        <w:rPr>
          <w:sz w:val="22"/>
          <w:szCs w:val="22"/>
        </w:rPr>
      </w:pPr>
      <w:r>
        <w:rPr>
          <w:sz w:val="22"/>
          <w:szCs w:val="22"/>
        </w:rPr>
        <w:t xml:space="preserve">October 2025-August 2030: 95 solar installations. </w:t>
      </w:r>
    </w:p>
    <w:p w14:paraId="401367FA" w14:textId="77777777" w:rsidR="00044CEF" w:rsidRDefault="00000000">
      <w:pPr>
        <w:jc w:val="both"/>
        <w:rPr>
          <w:sz w:val="22"/>
          <w:szCs w:val="22"/>
        </w:rPr>
      </w:pPr>
      <w:r>
        <w:rPr>
          <w:b/>
          <w:sz w:val="22"/>
          <w:szCs w:val="22"/>
        </w:rPr>
        <w:t xml:space="preserve">5) Ongoing Reporting &amp; Closeout </w:t>
      </w:r>
    </w:p>
    <w:p w14:paraId="4388B43E" w14:textId="77777777" w:rsidR="00044CEF" w:rsidRDefault="00000000">
      <w:pPr>
        <w:numPr>
          <w:ilvl w:val="0"/>
          <w:numId w:val="6"/>
        </w:numPr>
        <w:ind w:left="360"/>
        <w:jc w:val="both"/>
        <w:rPr>
          <w:sz w:val="22"/>
          <w:szCs w:val="22"/>
        </w:rPr>
      </w:pPr>
      <w:r>
        <w:rPr>
          <w:sz w:val="22"/>
          <w:szCs w:val="22"/>
        </w:rPr>
        <w:t>August 2025: Preparation for report to U.S. EPA that quantifies benefits to low-income and disadvantaged communities, including changes in co-pollutant emissions.</w:t>
      </w:r>
    </w:p>
    <w:p w14:paraId="6E7780DE" w14:textId="77777777" w:rsidR="00044CEF" w:rsidRDefault="00000000">
      <w:pPr>
        <w:numPr>
          <w:ilvl w:val="0"/>
          <w:numId w:val="6"/>
        </w:numPr>
        <w:ind w:left="360"/>
        <w:jc w:val="both"/>
        <w:rPr>
          <w:sz w:val="22"/>
          <w:szCs w:val="22"/>
        </w:rPr>
      </w:pPr>
      <w:r>
        <w:rPr>
          <w:sz w:val="22"/>
          <w:szCs w:val="22"/>
        </w:rPr>
        <w:t>September 2025: Provide a report to U.S. EPA that quantifies benefits to low-income and disadvantaged communities, including changes in co-pollutant emissions.</w:t>
      </w:r>
    </w:p>
    <w:p w14:paraId="7997B663" w14:textId="77777777" w:rsidR="00044CEF" w:rsidRDefault="00000000">
      <w:pPr>
        <w:numPr>
          <w:ilvl w:val="0"/>
          <w:numId w:val="6"/>
        </w:numPr>
        <w:ind w:left="360"/>
        <w:jc w:val="both"/>
        <w:rPr>
          <w:sz w:val="22"/>
          <w:szCs w:val="22"/>
        </w:rPr>
      </w:pPr>
      <w:r>
        <w:rPr>
          <w:sz w:val="22"/>
          <w:szCs w:val="22"/>
        </w:rPr>
        <w:t xml:space="preserve">May and November 2025 - 2030: Preparation and publication of Semi-Annual Progress Reports summarizing technical progress, accomplishments, and milestones achieved, planned activities for the next six months, a summary of expenditures to date, and progress on community engagement. </w:t>
      </w:r>
    </w:p>
    <w:p w14:paraId="4C3CE9D4" w14:textId="77777777" w:rsidR="00044CEF" w:rsidRDefault="00000000">
      <w:pPr>
        <w:numPr>
          <w:ilvl w:val="0"/>
          <w:numId w:val="6"/>
        </w:numPr>
        <w:ind w:left="360"/>
        <w:jc w:val="both"/>
        <w:rPr>
          <w:sz w:val="22"/>
          <w:szCs w:val="22"/>
        </w:rPr>
      </w:pPr>
      <w:r>
        <w:rPr>
          <w:sz w:val="22"/>
          <w:szCs w:val="22"/>
        </w:rPr>
        <w:t xml:space="preserve">June 2030 - September 2030: Prepare to close out the grant and provide final reports. </w:t>
      </w:r>
    </w:p>
    <w:p w14:paraId="57E33937" w14:textId="77777777" w:rsidR="00044CEF" w:rsidRDefault="00000000">
      <w:pPr>
        <w:numPr>
          <w:ilvl w:val="0"/>
          <w:numId w:val="6"/>
        </w:numPr>
        <w:ind w:left="360"/>
        <w:jc w:val="both"/>
        <w:rPr>
          <w:sz w:val="22"/>
          <w:szCs w:val="22"/>
        </w:rPr>
      </w:pPr>
      <w:r>
        <w:rPr>
          <w:sz w:val="22"/>
          <w:szCs w:val="22"/>
        </w:rPr>
        <w:t xml:space="preserve">September 2030: Close out grant and final reporting.  </w:t>
      </w:r>
    </w:p>
    <w:p w14:paraId="4316CC98" w14:textId="77777777" w:rsidR="00044CEF" w:rsidRDefault="00044CEF">
      <w:pPr>
        <w:pBdr>
          <w:top w:val="nil"/>
          <w:left w:val="nil"/>
          <w:bottom w:val="nil"/>
          <w:right w:val="nil"/>
          <w:between w:val="nil"/>
        </w:pBdr>
        <w:rPr>
          <w:rFonts w:ascii="Times New Roman" w:eastAsia="Times New Roman" w:hAnsi="Times New Roman" w:cs="Times New Roman"/>
          <w:b/>
          <w:color w:val="7030A0"/>
          <w:u w:val="single"/>
        </w:rPr>
      </w:pPr>
    </w:p>
    <w:p w14:paraId="5CB3C659" w14:textId="77777777" w:rsidR="00044CEF" w:rsidRDefault="00000000">
      <w:pPr>
        <w:pBdr>
          <w:top w:val="nil"/>
          <w:left w:val="nil"/>
          <w:bottom w:val="nil"/>
          <w:right w:val="nil"/>
          <w:between w:val="nil"/>
        </w:pBdr>
        <w:rPr>
          <w:sz w:val="22"/>
          <w:szCs w:val="22"/>
        </w:rPr>
      </w:pPr>
      <w:r>
        <w:rPr>
          <w:b/>
          <w:color w:val="4472C4"/>
          <w:sz w:val="22"/>
          <w:szCs w:val="22"/>
          <w:u w:val="single"/>
        </w:rPr>
        <w:t>IV. Low-income and Disadvantaged Communities</w:t>
      </w:r>
      <w:r>
        <w:rPr>
          <w:b/>
          <w:color w:val="4472C4"/>
          <w:sz w:val="22"/>
          <w:szCs w:val="22"/>
          <w:u w:val="single"/>
        </w:rPr>
        <w:br/>
      </w:r>
      <w:r>
        <w:rPr>
          <w:b/>
          <w:color w:val="185468"/>
          <w:sz w:val="22"/>
          <w:szCs w:val="22"/>
        </w:rPr>
        <w:br/>
      </w:r>
      <w:r>
        <w:rPr>
          <w:b/>
          <w:color w:val="E69243"/>
          <w:sz w:val="22"/>
          <w:szCs w:val="22"/>
        </w:rPr>
        <w:t>4.1 Community Benefits</w:t>
      </w:r>
      <w:r>
        <w:rPr>
          <w:rFonts w:ascii="Times New Roman" w:eastAsia="Times New Roman" w:hAnsi="Times New Roman" w:cs="Times New Roman"/>
        </w:rPr>
        <w:t xml:space="preserve"> </w:t>
      </w:r>
      <w:r>
        <w:rPr>
          <w:rFonts w:ascii="Times New Roman" w:eastAsia="Times New Roman" w:hAnsi="Times New Roman" w:cs="Times New Roman"/>
        </w:rPr>
        <w:br/>
      </w:r>
      <w:r>
        <w:rPr>
          <w:sz w:val="22"/>
          <w:szCs w:val="22"/>
        </w:rPr>
        <w:lastRenderedPageBreak/>
        <w:t xml:space="preserve">SSERC is developing two GHG implementation measures to benefit LIDAC communities by creating new job opportunities, reducing energy costs, increasing resilience to climate change, and improving health outcomes. At least 80% of CPRG funds will directly benefit LIDAC and Justice40 communities. Because this project geographically comprises 40% of the state’s population, U.S. EPA investment is a unique opportunity to advance equity goals in the state. The project will provide the following direct and indirect benefits: </w:t>
      </w:r>
    </w:p>
    <w:p w14:paraId="77CD2A15" w14:textId="77777777" w:rsidR="00044CEF" w:rsidRDefault="00044CEF">
      <w:pPr>
        <w:jc w:val="both"/>
        <w:rPr>
          <w:sz w:val="22"/>
          <w:szCs w:val="22"/>
        </w:rPr>
      </w:pPr>
    </w:p>
    <w:p w14:paraId="14D45B19" w14:textId="77777777" w:rsidR="00044CEF" w:rsidRDefault="00000000">
      <w:pPr>
        <w:jc w:val="both"/>
        <w:rPr>
          <w:sz w:val="22"/>
          <w:szCs w:val="22"/>
        </w:rPr>
      </w:pPr>
      <w:r>
        <w:rPr>
          <w:b/>
          <w:color w:val="467886"/>
          <w:sz w:val="22"/>
          <w:szCs w:val="22"/>
          <w:u w:val="single"/>
        </w:rPr>
        <w:t>Affordable Energy/Reducing Energy Burden</w:t>
      </w:r>
      <w:r>
        <w:rPr>
          <w:b/>
          <w:color w:val="467886"/>
          <w:sz w:val="22"/>
          <w:szCs w:val="22"/>
        </w:rPr>
        <w:t>:</w:t>
      </w:r>
      <w:r>
        <w:rPr>
          <w:color w:val="980000"/>
          <w:sz w:val="22"/>
          <w:szCs w:val="22"/>
        </w:rPr>
        <w:t xml:space="preserve"> </w:t>
      </w:r>
      <w:r>
        <w:rPr>
          <w:sz w:val="22"/>
          <w:szCs w:val="22"/>
        </w:rPr>
        <w:t xml:space="preserve">Many LIDAC members identify high energy costs as the primary concern and a barrier to financial stability. Many residents experience energy burden (paying over 6% of their annual salary to energy bills) or severe energy burden (over 10%), with communities of color facing the greatest burden. The PCAPs of the four MSAs highlight this burden, with TSPC MSA reporting that 28% of Black households and 27% of Hispanic households experience high energy burden; JF MSA predicting that 49,784 residents are energy burdened; and NPSB MSA predicts LIDAC census tracts, on average, spend 8% of their household income on utilities. Households in Orange, Osceola, and Seminole counties with incomes at or below 30% of the area median income face an energy burden of 10.3%. These households are largely people of color with 48% being Black and 35% being Hispanics.  </w:t>
      </w:r>
    </w:p>
    <w:p w14:paraId="31B77E1D" w14:textId="77777777" w:rsidR="00044CEF" w:rsidRDefault="00044CEF">
      <w:pPr>
        <w:jc w:val="both"/>
        <w:rPr>
          <w:rFonts w:ascii="Roboto" w:eastAsia="Roboto" w:hAnsi="Roboto" w:cs="Roboto"/>
          <w:sz w:val="21"/>
          <w:szCs w:val="21"/>
        </w:rPr>
      </w:pPr>
    </w:p>
    <w:p w14:paraId="676DE291" w14:textId="77777777" w:rsidR="00044CEF" w:rsidRDefault="00000000">
      <w:pPr>
        <w:jc w:val="both"/>
        <w:rPr>
          <w:sz w:val="22"/>
          <w:szCs w:val="22"/>
          <w:highlight w:val="yellow"/>
        </w:rPr>
      </w:pPr>
      <w:r>
        <w:rPr>
          <w:sz w:val="22"/>
          <w:szCs w:val="22"/>
        </w:rPr>
        <w:t xml:space="preserve">Higher temperatures and extreme heat will drive inequality in energy-burdened households. Residents in LIDAC census tracts face higher energy burdens because of the condition of their housing. On average, houses in these tracts are 10 years older than the regional average, making them less likely to be efficient. As temperatures increase, these households will spend more of their limited budgets on inefficient cooling systems. NPSB MSA’s PCAP highlights that lower-cost homes are four times more likely to have the highest energy bills per square foot. The Sarasota Manatee Region expects that energy efficiency improvements will reduce annual energy reduction by 1.77 MWh, which will result in an annual household saving of $266.00 (CACSM PCAP 53). While these results were only discussed in NPSB MSA’s PCAP, this pattern is replicated throughout Florida. Reducing utility bills in LIDAC census tracts will significantly impact residents’ lives, freeing up critical resources for essential needs like food and healthcare while helping them prepare for future rising temperatures. </w:t>
      </w:r>
    </w:p>
    <w:p w14:paraId="7D99D22D" w14:textId="77777777" w:rsidR="00044CEF" w:rsidRDefault="00044CEF">
      <w:pPr>
        <w:ind w:left="720"/>
        <w:jc w:val="both"/>
        <w:rPr>
          <w:sz w:val="22"/>
          <w:szCs w:val="22"/>
        </w:rPr>
      </w:pPr>
    </w:p>
    <w:p w14:paraId="11211212" w14:textId="77777777" w:rsidR="00044CEF" w:rsidRDefault="00000000">
      <w:pPr>
        <w:jc w:val="both"/>
        <w:rPr>
          <w:sz w:val="22"/>
          <w:szCs w:val="22"/>
        </w:rPr>
      </w:pPr>
      <w:r>
        <w:rPr>
          <w:b/>
          <w:color w:val="467886"/>
          <w:sz w:val="22"/>
          <w:szCs w:val="22"/>
          <w:u w:val="single"/>
        </w:rPr>
        <w:t>Improving Resilience to Extreme Heat and Community Centers Benefits:</w:t>
      </w:r>
      <w:r>
        <w:rPr>
          <w:b/>
          <w:color w:val="E69243"/>
          <w:sz w:val="22"/>
          <w:szCs w:val="22"/>
        </w:rPr>
        <w:t xml:space="preserve"> </w:t>
      </w:r>
      <w:r>
        <w:rPr>
          <w:sz w:val="22"/>
          <w:szCs w:val="22"/>
        </w:rPr>
        <w:t xml:space="preserve">Heat-related illnesses and deaths are on the rise in Florida – with 215 deaths directly related to heat recorded from 2010 to 2020. According to the JF MSA’s PCAP, Jacksonville observed an 11.8F degree of temperature difference across the city. Many of the hottest areas were observed in some of the more socially vulnerable communities, including Eastside and New Town. About half of the school properties and 60% of after-school care facilities are in areas highly vulnerable to extreme heat, and 34% of households (30,741 households) with individuals over 65 years old are in highly heat-vulnerable areas (CANFR PCAP, 31). </w:t>
      </w:r>
    </w:p>
    <w:p w14:paraId="3CBEEA78" w14:textId="77777777" w:rsidR="00044CEF" w:rsidRDefault="00044CEF">
      <w:pPr>
        <w:jc w:val="both"/>
        <w:rPr>
          <w:sz w:val="22"/>
          <w:szCs w:val="22"/>
        </w:rPr>
      </w:pPr>
    </w:p>
    <w:p w14:paraId="0335E4B3" w14:textId="77777777" w:rsidR="00044CEF" w:rsidRDefault="00000000">
      <w:pPr>
        <w:jc w:val="both"/>
        <w:rPr>
          <w:sz w:val="22"/>
          <w:szCs w:val="22"/>
        </w:rPr>
      </w:pPr>
      <w:r>
        <w:rPr>
          <w:sz w:val="22"/>
          <w:szCs w:val="22"/>
        </w:rPr>
        <w:t xml:space="preserve">Exposure to extreme heat was identified as a close second among the top three challenges faced by the community members in the Coalition region. Solar implementation, in addition to energy-efficient retrofits, will lead to a more resilient energy grid and housing stock, protecting residents from extreme heat. Installing Large-scale solar will provide localized energy sources for the power grid when a hurricane or tornado damages distribution power lines. </w:t>
      </w:r>
    </w:p>
    <w:p w14:paraId="4593581B" w14:textId="77777777" w:rsidR="00044CEF" w:rsidRDefault="00044CEF">
      <w:pPr>
        <w:jc w:val="both"/>
        <w:rPr>
          <w:sz w:val="22"/>
          <w:szCs w:val="22"/>
        </w:rPr>
      </w:pPr>
    </w:p>
    <w:p w14:paraId="40A7DCAD" w14:textId="77777777" w:rsidR="00044CEF" w:rsidRDefault="00000000">
      <w:pPr>
        <w:jc w:val="both"/>
        <w:rPr>
          <w:sz w:val="22"/>
          <w:szCs w:val="22"/>
        </w:rPr>
      </w:pPr>
      <w:r>
        <w:rPr>
          <w:sz w:val="22"/>
          <w:szCs w:val="22"/>
        </w:rPr>
        <w:t xml:space="preserve">Implementing solar panels on community buildings will help improve the reliability of shelters from extreme heat, but it will also increase the reliability of these buildings that provide essential services where people work, play, and live. Increased energy efficiency combined with renewable energy use can improve community services throughout the year. LIDAC residents can seek relief from extreme heat and cold in the community buildings. These buildings can provide pre-disaster services, such as sandbag </w:t>
      </w:r>
      <w:r>
        <w:rPr>
          <w:sz w:val="22"/>
          <w:szCs w:val="22"/>
        </w:rPr>
        <w:lastRenderedPageBreak/>
        <w:t xml:space="preserve">distribution, and post-disaster services, including food, water, phone charging, and communications. When agency-owned facilities invest in renewable energy and energy efficiency measures, the co-benefits of energy cost savings are passed on to the end users, often disproportionately to LIDACs. For example, in Manatee County, the water and sewer facilities are the largest consumers of electricity, and Central Water and Sewer serves the City of North Port’s low-to-moderate income (LMI) communities. </w:t>
      </w:r>
    </w:p>
    <w:p w14:paraId="02C9B3AA" w14:textId="77777777" w:rsidR="00044CEF" w:rsidRDefault="00044CEF">
      <w:pPr>
        <w:jc w:val="both"/>
        <w:rPr>
          <w:sz w:val="22"/>
          <w:szCs w:val="22"/>
        </w:rPr>
      </w:pPr>
    </w:p>
    <w:p w14:paraId="0EFE39EE" w14:textId="77777777" w:rsidR="00044CEF" w:rsidRDefault="00000000">
      <w:pPr>
        <w:jc w:val="both"/>
        <w:rPr>
          <w:sz w:val="22"/>
          <w:szCs w:val="22"/>
        </w:rPr>
      </w:pPr>
      <w:r>
        <w:rPr>
          <w:sz w:val="22"/>
          <w:szCs w:val="22"/>
        </w:rPr>
        <w:t xml:space="preserve">In order to avoid disbenefit, both the NPSB MSA and the TSPC MSA will create a grant process for GHG Reduction Measure #2 that heavily weighs LIDAC benefits and includes the need to perform public outreach and receive community support. The JF MSA will include public outreach and support before final project approval. The OKS MSA selected projects during the PCAP process based upon a community survey, discussing community needs with regional representatives of the LIDAC population, and selecting facilities </w:t>
      </w:r>
      <w:proofErr w:type="gramStart"/>
      <w:r>
        <w:rPr>
          <w:sz w:val="22"/>
          <w:szCs w:val="22"/>
        </w:rPr>
        <w:t>that  serve</w:t>
      </w:r>
      <w:proofErr w:type="gramEnd"/>
      <w:r>
        <w:rPr>
          <w:sz w:val="22"/>
          <w:szCs w:val="22"/>
        </w:rPr>
        <w:t xml:space="preserve"> LIDAC Communities. Semi-Annual reporting will include the percentage of projects that serve LIDAC communities and residents.  </w:t>
      </w:r>
    </w:p>
    <w:p w14:paraId="4A0129A4" w14:textId="77777777" w:rsidR="00044CEF" w:rsidRDefault="00044CEF">
      <w:pPr>
        <w:jc w:val="both"/>
        <w:rPr>
          <w:color w:val="FF0000"/>
          <w:sz w:val="22"/>
          <w:szCs w:val="22"/>
          <w:highlight w:val="yellow"/>
        </w:rPr>
      </w:pPr>
    </w:p>
    <w:p w14:paraId="29A762AE" w14:textId="77777777" w:rsidR="00044CEF" w:rsidRDefault="00000000">
      <w:pPr>
        <w:jc w:val="both"/>
        <w:rPr>
          <w:sz w:val="22"/>
          <w:szCs w:val="22"/>
        </w:rPr>
      </w:pPr>
      <w:r>
        <w:rPr>
          <w:b/>
          <w:color w:val="467886"/>
          <w:sz w:val="22"/>
          <w:szCs w:val="22"/>
          <w:u w:val="single"/>
        </w:rPr>
        <w:t>Creating New Jobs and Workforce Training Opportunities:</w:t>
      </w:r>
      <w:r>
        <w:rPr>
          <w:b/>
          <w:color w:val="E69243"/>
          <w:sz w:val="22"/>
          <w:szCs w:val="22"/>
        </w:rPr>
        <w:t xml:space="preserve"> </w:t>
      </w:r>
      <w:r>
        <w:rPr>
          <w:sz w:val="22"/>
          <w:szCs w:val="22"/>
          <w:highlight w:val="white"/>
        </w:rPr>
        <w:t xml:space="preserve">To overcome the current lack of well-trained employees and create a workforce pipeline, </w:t>
      </w:r>
      <w:r>
        <w:rPr>
          <w:sz w:val="22"/>
          <w:szCs w:val="22"/>
        </w:rPr>
        <w:t xml:space="preserve">project partners will work together to seek partnerships with existing workforce development groups to create a statewide workforce training program and regional programs focused on increasing opportunities for low-income community members in the green economy. Please see section </w:t>
      </w:r>
      <w:r>
        <w:rPr>
          <w:b/>
          <w:color w:val="E69243"/>
          <w:sz w:val="22"/>
          <w:szCs w:val="22"/>
        </w:rPr>
        <w:t xml:space="preserve">A.3 Potential Risks for the SSERC </w:t>
      </w:r>
      <w:proofErr w:type="gramStart"/>
      <w:r>
        <w:rPr>
          <w:b/>
          <w:color w:val="E69243"/>
          <w:sz w:val="22"/>
          <w:szCs w:val="22"/>
        </w:rPr>
        <w:t>Project</w:t>
      </w:r>
      <w:r>
        <w:rPr>
          <w:b/>
          <w:color w:val="4472C4"/>
          <w:sz w:val="22"/>
          <w:szCs w:val="22"/>
        </w:rPr>
        <w:t xml:space="preserve"> </w:t>
      </w:r>
      <w:r>
        <w:rPr>
          <w:sz w:val="22"/>
          <w:szCs w:val="22"/>
        </w:rPr>
        <w:t xml:space="preserve"> for</w:t>
      </w:r>
      <w:proofErr w:type="gramEnd"/>
      <w:r>
        <w:rPr>
          <w:sz w:val="22"/>
          <w:szCs w:val="22"/>
        </w:rPr>
        <w:t xml:space="preserve"> a detailed discussion. Not only will the workforce training and wrap-around services help raise disadvantaged community members out of </w:t>
      </w:r>
      <w:proofErr w:type="gramStart"/>
      <w:r>
        <w:rPr>
          <w:sz w:val="22"/>
          <w:szCs w:val="22"/>
        </w:rPr>
        <w:t>poverty, but</w:t>
      </w:r>
      <w:proofErr w:type="gramEnd"/>
      <w:r>
        <w:rPr>
          <w:sz w:val="22"/>
          <w:szCs w:val="22"/>
        </w:rPr>
        <w:t xml:space="preserve"> will also ensure there is the capacity to implement the GHG Reduction Measures. </w:t>
      </w:r>
    </w:p>
    <w:p w14:paraId="1581687B" w14:textId="77777777" w:rsidR="00044CEF" w:rsidRDefault="00044CEF">
      <w:pPr>
        <w:jc w:val="both"/>
        <w:rPr>
          <w:sz w:val="22"/>
          <w:szCs w:val="22"/>
        </w:rPr>
      </w:pPr>
    </w:p>
    <w:p w14:paraId="20920429" w14:textId="77777777" w:rsidR="00044CEF" w:rsidRDefault="00000000">
      <w:pPr>
        <w:rPr>
          <w:sz w:val="22"/>
          <w:szCs w:val="22"/>
        </w:rPr>
      </w:pPr>
      <w:r>
        <w:rPr>
          <w:b/>
          <w:color w:val="467886"/>
          <w:sz w:val="22"/>
          <w:szCs w:val="22"/>
          <w:u w:val="single"/>
        </w:rPr>
        <w:t>Health and Related Benefits:</w:t>
      </w:r>
      <w:r>
        <w:rPr>
          <w:sz w:val="22"/>
          <w:szCs w:val="22"/>
        </w:rPr>
        <w:t xml:space="preserve"> Using the </w:t>
      </w:r>
      <w:hyperlink r:id="rId26">
        <w:r>
          <w:rPr>
            <w:color w:val="1155CC"/>
            <w:sz w:val="22"/>
            <w:szCs w:val="22"/>
            <w:u w:val="single"/>
          </w:rPr>
          <w:t>U.S. EPA Avert Tool</w:t>
        </w:r>
      </w:hyperlink>
      <w:r>
        <w:rPr>
          <w:sz w:val="22"/>
          <w:szCs w:val="22"/>
        </w:rPr>
        <w:t>, SSERC estimates that the implementation of the two GHG Reduction Measures will reduce the following CAPS:  SO</w:t>
      </w:r>
      <w:r>
        <w:rPr>
          <w:sz w:val="22"/>
          <w:szCs w:val="22"/>
          <w:vertAlign w:val="subscript"/>
        </w:rPr>
        <w:t>2</w:t>
      </w:r>
      <w:r>
        <w:rPr>
          <w:sz w:val="22"/>
          <w:szCs w:val="22"/>
        </w:rPr>
        <w:t xml:space="preserve"> by 9,160 </w:t>
      </w:r>
      <w:proofErr w:type="spellStart"/>
      <w:r>
        <w:rPr>
          <w:sz w:val="22"/>
          <w:szCs w:val="22"/>
        </w:rPr>
        <w:t>lbs</w:t>
      </w:r>
      <w:proofErr w:type="spellEnd"/>
      <w:r>
        <w:rPr>
          <w:sz w:val="22"/>
          <w:szCs w:val="22"/>
        </w:rPr>
        <w:t>; NO</w:t>
      </w:r>
      <w:r>
        <w:rPr>
          <w:sz w:val="22"/>
          <w:szCs w:val="22"/>
          <w:vertAlign w:val="subscript"/>
        </w:rPr>
        <w:t xml:space="preserve">x  </w:t>
      </w:r>
      <w:r>
        <w:rPr>
          <w:sz w:val="22"/>
          <w:szCs w:val="22"/>
        </w:rPr>
        <w:t xml:space="preserve">by 47,360 </w:t>
      </w:r>
      <w:proofErr w:type="spellStart"/>
      <w:r>
        <w:rPr>
          <w:sz w:val="22"/>
          <w:szCs w:val="22"/>
        </w:rPr>
        <w:t>lbs</w:t>
      </w:r>
      <w:proofErr w:type="spellEnd"/>
      <w:r>
        <w:rPr>
          <w:sz w:val="22"/>
          <w:szCs w:val="22"/>
        </w:rPr>
        <w:t>; PM</w:t>
      </w:r>
      <w:r>
        <w:rPr>
          <w:sz w:val="22"/>
          <w:szCs w:val="22"/>
          <w:vertAlign w:val="subscript"/>
        </w:rPr>
        <w:t xml:space="preserve">2.5 </w:t>
      </w:r>
      <w:r>
        <w:rPr>
          <w:sz w:val="22"/>
          <w:szCs w:val="22"/>
        </w:rPr>
        <w:t xml:space="preserve">by 5,420 </w:t>
      </w:r>
      <w:proofErr w:type="spellStart"/>
      <w:r>
        <w:rPr>
          <w:sz w:val="22"/>
          <w:szCs w:val="22"/>
        </w:rPr>
        <w:t>lbs</w:t>
      </w:r>
      <w:proofErr w:type="spellEnd"/>
      <w:r>
        <w:rPr>
          <w:sz w:val="22"/>
          <w:szCs w:val="22"/>
        </w:rPr>
        <w:t xml:space="preserve">; VOC by 1,650 </w:t>
      </w:r>
      <w:proofErr w:type="spellStart"/>
      <w:r>
        <w:rPr>
          <w:sz w:val="22"/>
          <w:szCs w:val="22"/>
        </w:rPr>
        <w:t>lbs</w:t>
      </w:r>
      <w:proofErr w:type="spellEnd"/>
      <w:r>
        <w:rPr>
          <w:sz w:val="22"/>
          <w:szCs w:val="22"/>
        </w:rPr>
        <w:t>; and NH</w:t>
      </w:r>
      <w:r>
        <w:rPr>
          <w:sz w:val="22"/>
          <w:szCs w:val="22"/>
          <w:vertAlign w:val="subscript"/>
        </w:rPr>
        <w:t xml:space="preserve">3 </w:t>
      </w:r>
      <w:r>
        <w:rPr>
          <w:sz w:val="22"/>
          <w:szCs w:val="22"/>
        </w:rPr>
        <w:t xml:space="preserve">by 2,600 lbs. These emissions negatively impact human health, especially in LIDAC areas.  The health benefits from these reductions are highlighted below.  SSERC will track CAP reductions annually using the Avert Tool and report the on-going benefits for LIDAC communities who are most at risk from the impacts of air pollution.  </w:t>
      </w:r>
    </w:p>
    <w:p w14:paraId="1CB66BB1" w14:textId="77777777" w:rsidR="00044CEF" w:rsidRDefault="00044CEF">
      <w:pPr>
        <w:rPr>
          <w:sz w:val="22"/>
          <w:szCs w:val="22"/>
        </w:rPr>
      </w:pPr>
    </w:p>
    <w:p w14:paraId="1D4E3421" w14:textId="77777777" w:rsidR="00044CEF" w:rsidRDefault="00000000">
      <w:pPr>
        <w:rPr>
          <w:b/>
          <w:sz w:val="22"/>
          <w:szCs w:val="22"/>
        </w:rPr>
      </w:pPr>
      <w:r>
        <w:rPr>
          <w:b/>
          <w:sz w:val="22"/>
          <w:szCs w:val="22"/>
        </w:rPr>
        <w:t>Table 9</w:t>
      </w:r>
      <w:r>
        <w:rPr>
          <w:sz w:val="22"/>
          <w:szCs w:val="22"/>
        </w:rPr>
        <w:t xml:space="preserve"> </w:t>
      </w:r>
      <w:r>
        <w:rPr>
          <w:b/>
          <w:sz w:val="22"/>
          <w:szCs w:val="22"/>
        </w:rPr>
        <w:t>—</w:t>
      </w:r>
      <w:r>
        <w:rPr>
          <w:sz w:val="22"/>
          <w:szCs w:val="22"/>
        </w:rPr>
        <w:t xml:space="preserve"> </w:t>
      </w:r>
      <w:r>
        <w:rPr>
          <w:b/>
          <w:sz w:val="22"/>
          <w:szCs w:val="22"/>
        </w:rPr>
        <w:t>Total Annual Health Benefits of Co-Pollutant Reduction from the GHG Reduction Measures in All Counties.</w:t>
      </w:r>
    </w:p>
    <w:tbl>
      <w:tblPr>
        <w:tblStyle w:val="a7"/>
        <w:tblW w:w="9150" w:type="dxa"/>
        <w:tblBorders>
          <w:top w:val="nil"/>
          <w:left w:val="nil"/>
          <w:bottom w:val="nil"/>
          <w:right w:val="nil"/>
          <w:insideH w:val="nil"/>
          <w:insideV w:val="nil"/>
        </w:tblBorders>
        <w:tblLayout w:type="fixed"/>
        <w:tblLook w:val="0600" w:firstRow="0" w:lastRow="0" w:firstColumn="0" w:lastColumn="0" w:noHBand="1" w:noVBand="1"/>
      </w:tblPr>
      <w:tblGrid>
        <w:gridCol w:w="4575"/>
        <w:gridCol w:w="2235"/>
        <w:gridCol w:w="2340"/>
      </w:tblGrid>
      <w:tr w:rsidR="00044CEF" w14:paraId="10C1ABD9" w14:textId="77777777">
        <w:trPr>
          <w:trHeight w:val="307"/>
          <w:tblHeader/>
        </w:trPr>
        <w:tc>
          <w:tcPr>
            <w:tcW w:w="4575" w:type="dxa"/>
            <w:tcBorders>
              <w:top w:val="single" w:sz="6" w:space="0" w:color="000000"/>
              <w:left w:val="single" w:sz="6" w:space="0" w:color="000000"/>
              <w:bottom w:val="single" w:sz="6" w:space="0" w:color="000000"/>
              <w:right w:val="single" w:sz="6" w:space="0" w:color="000000"/>
            </w:tcBorders>
            <w:shd w:val="clear" w:color="auto" w:fill="CFE2F3"/>
            <w:tcMar>
              <w:top w:w="0" w:type="dxa"/>
              <w:left w:w="100" w:type="dxa"/>
              <w:bottom w:w="0" w:type="dxa"/>
              <w:right w:w="100" w:type="dxa"/>
            </w:tcMar>
            <w:vAlign w:val="center"/>
          </w:tcPr>
          <w:p w14:paraId="5C328CC2" w14:textId="77777777" w:rsidR="00044CEF" w:rsidRDefault="00000000">
            <w:pPr>
              <w:rPr>
                <w:sz w:val="22"/>
                <w:szCs w:val="22"/>
              </w:rPr>
            </w:pPr>
            <w:r>
              <w:rPr>
                <w:sz w:val="22"/>
                <w:szCs w:val="22"/>
              </w:rPr>
              <w:t xml:space="preserve"> </w:t>
            </w:r>
          </w:p>
        </w:tc>
        <w:tc>
          <w:tcPr>
            <w:tcW w:w="2235" w:type="dxa"/>
            <w:tcBorders>
              <w:top w:val="single" w:sz="6" w:space="0" w:color="000000"/>
              <w:left w:val="nil"/>
              <w:bottom w:val="single" w:sz="6" w:space="0" w:color="000000"/>
              <w:right w:val="single" w:sz="6" w:space="0" w:color="000000"/>
            </w:tcBorders>
            <w:shd w:val="clear" w:color="auto" w:fill="CFE2F3"/>
            <w:tcMar>
              <w:top w:w="0" w:type="dxa"/>
              <w:left w:w="100" w:type="dxa"/>
              <w:bottom w:w="0" w:type="dxa"/>
              <w:right w:w="100" w:type="dxa"/>
            </w:tcMar>
            <w:vAlign w:val="center"/>
          </w:tcPr>
          <w:p w14:paraId="1A4EE637" w14:textId="77777777" w:rsidR="00044CEF" w:rsidRDefault="00000000">
            <w:pPr>
              <w:jc w:val="center"/>
              <w:rPr>
                <w:b/>
                <w:sz w:val="22"/>
                <w:szCs w:val="22"/>
              </w:rPr>
            </w:pPr>
            <w:r>
              <w:rPr>
                <w:b/>
                <w:sz w:val="22"/>
                <w:szCs w:val="22"/>
              </w:rPr>
              <w:t>Change in Incidence</w:t>
            </w:r>
          </w:p>
        </w:tc>
        <w:tc>
          <w:tcPr>
            <w:tcW w:w="2340" w:type="dxa"/>
            <w:tcBorders>
              <w:top w:val="single" w:sz="6" w:space="0" w:color="000000"/>
              <w:left w:val="nil"/>
              <w:bottom w:val="single" w:sz="6" w:space="0" w:color="000000"/>
              <w:right w:val="single" w:sz="6" w:space="0" w:color="000000"/>
            </w:tcBorders>
            <w:shd w:val="clear" w:color="auto" w:fill="CFE2F3"/>
            <w:tcMar>
              <w:top w:w="0" w:type="dxa"/>
              <w:left w:w="100" w:type="dxa"/>
              <w:bottom w:w="0" w:type="dxa"/>
              <w:right w:w="100" w:type="dxa"/>
            </w:tcMar>
            <w:vAlign w:val="center"/>
          </w:tcPr>
          <w:p w14:paraId="5FE2897F" w14:textId="77777777" w:rsidR="00044CEF" w:rsidRDefault="00000000">
            <w:pPr>
              <w:jc w:val="center"/>
              <w:rPr>
                <w:b/>
                <w:sz w:val="22"/>
                <w:szCs w:val="22"/>
              </w:rPr>
            </w:pPr>
            <w:r>
              <w:rPr>
                <w:b/>
                <w:sz w:val="22"/>
                <w:szCs w:val="22"/>
              </w:rPr>
              <w:t>Monetary Value</w:t>
            </w:r>
          </w:p>
        </w:tc>
      </w:tr>
      <w:tr w:rsidR="00044CEF" w14:paraId="33B2E5DC" w14:textId="77777777">
        <w:trPr>
          <w:trHeight w:val="322"/>
          <w:tblHeader/>
        </w:trPr>
        <w:tc>
          <w:tcPr>
            <w:tcW w:w="457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70EA6E15" w14:textId="77777777" w:rsidR="00044CEF" w:rsidRDefault="00000000">
            <w:pPr>
              <w:rPr>
                <w:sz w:val="22"/>
                <w:szCs w:val="22"/>
              </w:rPr>
            </w:pPr>
            <w:r>
              <w:rPr>
                <w:sz w:val="22"/>
                <w:szCs w:val="22"/>
              </w:rPr>
              <w:t>Mortality (low/high)</w:t>
            </w:r>
          </w:p>
        </w:tc>
        <w:tc>
          <w:tcPr>
            <w:tcW w:w="2235"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C8E1C0E" w14:textId="77777777" w:rsidR="00044CEF" w:rsidRDefault="00000000">
            <w:pPr>
              <w:jc w:val="center"/>
              <w:rPr>
                <w:b/>
                <w:sz w:val="22"/>
                <w:szCs w:val="22"/>
              </w:rPr>
            </w:pPr>
            <w:r>
              <w:rPr>
                <w:b/>
                <w:sz w:val="22"/>
                <w:szCs w:val="22"/>
              </w:rPr>
              <w:t>0.07/0.16</w:t>
            </w:r>
          </w:p>
        </w:tc>
        <w:tc>
          <w:tcPr>
            <w:tcW w:w="2340"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2D72BAA" w14:textId="77777777" w:rsidR="00044CEF" w:rsidRDefault="00000000">
            <w:pPr>
              <w:jc w:val="center"/>
              <w:rPr>
                <w:b/>
                <w:sz w:val="22"/>
                <w:szCs w:val="22"/>
              </w:rPr>
            </w:pPr>
            <w:r>
              <w:rPr>
                <w:b/>
                <w:sz w:val="22"/>
                <w:szCs w:val="22"/>
              </w:rPr>
              <w:t>$691,081/$1,563,737</w:t>
            </w:r>
          </w:p>
        </w:tc>
      </w:tr>
      <w:tr w:rsidR="00044CEF" w14:paraId="65DBC7BF" w14:textId="77777777">
        <w:trPr>
          <w:trHeight w:val="322"/>
          <w:tblHeader/>
        </w:trPr>
        <w:tc>
          <w:tcPr>
            <w:tcW w:w="457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7128FF3D" w14:textId="77777777" w:rsidR="00044CEF" w:rsidRDefault="00000000">
            <w:pPr>
              <w:rPr>
                <w:sz w:val="22"/>
                <w:szCs w:val="22"/>
              </w:rPr>
            </w:pPr>
            <w:r>
              <w:rPr>
                <w:sz w:val="22"/>
                <w:szCs w:val="22"/>
              </w:rPr>
              <w:t>Nonfatal Heart Attacks (low/high)</w:t>
            </w:r>
          </w:p>
        </w:tc>
        <w:tc>
          <w:tcPr>
            <w:tcW w:w="2235"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CD4AA97" w14:textId="77777777" w:rsidR="00044CEF" w:rsidRDefault="00000000">
            <w:pPr>
              <w:jc w:val="center"/>
              <w:rPr>
                <w:b/>
                <w:sz w:val="22"/>
                <w:szCs w:val="22"/>
              </w:rPr>
            </w:pPr>
            <w:r>
              <w:rPr>
                <w:b/>
                <w:sz w:val="22"/>
                <w:szCs w:val="22"/>
              </w:rPr>
              <w:t>0.008 / 0.074</w:t>
            </w:r>
          </w:p>
        </w:tc>
        <w:tc>
          <w:tcPr>
            <w:tcW w:w="2340"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5A13E32" w14:textId="77777777" w:rsidR="00044CEF" w:rsidRDefault="00000000">
            <w:pPr>
              <w:jc w:val="center"/>
              <w:rPr>
                <w:b/>
                <w:sz w:val="22"/>
                <w:szCs w:val="22"/>
              </w:rPr>
            </w:pPr>
            <w:r>
              <w:rPr>
                <w:b/>
                <w:sz w:val="22"/>
                <w:szCs w:val="22"/>
              </w:rPr>
              <w:t>$1,274/$11,841</w:t>
            </w:r>
          </w:p>
        </w:tc>
      </w:tr>
      <w:tr w:rsidR="00044CEF" w14:paraId="672D17EC" w14:textId="77777777">
        <w:trPr>
          <w:trHeight w:val="322"/>
          <w:tblHeader/>
        </w:trPr>
        <w:tc>
          <w:tcPr>
            <w:tcW w:w="457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3B8AE472" w14:textId="77777777" w:rsidR="00044CEF" w:rsidRDefault="00000000">
            <w:pPr>
              <w:rPr>
                <w:sz w:val="22"/>
                <w:szCs w:val="22"/>
              </w:rPr>
            </w:pPr>
            <w:r>
              <w:rPr>
                <w:sz w:val="22"/>
                <w:szCs w:val="22"/>
              </w:rPr>
              <w:t>Hospital Admits, All Respiratory</w:t>
            </w:r>
          </w:p>
        </w:tc>
        <w:tc>
          <w:tcPr>
            <w:tcW w:w="2235"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A6ABF21" w14:textId="77777777" w:rsidR="00044CEF" w:rsidRDefault="00000000">
            <w:pPr>
              <w:jc w:val="center"/>
              <w:rPr>
                <w:b/>
                <w:sz w:val="22"/>
                <w:szCs w:val="22"/>
              </w:rPr>
            </w:pPr>
            <w:r>
              <w:rPr>
                <w:b/>
                <w:sz w:val="22"/>
                <w:szCs w:val="22"/>
              </w:rPr>
              <w:t>0.02</w:t>
            </w:r>
          </w:p>
        </w:tc>
        <w:tc>
          <w:tcPr>
            <w:tcW w:w="2340"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C334D66" w14:textId="77777777" w:rsidR="00044CEF" w:rsidRDefault="00000000">
            <w:pPr>
              <w:jc w:val="center"/>
              <w:rPr>
                <w:b/>
                <w:sz w:val="22"/>
                <w:szCs w:val="22"/>
              </w:rPr>
            </w:pPr>
            <w:r>
              <w:rPr>
                <w:b/>
                <w:sz w:val="22"/>
                <w:szCs w:val="22"/>
              </w:rPr>
              <w:t>$984</w:t>
            </w:r>
          </w:p>
        </w:tc>
      </w:tr>
      <w:tr w:rsidR="00044CEF" w14:paraId="0A34A11A" w14:textId="77777777">
        <w:trPr>
          <w:trHeight w:val="420"/>
          <w:tblHeader/>
        </w:trPr>
        <w:tc>
          <w:tcPr>
            <w:tcW w:w="457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47FB98B8" w14:textId="77777777" w:rsidR="00044CEF" w:rsidRDefault="00000000">
            <w:pPr>
              <w:keepNext/>
              <w:rPr>
                <w:sz w:val="22"/>
                <w:szCs w:val="22"/>
              </w:rPr>
            </w:pPr>
            <w:r>
              <w:rPr>
                <w:sz w:val="22"/>
                <w:szCs w:val="22"/>
              </w:rPr>
              <w:t xml:space="preserve">Hospital Admits, Cardiovascular </w:t>
            </w:r>
            <w:r>
              <w:rPr>
                <w:sz w:val="22"/>
                <w:szCs w:val="22"/>
              </w:rPr>
              <w:br/>
              <w:t>(except heart attacks)</w:t>
            </w:r>
          </w:p>
        </w:tc>
        <w:tc>
          <w:tcPr>
            <w:tcW w:w="2235"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A1E9879" w14:textId="77777777" w:rsidR="00044CEF" w:rsidRDefault="00000000">
            <w:pPr>
              <w:jc w:val="center"/>
              <w:rPr>
                <w:b/>
                <w:sz w:val="22"/>
                <w:szCs w:val="22"/>
              </w:rPr>
            </w:pPr>
            <w:r>
              <w:rPr>
                <w:b/>
                <w:sz w:val="22"/>
                <w:szCs w:val="22"/>
              </w:rPr>
              <w:t>0.02</w:t>
            </w:r>
          </w:p>
        </w:tc>
        <w:tc>
          <w:tcPr>
            <w:tcW w:w="2340"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2CC1454" w14:textId="77777777" w:rsidR="00044CEF" w:rsidRDefault="00000000">
            <w:pPr>
              <w:jc w:val="center"/>
              <w:rPr>
                <w:b/>
                <w:sz w:val="22"/>
                <w:szCs w:val="22"/>
              </w:rPr>
            </w:pPr>
            <w:r>
              <w:rPr>
                <w:b/>
                <w:sz w:val="22"/>
                <w:szCs w:val="22"/>
              </w:rPr>
              <w:t>$715</w:t>
            </w:r>
          </w:p>
        </w:tc>
      </w:tr>
      <w:tr w:rsidR="00044CEF" w14:paraId="4353F429" w14:textId="77777777">
        <w:trPr>
          <w:trHeight w:val="322"/>
          <w:tblHeader/>
        </w:trPr>
        <w:tc>
          <w:tcPr>
            <w:tcW w:w="457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01519F8" w14:textId="77777777" w:rsidR="00044CEF" w:rsidRDefault="00000000">
            <w:pPr>
              <w:rPr>
                <w:sz w:val="22"/>
                <w:szCs w:val="22"/>
              </w:rPr>
            </w:pPr>
            <w:r>
              <w:rPr>
                <w:sz w:val="22"/>
                <w:szCs w:val="22"/>
              </w:rPr>
              <w:t>Acute Bronchitis</w:t>
            </w:r>
          </w:p>
        </w:tc>
        <w:tc>
          <w:tcPr>
            <w:tcW w:w="2235"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492096C" w14:textId="77777777" w:rsidR="00044CEF" w:rsidRDefault="00000000">
            <w:pPr>
              <w:jc w:val="center"/>
              <w:rPr>
                <w:b/>
                <w:sz w:val="22"/>
                <w:szCs w:val="22"/>
              </w:rPr>
            </w:pPr>
            <w:r>
              <w:rPr>
                <w:b/>
                <w:sz w:val="22"/>
                <w:szCs w:val="22"/>
              </w:rPr>
              <w:t>0.07</w:t>
            </w:r>
          </w:p>
        </w:tc>
        <w:tc>
          <w:tcPr>
            <w:tcW w:w="2340"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1805544" w14:textId="77777777" w:rsidR="00044CEF" w:rsidRDefault="00000000">
            <w:pPr>
              <w:jc w:val="center"/>
              <w:rPr>
                <w:b/>
                <w:sz w:val="22"/>
                <w:szCs w:val="22"/>
              </w:rPr>
            </w:pPr>
            <w:r>
              <w:rPr>
                <w:b/>
                <w:sz w:val="22"/>
                <w:szCs w:val="22"/>
              </w:rPr>
              <w:t>$43</w:t>
            </w:r>
          </w:p>
        </w:tc>
      </w:tr>
      <w:tr w:rsidR="00044CEF" w14:paraId="14BD479E" w14:textId="77777777">
        <w:trPr>
          <w:trHeight w:val="322"/>
          <w:tblHeader/>
        </w:trPr>
        <w:tc>
          <w:tcPr>
            <w:tcW w:w="457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06CA964D" w14:textId="77777777" w:rsidR="00044CEF" w:rsidRDefault="00000000">
            <w:pPr>
              <w:rPr>
                <w:sz w:val="22"/>
                <w:szCs w:val="22"/>
              </w:rPr>
            </w:pPr>
            <w:r>
              <w:rPr>
                <w:sz w:val="22"/>
                <w:szCs w:val="22"/>
              </w:rPr>
              <w:t>Upper Respiratory Symptoms</w:t>
            </w:r>
          </w:p>
        </w:tc>
        <w:tc>
          <w:tcPr>
            <w:tcW w:w="2235"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4F4AD70" w14:textId="77777777" w:rsidR="00044CEF" w:rsidRDefault="00000000">
            <w:pPr>
              <w:jc w:val="center"/>
              <w:rPr>
                <w:b/>
                <w:sz w:val="22"/>
                <w:szCs w:val="22"/>
              </w:rPr>
            </w:pPr>
            <w:r>
              <w:rPr>
                <w:b/>
                <w:sz w:val="22"/>
                <w:szCs w:val="22"/>
              </w:rPr>
              <w:t>1.22</w:t>
            </w:r>
          </w:p>
        </w:tc>
        <w:tc>
          <w:tcPr>
            <w:tcW w:w="2340"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9AE74A2" w14:textId="77777777" w:rsidR="00044CEF" w:rsidRDefault="00000000">
            <w:pPr>
              <w:jc w:val="center"/>
              <w:rPr>
                <w:b/>
                <w:sz w:val="22"/>
                <w:szCs w:val="22"/>
              </w:rPr>
            </w:pPr>
            <w:r>
              <w:rPr>
                <w:b/>
                <w:sz w:val="22"/>
                <w:szCs w:val="22"/>
              </w:rPr>
              <w:t>$52</w:t>
            </w:r>
          </w:p>
        </w:tc>
      </w:tr>
      <w:tr w:rsidR="00044CEF" w14:paraId="3E9D6998" w14:textId="77777777">
        <w:trPr>
          <w:trHeight w:val="322"/>
          <w:tblHeader/>
        </w:trPr>
        <w:tc>
          <w:tcPr>
            <w:tcW w:w="457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3C7126EE" w14:textId="77777777" w:rsidR="00044CEF" w:rsidRDefault="00000000">
            <w:pPr>
              <w:rPr>
                <w:sz w:val="22"/>
                <w:szCs w:val="22"/>
              </w:rPr>
            </w:pPr>
            <w:r>
              <w:rPr>
                <w:sz w:val="22"/>
                <w:szCs w:val="22"/>
              </w:rPr>
              <w:t>Lower Respiratory Symptoms</w:t>
            </w:r>
          </w:p>
        </w:tc>
        <w:tc>
          <w:tcPr>
            <w:tcW w:w="2235"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BEF4A95" w14:textId="77777777" w:rsidR="00044CEF" w:rsidRDefault="00000000">
            <w:pPr>
              <w:jc w:val="center"/>
              <w:rPr>
                <w:b/>
                <w:sz w:val="22"/>
                <w:szCs w:val="22"/>
              </w:rPr>
            </w:pPr>
            <w:r>
              <w:rPr>
                <w:b/>
                <w:sz w:val="22"/>
                <w:szCs w:val="22"/>
              </w:rPr>
              <w:t>0.86</w:t>
            </w:r>
          </w:p>
        </w:tc>
        <w:tc>
          <w:tcPr>
            <w:tcW w:w="2340"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60D12F8" w14:textId="77777777" w:rsidR="00044CEF" w:rsidRDefault="00000000">
            <w:pPr>
              <w:jc w:val="center"/>
              <w:rPr>
                <w:b/>
                <w:sz w:val="22"/>
                <w:szCs w:val="22"/>
              </w:rPr>
            </w:pPr>
            <w:r>
              <w:rPr>
                <w:b/>
                <w:sz w:val="22"/>
                <w:szCs w:val="22"/>
              </w:rPr>
              <w:t>$23</w:t>
            </w:r>
          </w:p>
        </w:tc>
      </w:tr>
      <w:tr w:rsidR="00044CEF" w14:paraId="31B851EF" w14:textId="77777777">
        <w:trPr>
          <w:trHeight w:val="322"/>
          <w:tblHeader/>
        </w:trPr>
        <w:tc>
          <w:tcPr>
            <w:tcW w:w="457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37E8BA38" w14:textId="77777777" w:rsidR="00044CEF" w:rsidRDefault="00000000">
            <w:pPr>
              <w:rPr>
                <w:sz w:val="22"/>
                <w:szCs w:val="22"/>
              </w:rPr>
            </w:pPr>
            <w:r>
              <w:rPr>
                <w:sz w:val="22"/>
                <w:szCs w:val="22"/>
              </w:rPr>
              <w:t>Emergency Room Visits, Asthma</w:t>
            </w:r>
          </w:p>
        </w:tc>
        <w:tc>
          <w:tcPr>
            <w:tcW w:w="2235"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63CD38D" w14:textId="77777777" w:rsidR="00044CEF" w:rsidRDefault="00000000">
            <w:pPr>
              <w:jc w:val="center"/>
              <w:rPr>
                <w:b/>
                <w:sz w:val="22"/>
                <w:szCs w:val="22"/>
              </w:rPr>
            </w:pPr>
            <w:r>
              <w:rPr>
                <w:b/>
                <w:sz w:val="22"/>
                <w:szCs w:val="22"/>
              </w:rPr>
              <w:t>0.03</w:t>
            </w:r>
          </w:p>
        </w:tc>
        <w:tc>
          <w:tcPr>
            <w:tcW w:w="2340"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68CC6EE" w14:textId="77777777" w:rsidR="00044CEF" w:rsidRDefault="00000000">
            <w:pPr>
              <w:jc w:val="center"/>
              <w:rPr>
                <w:b/>
                <w:sz w:val="22"/>
                <w:szCs w:val="22"/>
              </w:rPr>
            </w:pPr>
            <w:r>
              <w:rPr>
                <w:b/>
                <w:sz w:val="22"/>
                <w:szCs w:val="22"/>
              </w:rPr>
              <w:t>$18</w:t>
            </w:r>
          </w:p>
        </w:tc>
      </w:tr>
      <w:tr w:rsidR="00044CEF" w14:paraId="669B2B27" w14:textId="77777777">
        <w:trPr>
          <w:trHeight w:val="322"/>
          <w:tblHeader/>
        </w:trPr>
        <w:tc>
          <w:tcPr>
            <w:tcW w:w="457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072BFD84" w14:textId="77777777" w:rsidR="00044CEF" w:rsidRDefault="00000000">
            <w:pPr>
              <w:rPr>
                <w:sz w:val="22"/>
                <w:szCs w:val="22"/>
              </w:rPr>
            </w:pPr>
            <w:r>
              <w:rPr>
                <w:sz w:val="22"/>
                <w:szCs w:val="22"/>
              </w:rPr>
              <w:t>Asthma Exacerbation</w:t>
            </w:r>
          </w:p>
        </w:tc>
        <w:tc>
          <w:tcPr>
            <w:tcW w:w="2235"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DA97391" w14:textId="77777777" w:rsidR="00044CEF" w:rsidRDefault="00000000">
            <w:pPr>
              <w:jc w:val="center"/>
              <w:rPr>
                <w:b/>
                <w:sz w:val="22"/>
                <w:szCs w:val="22"/>
              </w:rPr>
            </w:pPr>
            <w:r>
              <w:rPr>
                <w:b/>
                <w:sz w:val="22"/>
                <w:szCs w:val="22"/>
              </w:rPr>
              <w:t>1.27</w:t>
            </w:r>
          </w:p>
        </w:tc>
        <w:tc>
          <w:tcPr>
            <w:tcW w:w="2340"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8C34783" w14:textId="77777777" w:rsidR="00044CEF" w:rsidRDefault="00000000">
            <w:pPr>
              <w:jc w:val="center"/>
              <w:rPr>
                <w:b/>
                <w:sz w:val="22"/>
                <w:szCs w:val="22"/>
              </w:rPr>
            </w:pPr>
            <w:r>
              <w:rPr>
                <w:b/>
                <w:sz w:val="22"/>
                <w:szCs w:val="22"/>
              </w:rPr>
              <w:t>$94</w:t>
            </w:r>
          </w:p>
        </w:tc>
      </w:tr>
      <w:tr w:rsidR="00044CEF" w14:paraId="467CD630" w14:textId="77777777">
        <w:trPr>
          <w:trHeight w:val="322"/>
          <w:tblHeader/>
        </w:trPr>
        <w:tc>
          <w:tcPr>
            <w:tcW w:w="457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69D36AB5" w14:textId="77777777" w:rsidR="00044CEF" w:rsidRDefault="00000000">
            <w:pPr>
              <w:rPr>
                <w:sz w:val="22"/>
                <w:szCs w:val="22"/>
              </w:rPr>
            </w:pPr>
            <w:r>
              <w:rPr>
                <w:sz w:val="22"/>
                <w:szCs w:val="22"/>
              </w:rPr>
              <w:t>Minor Restricted Activity Days</w:t>
            </w:r>
          </w:p>
        </w:tc>
        <w:tc>
          <w:tcPr>
            <w:tcW w:w="2235"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EB17F09" w14:textId="77777777" w:rsidR="00044CEF" w:rsidRDefault="00000000">
            <w:pPr>
              <w:jc w:val="center"/>
              <w:rPr>
                <w:b/>
                <w:sz w:val="22"/>
                <w:szCs w:val="22"/>
              </w:rPr>
            </w:pPr>
            <w:r>
              <w:rPr>
                <w:b/>
                <w:sz w:val="22"/>
                <w:szCs w:val="22"/>
              </w:rPr>
              <w:t>39.9</w:t>
            </w:r>
          </w:p>
        </w:tc>
        <w:tc>
          <w:tcPr>
            <w:tcW w:w="2340"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A6381F1" w14:textId="77777777" w:rsidR="00044CEF" w:rsidRDefault="00000000">
            <w:pPr>
              <w:jc w:val="center"/>
              <w:rPr>
                <w:b/>
                <w:sz w:val="22"/>
                <w:szCs w:val="22"/>
              </w:rPr>
            </w:pPr>
            <w:r>
              <w:rPr>
                <w:b/>
                <w:sz w:val="22"/>
                <w:szCs w:val="22"/>
              </w:rPr>
              <w:t>$3,500</w:t>
            </w:r>
          </w:p>
        </w:tc>
      </w:tr>
      <w:tr w:rsidR="00044CEF" w14:paraId="23462132" w14:textId="77777777">
        <w:trPr>
          <w:trHeight w:val="353"/>
          <w:tblHeader/>
        </w:trPr>
        <w:tc>
          <w:tcPr>
            <w:tcW w:w="4575"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3E31CEE6" w14:textId="77777777" w:rsidR="00044CEF" w:rsidRDefault="00000000">
            <w:pPr>
              <w:rPr>
                <w:sz w:val="22"/>
                <w:szCs w:val="22"/>
              </w:rPr>
            </w:pPr>
            <w:r>
              <w:rPr>
                <w:sz w:val="22"/>
                <w:szCs w:val="22"/>
              </w:rPr>
              <w:t>Work Loss Days</w:t>
            </w:r>
          </w:p>
        </w:tc>
        <w:tc>
          <w:tcPr>
            <w:tcW w:w="2235"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7DB10C5" w14:textId="77777777" w:rsidR="00044CEF" w:rsidRDefault="00000000">
            <w:pPr>
              <w:jc w:val="center"/>
              <w:rPr>
                <w:b/>
                <w:sz w:val="22"/>
                <w:szCs w:val="22"/>
              </w:rPr>
            </w:pPr>
            <w:r>
              <w:rPr>
                <w:b/>
                <w:sz w:val="22"/>
                <w:szCs w:val="22"/>
              </w:rPr>
              <w:t>6.7</w:t>
            </w:r>
          </w:p>
        </w:tc>
        <w:tc>
          <w:tcPr>
            <w:tcW w:w="2340"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A1F066B" w14:textId="77777777" w:rsidR="00044CEF" w:rsidRDefault="00000000">
            <w:pPr>
              <w:jc w:val="center"/>
              <w:rPr>
                <w:b/>
                <w:sz w:val="22"/>
                <w:szCs w:val="22"/>
              </w:rPr>
            </w:pPr>
            <w:r>
              <w:rPr>
                <w:b/>
                <w:sz w:val="22"/>
                <w:szCs w:val="22"/>
              </w:rPr>
              <w:t>$1,349</w:t>
            </w:r>
          </w:p>
        </w:tc>
      </w:tr>
    </w:tbl>
    <w:p w14:paraId="54744B56" w14:textId="77777777" w:rsidR="00044CEF" w:rsidRDefault="00044CEF">
      <w:pPr>
        <w:pBdr>
          <w:top w:val="nil"/>
          <w:left w:val="nil"/>
          <w:bottom w:val="nil"/>
          <w:right w:val="nil"/>
          <w:between w:val="nil"/>
        </w:pBdr>
        <w:jc w:val="both"/>
        <w:rPr>
          <w:sz w:val="22"/>
          <w:szCs w:val="22"/>
        </w:rPr>
      </w:pPr>
    </w:p>
    <w:p w14:paraId="0C7B09B9" w14:textId="77777777" w:rsidR="00044CEF" w:rsidRDefault="00000000">
      <w:pPr>
        <w:pBdr>
          <w:top w:val="nil"/>
          <w:left w:val="nil"/>
          <w:bottom w:val="nil"/>
          <w:right w:val="nil"/>
          <w:between w:val="nil"/>
        </w:pBdr>
        <w:jc w:val="both"/>
        <w:rPr>
          <w:sz w:val="22"/>
          <w:szCs w:val="22"/>
        </w:rPr>
      </w:pPr>
      <w:r>
        <w:rPr>
          <w:sz w:val="22"/>
          <w:szCs w:val="22"/>
        </w:rPr>
        <w:lastRenderedPageBreak/>
        <w:t xml:space="preserve">Please see for the list of CEJST Census Tract IDs for each MSA divided by municipality. </w:t>
      </w:r>
    </w:p>
    <w:p w14:paraId="6730ABC3" w14:textId="77777777" w:rsidR="00044CEF" w:rsidRDefault="00000000">
      <w:pPr>
        <w:pBdr>
          <w:top w:val="nil"/>
          <w:left w:val="nil"/>
          <w:bottom w:val="nil"/>
          <w:right w:val="nil"/>
          <w:between w:val="nil"/>
        </w:pBdr>
        <w:jc w:val="both"/>
        <w:rPr>
          <w:sz w:val="22"/>
          <w:szCs w:val="22"/>
        </w:rPr>
      </w:pPr>
      <w:r>
        <w:rPr>
          <w:sz w:val="22"/>
          <w:szCs w:val="22"/>
        </w:rPr>
        <w:t>Communities that may be affected by the proposed GHG Reduction Measures are starred.</w:t>
      </w:r>
    </w:p>
    <w:p w14:paraId="513A4276" w14:textId="77777777" w:rsidR="00044CEF" w:rsidRDefault="00044CEF">
      <w:pPr>
        <w:pBdr>
          <w:top w:val="nil"/>
          <w:left w:val="nil"/>
          <w:bottom w:val="nil"/>
          <w:right w:val="nil"/>
          <w:between w:val="nil"/>
        </w:pBdr>
        <w:jc w:val="both"/>
        <w:rPr>
          <w:i/>
          <w:sz w:val="22"/>
          <w:szCs w:val="22"/>
        </w:rPr>
      </w:pPr>
    </w:p>
    <w:p w14:paraId="431494EA" w14:textId="77777777" w:rsidR="00044CEF" w:rsidRDefault="00000000">
      <w:pPr>
        <w:pBdr>
          <w:top w:val="nil"/>
          <w:left w:val="nil"/>
          <w:bottom w:val="nil"/>
          <w:right w:val="nil"/>
          <w:between w:val="nil"/>
        </w:pBdr>
        <w:rPr>
          <w:b/>
          <w:sz w:val="22"/>
          <w:szCs w:val="22"/>
        </w:rPr>
      </w:pPr>
      <w:r>
        <w:rPr>
          <w:b/>
          <w:color w:val="E69243"/>
          <w:sz w:val="22"/>
          <w:szCs w:val="22"/>
        </w:rPr>
        <w:t>4.2 Community Engagement</w:t>
      </w:r>
      <w:r>
        <w:rPr>
          <w:b/>
          <w:color w:val="E69243"/>
          <w:sz w:val="22"/>
          <w:szCs w:val="22"/>
        </w:rPr>
        <w:br/>
      </w:r>
      <w:proofErr w:type="spellStart"/>
      <w:r>
        <w:rPr>
          <w:b/>
          <w:color w:val="467886"/>
          <w:sz w:val="22"/>
          <w:szCs w:val="22"/>
          <w:u w:val="single"/>
        </w:rPr>
        <w:t>Engagement</w:t>
      </w:r>
      <w:proofErr w:type="spellEnd"/>
      <w:r>
        <w:rPr>
          <w:b/>
          <w:color w:val="467886"/>
          <w:sz w:val="22"/>
          <w:szCs w:val="22"/>
          <w:u w:val="single"/>
        </w:rPr>
        <w:t xml:space="preserve"> with LIDAC Communities and Public During GHG Measure Creation:</w:t>
      </w:r>
      <w:r>
        <w:rPr>
          <w:b/>
          <w:color w:val="467886"/>
          <w:sz w:val="22"/>
          <w:szCs w:val="22"/>
        </w:rPr>
        <w:t xml:space="preserve"> </w:t>
      </w:r>
      <w:r>
        <w:rPr>
          <w:sz w:val="22"/>
          <w:szCs w:val="22"/>
        </w:rPr>
        <w:t xml:space="preserve">SSERC selected the two GHG Reduction Measures in part because they were identified as high-priority items by LIDAC communities, CBO groups, project stakeholders, and the public from each of the Coalition lead’s community engagement efforts. During public outreach efforts, LIDAC residents in the NPSB MSA identified that </w:t>
      </w:r>
      <w:r>
        <w:rPr>
          <w:b/>
          <w:sz w:val="22"/>
          <w:szCs w:val="22"/>
        </w:rPr>
        <w:t>the top two overall challenges community members face are: 1) high energy costs and 2) exposure to high heat.</w:t>
      </w:r>
      <w:r>
        <w:rPr>
          <w:sz w:val="22"/>
          <w:szCs w:val="22"/>
        </w:rPr>
        <w:t xml:space="preserve"> Through the creation of their PCAP and previous engagement with LIDAC communities, other Coalition </w:t>
      </w:r>
      <w:r>
        <w:rPr>
          <w:b/>
          <w:color w:val="E69243"/>
          <w:sz w:val="22"/>
          <w:szCs w:val="22"/>
        </w:rPr>
        <w:t>members</w:t>
      </w:r>
      <w:r>
        <w:rPr>
          <w:sz w:val="22"/>
          <w:szCs w:val="22"/>
        </w:rPr>
        <w:t xml:space="preserve"> also report that high energy costs and extreme heat exposure are primary issues in their communities. The two measures, as described, directly address these challenges. The following section summarizes community outreach conducted to choose the GHG Reduction Measures for each PCAP: </w:t>
      </w:r>
    </w:p>
    <w:p w14:paraId="07A1AC01" w14:textId="77777777" w:rsidR="00044CEF" w:rsidRDefault="00000000">
      <w:pPr>
        <w:pBdr>
          <w:top w:val="nil"/>
          <w:left w:val="nil"/>
          <w:bottom w:val="nil"/>
          <w:right w:val="nil"/>
          <w:between w:val="nil"/>
        </w:pBdr>
        <w:jc w:val="both"/>
        <w:rPr>
          <w:sz w:val="22"/>
          <w:szCs w:val="22"/>
        </w:rPr>
      </w:pPr>
      <w:r>
        <w:rPr>
          <w:b/>
          <w:sz w:val="22"/>
          <w:szCs w:val="22"/>
        </w:rPr>
        <w:t xml:space="preserve">a. CACSM PCAP: </w:t>
      </w:r>
      <w:r>
        <w:rPr>
          <w:sz w:val="22"/>
          <w:szCs w:val="22"/>
        </w:rPr>
        <w:t xml:space="preserve">Community priorities were identified through workshops with community-based organizations with a history of working with LIDAC communities. The approach also helped create a process for feedback and early risk mitigation, anticipating conflicts, and engaging in early conflict resolution to address challenges from the onset of the project. Meeting locations were chosen based on accessibility and connectivity, and virtual meetings were held to accommodate diverse schedules. The team also developed a dedicated project webpage to share project updates. As a part of the website creation, the MSA created a digital survey to improve understanding of the top challenges and community priorities for investment. 280 community members responded to the survey and identified top community challenges. </w:t>
      </w:r>
    </w:p>
    <w:p w14:paraId="6050516B" w14:textId="77777777" w:rsidR="00044CEF" w:rsidRDefault="00000000">
      <w:pPr>
        <w:jc w:val="both"/>
        <w:rPr>
          <w:b/>
          <w:sz w:val="22"/>
          <w:szCs w:val="22"/>
        </w:rPr>
      </w:pPr>
      <w:r>
        <w:rPr>
          <w:b/>
          <w:sz w:val="22"/>
          <w:szCs w:val="22"/>
        </w:rPr>
        <w:t xml:space="preserve">b. CATB PCAP: </w:t>
      </w:r>
      <w:r>
        <w:rPr>
          <w:sz w:val="22"/>
          <w:szCs w:val="22"/>
        </w:rPr>
        <w:t xml:space="preserve">The MSA’s community engagement team interacted with local community-based organizations to identify LIDAC communities and establish projects. Community meetings were held in the four counties comprising the MSA. Through these meetings, the need for a central repository for information sharing with these communities was identified, along with the sharing of challenges faced by LIDACs in the TSPC MSA and the building of cross-county relationships. An Advisory Council was subsequently formed to facilitate cross-county communication and discuss community engagement strategies and resources. Engagement continues beyond these meetings through a monthly newsletter and a Facebook Group, allowing ongoing sharing of work throughout the MSA. As an integral part of the approach, the TSPSC MSA is developing a comprehensive mapping and data compilation strategy. </w:t>
      </w:r>
    </w:p>
    <w:p w14:paraId="04505269" w14:textId="77777777" w:rsidR="00044CEF" w:rsidRDefault="00000000">
      <w:pPr>
        <w:jc w:val="both"/>
        <w:rPr>
          <w:sz w:val="22"/>
          <w:szCs w:val="22"/>
        </w:rPr>
      </w:pPr>
      <w:r>
        <w:rPr>
          <w:b/>
          <w:sz w:val="22"/>
          <w:szCs w:val="22"/>
        </w:rPr>
        <w:t>c. ECF PCAP:</w:t>
      </w:r>
      <w:r>
        <w:rPr>
          <w:sz w:val="22"/>
          <w:szCs w:val="22"/>
        </w:rPr>
        <w:t xml:space="preserve"> Project leaders worked with established committees that focus on disadvantaged communities, places, and economic systems. They sought and integrated input from health and equity groups; green, gray, and blue infrastructure organizations; and the business and the economic development community. These outreach efforts defined the drivers of vulnerability in east central Florida, which are accessible on an </w:t>
      </w:r>
      <w:hyperlink r:id="rId27">
        <w:r>
          <w:rPr>
            <w:color w:val="1155CC"/>
            <w:sz w:val="22"/>
            <w:szCs w:val="22"/>
            <w:u w:val="single"/>
          </w:rPr>
          <w:t>online dashboard</w:t>
        </w:r>
      </w:hyperlink>
      <w:r>
        <w:rPr>
          <w:sz w:val="22"/>
          <w:szCs w:val="22"/>
        </w:rPr>
        <w:t xml:space="preserve">. MSA partners used the CEJEST and </w:t>
      </w:r>
      <w:proofErr w:type="spellStart"/>
      <w:r>
        <w:rPr>
          <w:sz w:val="22"/>
          <w:szCs w:val="22"/>
        </w:rPr>
        <w:t>EJScreen</w:t>
      </w:r>
      <w:proofErr w:type="spellEnd"/>
      <w:r>
        <w:rPr>
          <w:sz w:val="22"/>
          <w:szCs w:val="22"/>
        </w:rPr>
        <w:t xml:space="preserve"> tools to identify communities with high social vulnerabilities. Partners then integrated their internal planning efforts and past community engagements, allowing them to select projects for the implementation grant that would allow them to execute GHG Reduction Measures quickly. </w:t>
      </w:r>
    </w:p>
    <w:p w14:paraId="18764623" w14:textId="77777777" w:rsidR="00044CEF" w:rsidRDefault="00000000">
      <w:pPr>
        <w:jc w:val="both"/>
        <w:rPr>
          <w:sz w:val="22"/>
          <w:szCs w:val="22"/>
        </w:rPr>
      </w:pPr>
      <w:r>
        <w:rPr>
          <w:b/>
          <w:sz w:val="22"/>
          <w:szCs w:val="22"/>
        </w:rPr>
        <w:t xml:space="preserve">d. CANFR PCAP: </w:t>
      </w:r>
      <w:r>
        <w:rPr>
          <w:sz w:val="22"/>
          <w:szCs w:val="22"/>
        </w:rPr>
        <w:t xml:space="preserve">To identify stakeholders, NEFL MSA contacted local elected officials, community organizations, and advocacy organizations known to be interested in clean energy infrastructure and practices. Throughout the creation of their PCAP, they held 15 community outreach events focused on LIDAC residents. </w:t>
      </w:r>
    </w:p>
    <w:p w14:paraId="0C6D64D7" w14:textId="77777777" w:rsidR="00044CEF" w:rsidRDefault="00044CEF">
      <w:pPr>
        <w:jc w:val="both"/>
        <w:rPr>
          <w:sz w:val="22"/>
          <w:szCs w:val="22"/>
        </w:rPr>
      </w:pPr>
    </w:p>
    <w:p w14:paraId="5BC24174" w14:textId="77777777" w:rsidR="00044CEF" w:rsidRDefault="00000000">
      <w:pPr>
        <w:jc w:val="both"/>
        <w:rPr>
          <w:sz w:val="22"/>
          <w:szCs w:val="22"/>
        </w:rPr>
      </w:pPr>
      <w:r>
        <w:rPr>
          <w:b/>
          <w:color w:val="467886"/>
          <w:sz w:val="22"/>
          <w:szCs w:val="22"/>
          <w:u w:val="single"/>
        </w:rPr>
        <w:t>Future and Ongoing Community Engagement:</w:t>
      </w:r>
      <w:r>
        <w:rPr>
          <w:b/>
          <w:color w:val="E69243"/>
          <w:sz w:val="22"/>
          <w:szCs w:val="22"/>
        </w:rPr>
        <w:t xml:space="preserve"> </w:t>
      </w:r>
      <w:r>
        <w:rPr>
          <w:sz w:val="22"/>
          <w:szCs w:val="22"/>
        </w:rPr>
        <w:t xml:space="preserve">Throughout the implementation of the two GHG Reduction Measures, Coalition members will coordinate with LIDAC community members and the public to accelerate the implementation of the project activities, provide maximum cost-saving benefits to LIDAC </w:t>
      </w:r>
      <w:r>
        <w:rPr>
          <w:sz w:val="22"/>
          <w:szCs w:val="22"/>
        </w:rPr>
        <w:lastRenderedPageBreak/>
        <w:t xml:space="preserve">residents, advance regional equity initiatives, and ensure transparency throughout the project development. The specific engagement per GHG Reduction Measure is described individually below. </w:t>
      </w:r>
    </w:p>
    <w:p w14:paraId="4655E591" w14:textId="77777777" w:rsidR="00044CEF" w:rsidRDefault="00044CEF">
      <w:pPr>
        <w:pBdr>
          <w:top w:val="nil"/>
          <w:left w:val="nil"/>
          <w:bottom w:val="nil"/>
          <w:right w:val="nil"/>
          <w:between w:val="nil"/>
        </w:pBdr>
        <w:jc w:val="both"/>
        <w:rPr>
          <w:sz w:val="22"/>
          <w:szCs w:val="22"/>
        </w:rPr>
      </w:pPr>
    </w:p>
    <w:p w14:paraId="6854D120" w14:textId="77777777" w:rsidR="00044CEF" w:rsidRDefault="00000000">
      <w:pPr>
        <w:pBdr>
          <w:top w:val="nil"/>
          <w:left w:val="nil"/>
          <w:bottom w:val="nil"/>
          <w:right w:val="nil"/>
          <w:between w:val="nil"/>
        </w:pBdr>
        <w:jc w:val="both"/>
        <w:rPr>
          <w:sz w:val="22"/>
          <w:szCs w:val="22"/>
        </w:rPr>
      </w:pPr>
      <w:r>
        <w:rPr>
          <w:sz w:val="22"/>
          <w:szCs w:val="22"/>
        </w:rPr>
        <w:t xml:space="preserve">As described in the previous section, each MSA has developed or is developing an outreach and engagement strategy. Depending on their progress status, some MSAs will continue to develop their outreach plan for their PCAP, identifying CBO groups and plans to engage with LIDAC community members. This process is currently underway, and SSERC will improve it throughout the project. Upon grant funding, each of the MSA will publicly post descriptions of the grant status, opportunities, and host an option for community feedback or concern on each of their websites. </w:t>
      </w:r>
    </w:p>
    <w:p w14:paraId="18E7B695" w14:textId="77777777" w:rsidR="00044CEF" w:rsidRDefault="00044CEF">
      <w:pPr>
        <w:pBdr>
          <w:top w:val="nil"/>
          <w:left w:val="nil"/>
          <w:bottom w:val="nil"/>
          <w:right w:val="nil"/>
          <w:between w:val="nil"/>
        </w:pBdr>
        <w:jc w:val="both"/>
        <w:rPr>
          <w:sz w:val="22"/>
          <w:szCs w:val="22"/>
        </w:rPr>
      </w:pPr>
    </w:p>
    <w:p w14:paraId="0C543292" w14:textId="77777777" w:rsidR="00044CEF" w:rsidRDefault="00000000">
      <w:pPr>
        <w:pBdr>
          <w:top w:val="nil"/>
          <w:left w:val="nil"/>
          <w:bottom w:val="nil"/>
          <w:right w:val="nil"/>
          <w:between w:val="nil"/>
        </w:pBdr>
        <w:jc w:val="both"/>
        <w:rPr>
          <w:sz w:val="22"/>
          <w:szCs w:val="22"/>
        </w:rPr>
      </w:pPr>
      <w:r>
        <w:rPr>
          <w:b/>
          <w:color w:val="467886"/>
          <w:sz w:val="22"/>
          <w:szCs w:val="22"/>
          <w:u w:val="single"/>
        </w:rPr>
        <w:t>GHG Reduction Measure #1: Energy Efficiency Education and Tools</w:t>
      </w:r>
      <w:r>
        <w:rPr>
          <w:color w:val="467886"/>
          <w:sz w:val="22"/>
          <w:szCs w:val="22"/>
          <w:u w:val="single"/>
        </w:rPr>
        <w:t>:</w:t>
      </w:r>
      <w:r>
        <w:rPr>
          <w:color w:val="185468"/>
          <w:sz w:val="22"/>
          <w:szCs w:val="22"/>
        </w:rPr>
        <w:t xml:space="preserve"> </w:t>
      </w:r>
      <w:r>
        <w:rPr>
          <w:sz w:val="22"/>
          <w:szCs w:val="22"/>
        </w:rPr>
        <w:t xml:space="preserve">To maximize program reach to LIDAC residents, Coalition members will hold regular community engagement events (such as classes/workshops, school outreach programs, and demonstration events) in disadvantaged areas in trusted and easily accessible public facilities. Locations will be chosen in collaboration with CBO groups and community engagement data. Each event will be well publicized and will offer bi-lingual (English and Spanish) services and offer additional translation and ADA services as needed. The running schedule of all upcoming engagement opportunities will be listed on the MSA’s website. Events will be promoted via social media, community boards, coffee shops, community gathering spaces, flyers, etc. </w:t>
      </w:r>
    </w:p>
    <w:p w14:paraId="1524C69C" w14:textId="77777777" w:rsidR="00044CEF" w:rsidRDefault="00044CEF">
      <w:pPr>
        <w:jc w:val="both"/>
        <w:rPr>
          <w:sz w:val="22"/>
          <w:szCs w:val="22"/>
        </w:rPr>
      </w:pPr>
    </w:p>
    <w:p w14:paraId="3EE411A8" w14:textId="77777777" w:rsidR="00044CEF" w:rsidRDefault="00000000">
      <w:pPr>
        <w:jc w:val="both"/>
        <w:rPr>
          <w:sz w:val="22"/>
          <w:szCs w:val="22"/>
        </w:rPr>
      </w:pPr>
      <w:r>
        <w:rPr>
          <w:sz w:val="22"/>
          <w:szCs w:val="22"/>
        </w:rPr>
        <w:t xml:space="preserve">Once the locations have been identified, the MSA will aim to hold </w:t>
      </w:r>
      <w:proofErr w:type="gramStart"/>
      <w:r>
        <w:rPr>
          <w:sz w:val="22"/>
          <w:szCs w:val="22"/>
        </w:rPr>
        <w:t>quarterly  community</w:t>
      </w:r>
      <w:proofErr w:type="gramEnd"/>
      <w:r>
        <w:rPr>
          <w:sz w:val="22"/>
          <w:szCs w:val="22"/>
        </w:rPr>
        <w:t xml:space="preserve"> engagement throughout the duration of the project activity. To measure progress and performance, each MSA will keep track of attendance and other data that track the impact of project implementation (such as primary language spoken, residency, and race). CBO leaders who reflect the geographic region’s diversity will host these community engagement events. The SSERC expects to have leaders of various ethnicities, genders, languages, etc. To increase the program's reach, the SSERC project will train and provide stipends to local trusted advocates to engender trust and expand the participation of marginalized residents. Advocates will assist program staff with educational workshops and, where feasible, enable in-home evaluations and installations of minor energy efficiency technologies.</w:t>
      </w:r>
    </w:p>
    <w:p w14:paraId="4E8642B5" w14:textId="77777777" w:rsidR="00044CEF" w:rsidRDefault="00044CEF">
      <w:pPr>
        <w:pBdr>
          <w:top w:val="nil"/>
          <w:left w:val="nil"/>
          <w:bottom w:val="nil"/>
          <w:right w:val="nil"/>
          <w:between w:val="nil"/>
        </w:pBdr>
        <w:jc w:val="both"/>
        <w:rPr>
          <w:b/>
          <w:sz w:val="22"/>
          <w:szCs w:val="22"/>
        </w:rPr>
      </w:pPr>
    </w:p>
    <w:p w14:paraId="0FB9EA15" w14:textId="77777777" w:rsidR="00044CEF" w:rsidRDefault="00000000">
      <w:pPr>
        <w:jc w:val="both"/>
        <w:rPr>
          <w:sz w:val="22"/>
          <w:szCs w:val="22"/>
        </w:rPr>
      </w:pPr>
      <w:r>
        <w:rPr>
          <w:b/>
          <w:color w:val="467886"/>
          <w:sz w:val="22"/>
          <w:szCs w:val="22"/>
          <w:u w:val="single"/>
        </w:rPr>
        <w:t>GHG Reduction Measure #2: Large-Scale Solar and High-Performing Buildings for Climate &amp; Community Resilience:</w:t>
      </w:r>
      <w:r>
        <w:rPr>
          <w:b/>
          <w:color w:val="185468"/>
          <w:sz w:val="22"/>
          <w:szCs w:val="22"/>
        </w:rPr>
        <w:t xml:space="preserve"> </w:t>
      </w:r>
      <w:r>
        <w:rPr>
          <w:sz w:val="22"/>
          <w:szCs w:val="22"/>
        </w:rPr>
        <w:t>Sarasota County and the TBRPC</w:t>
      </w:r>
      <w:r>
        <w:rPr>
          <w:b/>
          <w:sz w:val="22"/>
          <w:szCs w:val="22"/>
        </w:rPr>
        <w:t xml:space="preserve"> </w:t>
      </w:r>
      <w:r>
        <w:rPr>
          <w:sz w:val="22"/>
          <w:szCs w:val="22"/>
        </w:rPr>
        <w:t>will distribute grant funding to local municipalities in their MSAs based upon a grant process. Criteria in the grant process include how the project will benefit LIDAC residents and how it will require public outreach and community support from LIDAC residents. OKS MSA selected projects based on community input through the PCAP process but will continue to rely upon public input to steer their projects. JF MSA is finalizing projects that were selected during the PCAP process but will rely upon public input while finalizing decisions and completing projects. An important component for all four MSAs to engage with LIDAC members is the program’s workforce training component. Please see section</w:t>
      </w:r>
      <w:r>
        <w:rPr>
          <w:b/>
          <w:color w:val="467886"/>
          <w:sz w:val="22"/>
          <w:szCs w:val="22"/>
        </w:rPr>
        <w:t xml:space="preserve"> </w:t>
      </w:r>
      <w:r>
        <w:rPr>
          <w:b/>
          <w:color w:val="E69243"/>
          <w:sz w:val="22"/>
          <w:szCs w:val="22"/>
        </w:rPr>
        <w:t xml:space="preserve">A.3 Potential Risks for the SSERC Project </w:t>
      </w:r>
      <w:r>
        <w:rPr>
          <w:sz w:val="22"/>
          <w:szCs w:val="22"/>
        </w:rPr>
        <w:t xml:space="preserve">for an in-depth discussion of this program. </w:t>
      </w:r>
    </w:p>
    <w:p w14:paraId="6A55D050" w14:textId="77777777" w:rsidR="00044CEF" w:rsidRDefault="00044CEF">
      <w:pPr>
        <w:pBdr>
          <w:top w:val="nil"/>
          <w:left w:val="nil"/>
          <w:bottom w:val="nil"/>
          <w:right w:val="nil"/>
          <w:between w:val="nil"/>
        </w:pBdr>
        <w:rPr>
          <w:rFonts w:ascii="Times New Roman" w:eastAsia="Times New Roman" w:hAnsi="Times New Roman" w:cs="Times New Roman"/>
          <w:b/>
          <w:color w:val="000000"/>
          <w:u w:val="single"/>
        </w:rPr>
      </w:pPr>
    </w:p>
    <w:p w14:paraId="2E89F3D2" w14:textId="0DBA2B2A" w:rsidR="00044CEF" w:rsidRPr="00C53E84" w:rsidRDefault="00000000" w:rsidP="00C53E84">
      <w:pPr>
        <w:pBdr>
          <w:top w:val="nil"/>
          <w:left w:val="nil"/>
          <w:bottom w:val="nil"/>
          <w:right w:val="nil"/>
          <w:between w:val="nil"/>
        </w:pBdr>
        <w:rPr>
          <w:sz w:val="22"/>
          <w:szCs w:val="22"/>
        </w:rPr>
      </w:pPr>
      <w:r>
        <w:rPr>
          <w:b/>
          <w:color w:val="4472C4"/>
          <w:sz w:val="22"/>
          <w:szCs w:val="22"/>
          <w:u w:val="single"/>
        </w:rPr>
        <w:t>5</w:t>
      </w:r>
      <w:r w:rsidR="00C53E84">
        <w:rPr>
          <w:b/>
          <w:color w:val="4472C4"/>
          <w:sz w:val="22"/>
          <w:szCs w:val="22"/>
          <w:u w:val="single"/>
        </w:rPr>
        <w:t xml:space="preserve">. </w:t>
      </w:r>
      <w:r>
        <w:rPr>
          <w:b/>
          <w:color w:val="4472C4"/>
          <w:sz w:val="22"/>
          <w:szCs w:val="22"/>
          <w:u w:val="single"/>
        </w:rPr>
        <w:t xml:space="preserve">Job Quality </w:t>
      </w:r>
      <w:r>
        <w:rPr>
          <w:b/>
          <w:color w:val="4472C4"/>
          <w:sz w:val="22"/>
          <w:szCs w:val="22"/>
          <w:u w:val="single"/>
        </w:rPr>
        <w:br/>
      </w:r>
      <w:r>
        <w:rPr>
          <w:sz w:val="22"/>
          <w:szCs w:val="22"/>
        </w:rPr>
        <w:t>A major focus of the SSERC project is to strengthen, integrate, and grow the existing workforce and hiring systems focused on the green economy. SSERC focused first on solar apprenticeships since 57% of the project involves installing solar. Towards this end, the Coalition is partnering with the</w:t>
      </w:r>
      <w:hyperlink r:id="rId28">
        <w:r>
          <w:rPr>
            <w:color w:val="1155CC"/>
            <w:sz w:val="22"/>
            <w:szCs w:val="22"/>
            <w:u w:val="single"/>
          </w:rPr>
          <w:t xml:space="preserve"> Florida Solar Energy Center</w:t>
        </w:r>
      </w:hyperlink>
      <w:r>
        <w:rPr>
          <w:sz w:val="22"/>
          <w:szCs w:val="22"/>
        </w:rPr>
        <w:t xml:space="preserve"> (FSEC) and is in discussion with the local branches of </w:t>
      </w:r>
      <w:hyperlink r:id="rId29">
        <w:r>
          <w:rPr>
            <w:color w:val="1155CC"/>
            <w:sz w:val="22"/>
            <w:szCs w:val="22"/>
            <w:u w:val="single"/>
          </w:rPr>
          <w:t>CareerSource Florida</w:t>
        </w:r>
      </w:hyperlink>
      <w:r>
        <w:rPr>
          <w:sz w:val="22"/>
          <w:szCs w:val="22"/>
        </w:rPr>
        <w:t xml:space="preserve"> (CSF) to expand existing solar apprenticeship programs, provide additional training and hiring opportunities in LIDAC communities, fund wraparound services to encourage participation, and will work with colleges to publicize and promote work opportunities. The facilities that SSERC will retrofit with solar installations </w:t>
      </w:r>
      <w:r>
        <w:rPr>
          <w:sz w:val="22"/>
          <w:szCs w:val="22"/>
        </w:rPr>
        <w:lastRenderedPageBreak/>
        <w:t>will serve as the focal point for training. Please see section</w:t>
      </w:r>
      <w:r>
        <w:rPr>
          <w:b/>
          <w:color w:val="467886"/>
          <w:sz w:val="22"/>
          <w:szCs w:val="22"/>
        </w:rPr>
        <w:t xml:space="preserve"> </w:t>
      </w:r>
      <w:r>
        <w:rPr>
          <w:b/>
          <w:color w:val="E69243"/>
          <w:sz w:val="22"/>
          <w:szCs w:val="22"/>
        </w:rPr>
        <w:t xml:space="preserve">A.3 Potential Risks for the SSERC Project </w:t>
      </w:r>
      <w:r>
        <w:rPr>
          <w:sz w:val="22"/>
          <w:szCs w:val="22"/>
        </w:rPr>
        <w:t xml:space="preserve">for a detailed description of the workforce training and hiring program. </w:t>
      </w:r>
    </w:p>
    <w:p w14:paraId="7D5B7E00" w14:textId="77777777" w:rsidR="00044CEF" w:rsidRDefault="00044CEF">
      <w:pPr>
        <w:jc w:val="both"/>
        <w:rPr>
          <w:sz w:val="22"/>
          <w:szCs w:val="22"/>
        </w:rPr>
      </w:pPr>
    </w:p>
    <w:p w14:paraId="39FDC77A" w14:textId="77777777" w:rsidR="00044CEF" w:rsidRDefault="00000000">
      <w:pPr>
        <w:jc w:val="both"/>
        <w:rPr>
          <w:sz w:val="22"/>
          <w:szCs w:val="22"/>
        </w:rPr>
      </w:pPr>
      <w:r>
        <w:rPr>
          <w:sz w:val="22"/>
          <w:szCs w:val="22"/>
        </w:rPr>
        <w:t>Beyond workforce training, SSERC will integrate job quality into all aspects of the project. To create an incentive for solar installation companies to expand their apprenticeship programs and include LIDAC community members, projects funded with CPRG dollars will require that 50% of new hires by contractors and subcontractors be from LIDAC communities. TBRPC will require that all contracts</w:t>
      </w:r>
      <w:r>
        <w:rPr>
          <w:color w:val="FF0000"/>
          <w:sz w:val="22"/>
          <w:szCs w:val="22"/>
        </w:rPr>
        <w:t xml:space="preserve"> </w:t>
      </w:r>
      <w:r>
        <w:rPr>
          <w:sz w:val="22"/>
          <w:szCs w:val="22"/>
        </w:rPr>
        <w:t xml:space="preserve">encourage strong labor standards for all contractors, sub-contractors, and sub-awardees. From developing their PCAPs, Coalition members have a strong understanding of the eight </w:t>
      </w:r>
      <w:hyperlink r:id="rId30">
        <w:r>
          <w:rPr>
            <w:color w:val="1155CC"/>
            <w:sz w:val="22"/>
            <w:szCs w:val="22"/>
            <w:u w:val="single"/>
          </w:rPr>
          <w:t>Good Jobs Principles</w:t>
        </w:r>
      </w:hyperlink>
      <w:r>
        <w:rPr>
          <w:color w:val="0000CC"/>
          <w:sz w:val="22"/>
          <w:szCs w:val="22"/>
        </w:rPr>
        <w:t xml:space="preserve"> </w:t>
      </w:r>
      <w:r>
        <w:rPr>
          <w:sz w:val="22"/>
          <w:szCs w:val="22"/>
        </w:rPr>
        <w:t xml:space="preserve">developed by the U.S. Department of Labor and Department of Commerce and how to utilize the </w:t>
      </w:r>
      <w:hyperlink r:id="rId31">
        <w:r>
          <w:rPr>
            <w:color w:val="1155CC"/>
            <w:sz w:val="22"/>
            <w:szCs w:val="22"/>
            <w:u w:val="single"/>
          </w:rPr>
          <w:t>Good Jobs Toolkit</w:t>
        </w:r>
      </w:hyperlink>
      <w:r>
        <w:rPr>
          <w:sz w:val="22"/>
          <w:szCs w:val="22"/>
        </w:rPr>
        <w:t xml:space="preserve">. A cross-regional team has been established to work on growing the workforce and training program, and the team will integrate the principles and toolkit as they expand the program. </w:t>
      </w:r>
    </w:p>
    <w:p w14:paraId="57DA685D" w14:textId="77777777" w:rsidR="00044CEF" w:rsidRDefault="00044CEF">
      <w:pPr>
        <w:jc w:val="both"/>
        <w:rPr>
          <w:sz w:val="22"/>
          <w:szCs w:val="22"/>
        </w:rPr>
      </w:pPr>
    </w:p>
    <w:p w14:paraId="70E297D7" w14:textId="77777777" w:rsidR="00044CEF" w:rsidRDefault="00000000">
      <w:pPr>
        <w:jc w:val="both"/>
        <w:rPr>
          <w:sz w:val="22"/>
          <w:szCs w:val="22"/>
        </w:rPr>
      </w:pPr>
      <w:r>
        <w:rPr>
          <w:sz w:val="22"/>
          <w:szCs w:val="22"/>
        </w:rPr>
        <w:t xml:space="preserve">The SSERC Coalition will prioritize partnering with participating employers, contractors, and subcontractors that adopt the following “high roads” labor practices: </w:t>
      </w:r>
    </w:p>
    <w:p w14:paraId="3FE80E10" w14:textId="77777777" w:rsidR="00044CEF" w:rsidRDefault="00000000">
      <w:pPr>
        <w:numPr>
          <w:ilvl w:val="0"/>
          <w:numId w:val="12"/>
        </w:numPr>
        <w:ind w:left="360"/>
        <w:jc w:val="both"/>
      </w:pPr>
      <w:r>
        <w:rPr>
          <w:sz w:val="22"/>
          <w:szCs w:val="22"/>
        </w:rPr>
        <w:t>Clear commitments to paying at least the median area income for all workers (where prevailing wage is not required by law).</w:t>
      </w:r>
    </w:p>
    <w:p w14:paraId="44705880" w14:textId="77777777" w:rsidR="00044CEF" w:rsidRDefault="00000000">
      <w:pPr>
        <w:numPr>
          <w:ilvl w:val="0"/>
          <w:numId w:val="12"/>
        </w:numPr>
        <w:ind w:left="360"/>
        <w:jc w:val="both"/>
      </w:pPr>
      <w:r>
        <w:rPr>
          <w:sz w:val="22"/>
          <w:szCs w:val="22"/>
        </w:rPr>
        <w:t>Providing family-sustaining benefits and retirement contributions.</w:t>
      </w:r>
    </w:p>
    <w:p w14:paraId="24FFF46D" w14:textId="77777777" w:rsidR="00044CEF" w:rsidRDefault="00000000">
      <w:pPr>
        <w:numPr>
          <w:ilvl w:val="0"/>
          <w:numId w:val="12"/>
        </w:numPr>
        <w:ind w:left="360"/>
        <w:jc w:val="both"/>
      </w:pPr>
      <w:r>
        <w:rPr>
          <w:sz w:val="22"/>
          <w:szCs w:val="22"/>
        </w:rPr>
        <w:t xml:space="preserve">Protecting employees’ rights to </w:t>
      </w:r>
      <w:proofErr w:type="gramStart"/>
      <w:r>
        <w:rPr>
          <w:sz w:val="22"/>
          <w:szCs w:val="22"/>
        </w:rPr>
        <w:t>freely and fairly join a union</w:t>
      </w:r>
      <w:proofErr w:type="gramEnd"/>
      <w:r>
        <w:rPr>
          <w:sz w:val="22"/>
          <w:szCs w:val="22"/>
        </w:rPr>
        <w:t xml:space="preserve"> and collectively bargain.</w:t>
      </w:r>
    </w:p>
    <w:p w14:paraId="0A50CFD8" w14:textId="77777777" w:rsidR="00044CEF" w:rsidRDefault="00000000">
      <w:pPr>
        <w:numPr>
          <w:ilvl w:val="0"/>
          <w:numId w:val="12"/>
        </w:numPr>
        <w:ind w:left="360"/>
        <w:jc w:val="both"/>
      </w:pPr>
      <w:r>
        <w:rPr>
          <w:sz w:val="22"/>
          <w:szCs w:val="22"/>
        </w:rPr>
        <w:t>Using Project Labor Agreements or Community Workforce Agreements on construction projects.</w:t>
      </w:r>
    </w:p>
    <w:p w14:paraId="59424791" w14:textId="77777777" w:rsidR="00044CEF" w:rsidRDefault="00000000">
      <w:pPr>
        <w:numPr>
          <w:ilvl w:val="0"/>
          <w:numId w:val="12"/>
        </w:numPr>
        <w:ind w:left="360"/>
        <w:jc w:val="both"/>
      </w:pPr>
      <w:r>
        <w:rPr>
          <w:sz w:val="22"/>
          <w:szCs w:val="22"/>
        </w:rPr>
        <w:t>Incorporating labor and job quality standards into procurement activities associated with the measure.</w:t>
      </w:r>
    </w:p>
    <w:p w14:paraId="5EC0650F" w14:textId="77777777" w:rsidR="00044CEF" w:rsidRDefault="00000000">
      <w:pPr>
        <w:numPr>
          <w:ilvl w:val="0"/>
          <w:numId w:val="12"/>
        </w:numPr>
        <w:ind w:left="360"/>
        <w:jc w:val="both"/>
      </w:pPr>
      <w:r>
        <w:rPr>
          <w:sz w:val="22"/>
          <w:szCs w:val="22"/>
        </w:rPr>
        <w:t>Developing health and safety plans with workers, including anti-harassment training for workers and management, OSHA training to minimize workplace hazards (e.g., OSHA 10 and OSHA 30), and supplemental health and safety training as needed.</w:t>
      </w:r>
    </w:p>
    <w:p w14:paraId="15F1D30F" w14:textId="77777777" w:rsidR="00044CEF" w:rsidRDefault="00000000">
      <w:pPr>
        <w:numPr>
          <w:ilvl w:val="0"/>
          <w:numId w:val="12"/>
        </w:numPr>
        <w:ind w:left="360"/>
        <w:jc w:val="both"/>
      </w:pPr>
      <w:r>
        <w:rPr>
          <w:sz w:val="22"/>
          <w:szCs w:val="22"/>
        </w:rPr>
        <w:t xml:space="preserve">Using </w:t>
      </w:r>
      <w:proofErr w:type="gramStart"/>
      <w:r>
        <w:rPr>
          <w:sz w:val="22"/>
          <w:szCs w:val="22"/>
        </w:rPr>
        <w:t>second-chance</w:t>
      </w:r>
      <w:proofErr w:type="gramEnd"/>
      <w:r>
        <w:rPr>
          <w:sz w:val="22"/>
          <w:szCs w:val="22"/>
        </w:rPr>
        <w:t xml:space="preserve"> hiring policies, or the practice of hiring individuals with a criminal record, to expand opportunity for individuals with justice-system involvement.</w:t>
      </w:r>
    </w:p>
    <w:p w14:paraId="793A9B6C" w14:textId="77777777" w:rsidR="00044CEF" w:rsidRDefault="00044CEF">
      <w:pPr>
        <w:pBdr>
          <w:top w:val="nil"/>
          <w:left w:val="nil"/>
          <w:bottom w:val="nil"/>
          <w:right w:val="nil"/>
          <w:between w:val="nil"/>
        </w:pBdr>
        <w:rPr>
          <w:rFonts w:ascii="Times New Roman" w:eastAsia="Times New Roman" w:hAnsi="Times New Roman" w:cs="Times New Roman"/>
          <w:b/>
          <w:color w:val="FF0000"/>
          <w:u w:val="single"/>
        </w:rPr>
      </w:pPr>
    </w:p>
    <w:p w14:paraId="5869682F" w14:textId="77777777" w:rsidR="00044CEF" w:rsidRDefault="00000000">
      <w:pPr>
        <w:rPr>
          <w:b/>
          <w:sz w:val="22"/>
          <w:szCs w:val="22"/>
          <w:u w:val="single"/>
        </w:rPr>
      </w:pPr>
      <w:r>
        <w:rPr>
          <w:b/>
          <w:color w:val="4472C4"/>
          <w:sz w:val="22"/>
          <w:szCs w:val="22"/>
          <w:u w:val="single"/>
        </w:rPr>
        <w:t xml:space="preserve">6. Programmatic Capability and Past Performance </w:t>
      </w:r>
    </w:p>
    <w:p w14:paraId="5ECEA6C4" w14:textId="77777777" w:rsidR="00044CEF" w:rsidRDefault="00044CEF">
      <w:pPr>
        <w:pBdr>
          <w:top w:val="nil"/>
          <w:left w:val="nil"/>
          <w:bottom w:val="nil"/>
          <w:right w:val="nil"/>
          <w:between w:val="nil"/>
        </w:pBdr>
        <w:rPr>
          <w:rFonts w:ascii="Times New Roman" w:eastAsia="Times New Roman" w:hAnsi="Times New Roman" w:cs="Times New Roman"/>
          <w:b/>
          <w:color w:val="FF0000"/>
          <w:sz w:val="22"/>
          <w:szCs w:val="22"/>
          <w:u w:val="single"/>
        </w:rPr>
      </w:pPr>
    </w:p>
    <w:p w14:paraId="38E0A949" w14:textId="77777777" w:rsidR="00044CEF" w:rsidRDefault="00000000">
      <w:pPr>
        <w:rPr>
          <w:sz w:val="22"/>
          <w:szCs w:val="22"/>
        </w:rPr>
      </w:pPr>
      <w:r>
        <w:rPr>
          <w:b/>
          <w:sz w:val="22"/>
          <w:szCs w:val="22"/>
        </w:rPr>
        <w:t>Table 10 — Past Performance</w:t>
      </w:r>
      <w:r>
        <w:rPr>
          <w:sz w:val="22"/>
          <w:szCs w:val="22"/>
        </w:rPr>
        <w:t xml:space="preserve"> </w:t>
      </w:r>
    </w:p>
    <w:tbl>
      <w:tblPr>
        <w:tblStyle w:val="a8"/>
        <w:tblW w:w="9300" w:type="dxa"/>
        <w:tblInd w:w="-15" w:type="dxa"/>
        <w:tblBorders>
          <w:top w:val="nil"/>
          <w:left w:val="nil"/>
          <w:bottom w:val="nil"/>
          <w:right w:val="nil"/>
          <w:insideH w:val="nil"/>
          <w:insideV w:val="nil"/>
        </w:tblBorders>
        <w:tblLayout w:type="fixed"/>
        <w:tblLook w:val="0600" w:firstRow="0" w:lastRow="0" w:firstColumn="0" w:lastColumn="0" w:noHBand="1" w:noVBand="1"/>
      </w:tblPr>
      <w:tblGrid>
        <w:gridCol w:w="1620"/>
        <w:gridCol w:w="1635"/>
        <w:gridCol w:w="3600"/>
        <w:gridCol w:w="2445"/>
      </w:tblGrid>
      <w:tr w:rsidR="00044CEF" w14:paraId="1583582B" w14:textId="77777777">
        <w:trPr>
          <w:trHeight w:val="615"/>
        </w:trPr>
        <w:tc>
          <w:tcPr>
            <w:tcW w:w="1620" w:type="dxa"/>
            <w:tcBorders>
              <w:top w:val="single" w:sz="6" w:space="0" w:color="000000"/>
              <w:left w:val="single" w:sz="6" w:space="0" w:color="000000"/>
              <w:bottom w:val="single" w:sz="6" w:space="0" w:color="000000"/>
              <w:right w:val="single" w:sz="6" w:space="0" w:color="000000"/>
            </w:tcBorders>
            <w:shd w:val="clear" w:color="auto" w:fill="CFE2F3"/>
            <w:tcMar>
              <w:top w:w="0" w:type="dxa"/>
              <w:left w:w="100" w:type="dxa"/>
              <w:bottom w:w="0" w:type="dxa"/>
              <w:right w:w="100" w:type="dxa"/>
            </w:tcMar>
            <w:vAlign w:val="center"/>
          </w:tcPr>
          <w:p w14:paraId="1DCB2792" w14:textId="77777777" w:rsidR="00044CEF" w:rsidRDefault="00000000">
            <w:pPr>
              <w:jc w:val="center"/>
              <w:rPr>
                <w:b/>
                <w:sz w:val="22"/>
                <w:szCs w:val="22"/>
              </w:rPr>
            </w:pPr>
            <w:r>
              <w:rPr>
                <w:b/>
                <w:sz w:val="22"/>
                <w:szCs w:val="22"/>
              </w:rPr>
              <w:t>Project Title</w:t>
            </w:r>
          </w:p>
        </w:tc>
        <w:tc>
          <w:tcPr>
            <w:tcW w:w="1635" w:type="dxa"/>
            <w:tcBorders>
              <w:top w:val="single" w:sz="6" w:space="0" w:color="000000"/>
              <w:left w:val="nil"/>
              <w:bottom w:val="single" w:sz="6" w:space="0" w:color="000000"/>
              <w:right w:val="single" w:sz="6" w:space="0" w:color="000000"/>
            </w:tcBorders>
            <w:shd w:val="clear" w:color="auto" w:fill="CFE2F3"/>
            <w:tcMar>
              <w:top w:w="0" w:type="dxa"/>
              <w:left w:w="100" w:type="dxa"/>
              <w:bottom w:w="0" w:type="dxa"/>
              <w:right w:w="100" w:type="dxa"/>
            </w:tcMar>
            <w:vAlign w:val="center"/>
          </w:tcPr>
          <w:p w14:paraId="15B9BB8C" w14:textId="77777777" w:rsidR="00044CEF" w:rsidRDefault="00000000">
            <w:pPr>
              <w:jc w:val="center"/>
              <w:rPr>
                <w:b/>
                <w:sz w:val="22"/>
                <w:szCs w:val="22"/>
              </w:rPr>
            </w:pPr>
            <w:r>
              <w:rPr>
                <w:b/>
                <w:sz w:val="22"/>
                <w:szCs w:val="22"/>
              </w:rPr>
              <w:t>Agency/</w:t>
            </w:r>
          </w:p>
          <w:p w14:paraId="115CA37B" w14:textId="77777777" w:rsidR="00044CEF" w:rsidRDefault="00000000">
            <w:pPr>
              <w:jc w:val="center"/>
              <w:rPr>
                <w:b/>
                <w:sz w:val="22"/>
                <w:szCs w:val="22"/>
              </w:rPr>
            </w:pPr>
            <w:r>
              <w:rPr>
                <w:b/>
                <w:sz w:val="22"/>
                <w:szCs w:val="22"/>
              </w:rPr>
              <w:t>Assistance #/</w:t>
            </w:r>
          </w:p>
          <w:p w14:paraId="29F87350" w14:textId="77777777" w:rsidR="00044CEF" w:rsidRDefault="00000000">
            <w:pPr>
              <w:jc w:val="center"/>
              <w:rPr>
                <w:b/>
                <w:sz w:val="22"/>
                <w:szCs w:val="22"/>
              </w:rPr>
            </w:pPr>
            <w:r>
              <w:rPr>
                <w:b/>
                <w:sz w:val="22"/>
                <w:szCs w:val="22"/>
              </w:rPr>
              <w:t>Agreement #</w:t>
            </w:r>
          </w:p>
        </w:tc>
        <w:tc>
          <w:tcPr>
            <w:tcW w:w="3600" w:type="dxa"/>
            <w:tcBorders>
              <w:top w:val="single" w:sz="6" w:space="0" w:color="000000"/>
              <w:left w:val="nil"/>
              <w:bottom w:val="single" w:sz="6" w:space="0" w:color="000000"/>
              <w:right w:val="single" w:sz="6" w:space="0" w:color="000000"/>
            </w:tcBorders>
            <w:shd w:val="clear" w:color="auto" w:fill="CFE2F3"/>
            <w:tcMar>
              <w:top w:w="0" w:type="dxa"/>
              <w:left w:w="100" w:type="dxa"/>
              <w:bottom w:w="0" w:type="dxa"/>
              <w:right w:w="100" w:type="dxa"/>
            </w:tcMar>
            <w:vAlign w:val="center"/>
          </w:tcPr>
          <w:p w14:paraId="3B6C7E6F" w14:textId="77777777" w:rsidR="00044CEF" w:rsidRDefault="00000000">
            <w:pPr>
              <w:jc w:val="center"/>
              <w:rPr>
                <w:b/>
                <w:sz w:val="22"/>
                <w:szCs w:val="22"/>
              </w:rPr>
            </w:pPr>
            <w:r>
              <w:rPr>
                <w:b/>
                <w:sz w:val="22"/>
                <w:szCs w:val="22"/>
              </w:rPr>
              <w:t>Brief Description of Agreement</w:t>
            </w:r>
          </w:p>
        </w:tc>
        <w:tc>
          <w:tcPr>
            <w:tcW w:w="2445" w:type="dxa"/>
            <w:tcBorders>
              <w:top w:val="single" w:sz="6" w:space="0" w:color="000000"/>
              <w:left w:val="nil"/>
              <w:bottom w:val="single" w:sz="6" w:space="0" w:color="000000"/>
              <w:right w:val="single" w:sz="6" w:space="0" w:color="000000"/>
            </w:tcBorders>
            <w:shd w:val="clear" w:color="auto" w:fill="CFE2F3"/>
            <w:tcMar>
              <w:top w:w="0" w:type="dxa"/>
              <w:left w:w="100" w:type="dxa"/>
              <w:bottom w:w="0" w:type="dxa"/>
              <w:right w:w="100" w:type="dxa"/>
            </w:tcMar>
            <w:vAlign w:val="center"/>
          </w:tcPr>
          <w:p w14:paraId="4C3B2EE8" w14:textId="77777777" w:rsidR="00044CEF" w:rsidRDefault="00000000">
            <w:pPr>
              <w:jc w:val="center"/>
              <w:rPr>
                <w:b/>
                <w:sz w:val="22"/>
                <w:szCs w:val="22"/>
              </w:rPr>
            </w:pPr>
            <w:r>
              <w:rPr>
                <w:b/>
                <w:sz w:val="22"/>
                <w:szCs w:val="22"/>
              </w:rPr>
              <w:t xml:space="preserve">Contact </w:t>
            </w:r>
          </w:p>
        </w:tc>
      </w:tr>
      <w:tr w:rsidR="00044CEF" w14:paraId="30628FE9" w14:textId="77777777">
        <w:trPr>
          <w:trHeight w:val="1425"/>
        </w:trPr>
        <w:tc>
          <w:tcPr>
            <w:tcW w:w="1620"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6ADA33F3" w14:textId="77777777" w:rsidR="00044CEF" w:rsidRDefault="00000000">
            <w:pPr>
              <w:rPr>
                <w:sz w:val="22"/>
                <w:szCs w:val="22"/>
              </w:rPr>
            </w:pPr>
            <w:r>
              <w:rPr>
                <w:sz w:val="22"/>
                <w:szCs w:val="22"/>
              </w:rPr>
              <w:t>Gulf of Mexico Program</w:t>
            </w:r>
          </w:p>
        </w:tc>
        <w:tc>
          <w:tcPr>
            <w:tcW w:w="1635"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007D24F" w14:textId="77777777" w:rsidR="00044CEF" w:rsidRDefault="00000000">
            <w:pPr>
              <w:rPr>
                <w:sz w:val="22"/>
                <w:szCs w:val="22"/>
              </w:rPr>
            </w:pPr>
            <w:r>
              <w:rPr>
                <w:sz w:val="22"/>
                <w:szCs w:val="22"/>
              </w:rPr>
              <w:t>U.S. EPA/ CFDA 66.475/MX-00D88619 - 0</w:t>
            </w:r>
          </w:p>
        </w:tc>
        <w:tc>
          <w:tcPr>
            <w:tcW w:w="3600"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71C033B" w14:textId="77777777" w:rsidR="00044CEF" w:rsidRDefault="00000000">
            <w:pPr>
              <w:rPr>
                <w:sz w:val="22"/>
                <w:szCs w:val="22"/>
              </w:rPr>
            </w:pPr>
            <w:r>
              <w:rPr>
                <w:sz w:val="22"/>
                <w:szCs w:val="22"/>
              </w:rPr>
              <w:t>Funding to conduct workshops to identify vulnerabilities and</w:t>
            </w:r>
          </w:p>
          <w:p w14:paraId="68B4C2CD" w14:textId="77777777" w:rsidR="00044CEF" w:rsidRDefault="00000000">
            <w:pPr>
              <w:rPr>
                <w:sz w:val="22"/>
                <w:szCs w:val="22"/>
              </w:rPr>
            </w:pPr>
            <w:r>
              <w:rPr>
                <w:sz w:val="22"/>
                <w:szCs w:val="22"/>
              </w:rPr>
              <w:t>resiliency needs throughout the Tampa Bay Region and draft a Regional Resiliency Action Plan.</w:t>
            </w:r>
          </w:p>
        </w:tc>
        <w:tc>
          <w:tcPr>
            <w:tcW w:w="2445"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9A2208A" w14:textId="77777777" w:rsidR="00044CEF" w:rsidRDefault="00000000">
            <w:pPr>
              <w:rPr>
                <w:sz w:val="22"/>
                <w:szCs w:val="22"/>
              </w:rPr>
            </w:pPr>
            <w:r>
              <w:rPr>
                <w:sz w:val="22"/>
                <w:szCs w:val="22"/>
              </w:rPr>
              <w:t>Jeanne Allen</w:t>
            </w:r>
          </w:p>
          <w:p w14:paraId="5BC747D1" w14:textId="77777777" w:rsidR="00044CEF" w:rsidRDefault="00000000">
            <w:pPr>
              <w:rPr>
                <w:sz w:val="22"/>
                <w:szCs w:val="22"/>
              </w:rPr>
            </w:pPr>
            <w:hyperlink r:id="rId32">
              <w:r>
                <w:rPr>
                  <w:color w:val="1155CC"/>
                  <w:sz w:val="22"/>
                  <w:szCs w:val="22"/>
                  <w:u w:val="single"/>
                </w:rPr>
                <w:t xml:space="preserve">allen.jeanne@epa.gov </w:t>
              </w:r>
            </w:hyperlink>
          </w:p>
          <w:p w14:paraId="071AF62B" w14:textId="77777777" w:rsidR="00044CEF" w:rsidRDefault="00000000">
            <w:pPr>
              <w:rPr>
                <w:sz w:val="22"/>
                <w:szCs w:val="22"/>
              </w:rPr>
            </w:pPr>
            <w:r>
              <w:rPr>
                <w:sz w:val="22"/>
                <w:szCs w:val="22"/>
              </w:rPr>
              <w:t>(228) 679-5892</w:t>
            </w:r>
          </w:p>
        </w:tc>
      </w:tr>
      <w:tr w:rsidR="00044CEF" w14:paraId="49A13877" w14:textId="77777777">
        <w:trPr>
          <w:trHeight w:val="1425"/>
        </w:trPr>
        <w:tc>
          <w:tcPr>
            <w:tcW w:w="1620"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5037B1A3" w14:textId="77777777" w:rsidR="00044CEF" w:rsidRDefault="00000000">
            <w:pPr>
              <w:rPr>
                <w:sz w:val="22"/>
                <w:szCs w:val="22"/>
              </w:rPr>
            </w:pPr>
            <w:r>
              <w:rPr>
                <w:sz w:val="22"/>
                <w:szCs w:val="22"/>
              </w:rPr>
              <w:t>Partnership Planning Grant</w:t>
            </w:r>
          </w:p>
        </w:tc>
        <w:tc>
          <w:tcPr>
            <w:tcW w:w="1635"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3A6ABCF" w14:textId="77777777" w:rsidR="00044CEF" w:rsidRDefault="00000000">
            <w:pPr>
              <w:rPr>
                <w:color w:val="474747"/>
                <w:sz w:val="22"/>
                <w:szCs w:val="22"/>
              </w:rPr>
            </w:pPr>
            <w:r>
              <w:rPr>
                <w:sz w:val="22"/>
                <w:szCs w:val="22"/>
              </w:rPr>
              <w:t xml:space="preserve">US EDA/CFDA #/ </w:t>
            </w:r>
            <w:r>
              <w:rPr>
                <w:color w:val="474747"/>
                <w:sz w:val="22"/>
                <w:szCs w:val="22"/>
              </w:rPr>
              <w:t>11.302</w:t>
            </w:r>
          </w:p>
          <w:p w14:paraId="2C19E5C3" w14:textId="77777777" w:rsidR="00044CEF" w:rsidRDefault="00044CEF">
            <w:pPr>
              <w:rPr>
                <w:sz w:val="22"/>
                <w:szCs w:val="22"/>
                <w:highlight w:val="yellow"/>
              </w:rPr>
            </w:pPr>
          </w:p>
          <w:p w14:paraId="78904134" w14:textId="77777777" w:rsidR="00044CEF" w:rsidRDefault="00000000">
            <w:pPr>
              <w:rPr>
                <w:sz w:val="22"/>
                <w:szCs w:val="22"/>
                <w:highlight w:val="yellow"/>
              </w:rPr>
            </w:pPr>
            <w:r>
              <w:rPr>
                <w:sz w:val="22"/>
                <w:szCs w:val="22"/>
              </w:rPr>
              <w:t>ED23ATL3020026</w:t>
            </w:r>
          </w:p>
        </w:tc>
        <w:tc>
          <w:tcPr>
            <w:tcW w:w="3600"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1226026" w14:textId="77777777" w:rsidR="00044CEF" w:rsidRDefault="00000000">
            <w:pPr>
              <w:rPr>
                <w:sz w:val="22"/>
                <w:szCs w:val="22"/>
              </w:rPr>
            </w:pPr>
            <w:r>
              <w:rPr>
                <w:sz w:val="22"/>
                <w:szCs w:val="22"/>
              </w:rPr>
              <w:t>Funding to maintain and update the Comprehensive Economic Development Strategy and support the region in economic development activities during the grant term.</w:t>
            </w:r>
          </w:p>
        </w:tc>
        <w:tc>
          <w:tcPr>
            <w:tcW w:w="2445"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ECF802D" w14:textId="77777777" w:rsidR="00044CEF" w:rsidRDefault="00000000">
            <w:pPr>
              <w:ind w:left="-20" w:right="-20"/>
              <w:rPr>
                <w:sz w:val="22"/>
                <w:szCs w:val="22"/>
              </w:rPr>
            </w:pPr>
            <w:r>
              <w:rPr>
                <w:sz w:val="22"/>
                <w:szCs w:val="22"/>
              </w:rPr>
              <w:t xml:space="preserve">Gregory </w:t>
            </w:r>
            <w:proofErr w:type="spellStart"/>
            <w:r>
              <w:rPr>
                <w:sz w:val="22"/>
                <w:szCs w:val="22"/>
              </w:rPr>
              <w:t>Vaday</w:t>
            </w:r>
            <w:proofErr w:type="spellEnd"/>
            <w:r>
              <w:rPr>
                <w:sz w:val="22"/>
                <w:szCs w:val="22"/>
              </w:rPr>
              <w:t xml:space="preserve">, </w:t>
            </w:r>
            <w:hyperlink r:id="rId33">
              <w:r>
                <w:rPr>
                  <w:color w:val="1155CC"/>
                  <w:sz w:val="22"/>
                  <w:szCs w:val="22"/>
                  <w:u w:val="single"/>
                </w:rPr>
                <w:t>gvaday@eda.gov</w:t>
              </w:r>
            </w:hyperlink>
          </w:p>
          <w:p w14:paraId="6975072D" w14:textId="77777777" w:rsidR="00044CEF" w:rsidRDefault="00000000">
            <w:pPr>
              <w:ind w:left="-20" w:right="-20"/>
              <w:rPr>
                <w:sz w:val="22"/>
                <w:szCs w:val="22"/>
              </w:rPr>
            </w:pPr>
            <w:r>
              <w:rPr>
                <w:sz w:val="22"/>
                <w:szCs w:val="22"/>
              </w:rPr>
              <w:t>(772) 521-4371</w:t>
            </w:r>
          </w:p>
        </w:tc>
      </w:tr>
      <w:tr w:rsidR="00044CEF" w14:paraId="5C1BA3CC" w14:textId="77777777">
        <w:trPr>
          <w:trHeight w:val="840"/>
        </w:trPr>
        <w:tc>
          <w:tcPr>
            <w:tcW w:w="1620"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49001561" w14:textId="77777777" w:rsidR="00044CEF" w:rsidRDefault="00000000">
            <w:pPr>
              <w:rPr>
                <w:sz w:val="22"/>
                <w:szCs w:val="22"/>
              </w:rPr>
            </w:pPr>
            <w:r>
              <w:rPr>
                <w:sz w:val="22"/>
                <w:szCs w:val="22"/>
              </w:rPr>
              <w:t>Disaster Recovery Coordinator</w:t>
            </w:r>
          </w:p>
        </w:tc>
        <w:tc>
          <w:tcPr>
            <w:tcW w:w="1635"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3411683" w14:textId="77777777" w:rsidR="00044CEF" w:rsidRDefault="00000000">
            <w:pPr>
              <w:rPr>
                <w:sz w:val="22"/>
                <w:szCs w:val="22"/>
              </w:rPr>
            </w:pPr>
            <w:r>
              <w:rPr>
                <w:sz w:val="22"/>
                <w:szCs w:val="22"/>
              </w:rPr>
              <w:t>US EDA/ CFDA 11.307/04-79-07835</w:t>
            </w:r>
          </w:p>
        </w:tc>
        <w:tc>
          <w:tcPr>
            <w:tcW w:w="3600"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3096520" w14:textId="77777777" w:rsidR="00044CEF" w:rsidRDefault="00000000">
            <w:pPr>
              <w:rPr>
                <w:sz w:val="22"/>
                <w:szCs w:val="22"/>
              </w:rPr>
            </w:pPr>
            <w:r>
              <w:rPr>
                <w:sz w:val="22"/>
                <w:szCs w:val="22"/>
              </w:rPr>
              <w:t xml:space="preserve">The scope of work funds a Hurricane Ian Disaster Recovery position. </w:t>
            </w:r>
          </w:p>
        </w:tc>
        <w:tc>
          <w:tcPr>
            <w:tcW w:w="2445"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A7945AE" w14:textId="77777777" w:rsidR="00044CEF" w:rsidRDefault="00000000">
            <w:pPr>
              <w:rPr>
                <w:sz w:val="22"/>
                <w:szCs w:val="22"/>
              </w:rPr>
            </w:pPr>
            <w:r>
              <w:rPr>
                <w:sz w:val="22"/>
                <w:szCs w:val="22"/>
              </w:rPr>
              <w:t xml:space="preserve">Gregory </w:t>
            </w:r>
            <w:proofErr w:type="spellStart"/>
            <w:r>
              <w:rPr>
                <w:sz w:val="22"/>
                <w:szCs w:val="22"/>
              </w:rPr>
              <w:t>Vaday</w:t>
            </w:r>
            <w:proofErr w:type="spellEnd"/>
            <w:r>
              <w:rPr>
                <w:sz w:val="22"/>
                <w:szCs w:val="22"/>
              </w:rPr>
              <w:t xml:space="preserve"> </w:t>
            </w:r>
            <w:hyperlink r:id="rId34">
              <w:r>
                <w:rPr>
                  <w:color w:val="1155CC"/>
                  <w:sz w:val="22"/>
                  <w:szCs w:val="22"/>
                  <w:u w:val="single"/>
                </w:rPr>
                <w:t>gvaday@eda.gov</w:t>
              </w:r>
            </w:hyperlink>
          </w:p>
          <w:p w14:paraId="497301DF" w14:textId="77777777" w:rsidR="00044CEF" w:rsidRDefault="00000000">
            <w:pPr>
              <w:rPr>
                <w:sz w:val="22"/>
                <w:szCs w:val="22"/>
              </w:rPr>
            </w:pPr>
            <w:r>
              <w:rPr>
                <w:sz w:val="22"/>
                <w:szCs w:val="22"/>
              </w:rPr>
              <w:t>(772) 521-4371</w:t>
            </w:r>
          </w:p>
        </w:tc>
      </w:tr>
      <w:tr w:rsidR="00044CEF" w14:paraId="65BE4A4A" w14:textId="77777777">
        <w:trPr>
          <w:trHeight w:val="930"/>
        </w:trPr>
        <w:tc>
          <w:tcPr>
            <w:tcW w:w="1620"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B67B682" w14:textId="77777777" w:rsidR="00044CEF" w:rsidRDefault="00000000">
            <w:pPr>
              <w:rPr>
                <w:sz w:val="22"/>
                <w:szCs w:val="22"/>
              </w:rPr>
            </w:pPr>
            <w:r>
              <w:rPr>
                <w:sz w:val="22"/>
                <w:szCs w:val="22"/>
              </w:rPr>
              <w:lastRenderedPageBreak/>
              <w:t>Climate Pollution Reduction Grants</w:t>
            </w:r>
          </w:p>
        </w:tc>
        <w:tc>
          <w:tcPr>
            <w:tcW w:w="1635"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4D15432" w14:textId="77777777" w:rsidR="00044CEF" w:rsidRDefault="00000000">
            <w:pPr>
              <w:rPr>
                <w:sz w:val="22"/>
                <w:szCs w:val="22"/>
              </w:rPr>
            </w:pPr>
            <w:r>
              <w:rPr>
                <w:sz w:val="22"/>
                <w:szCs w:val="22"/>
              </w:rPr>
              <w:t>U.S. EPA/ CFDA 66.046/02D57323</w:t>
            </w:r>
          </w:p>
        </w:tc>
        <w:tc>
          <w:tcPr>
            <w:tcW w:w="3600"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D97DA22" w14:textId="77777777" w:rsidR="00044CEF" w:rsidRDefault="00000000">
            <w:pPr>
              <w:rPr>
                <w:b/>
                <w:sz w:val="22"/>
                <w:szCs w:val="22"/>
              </w:rPr>
            </w:pPr>
            <w:r>
              <w:rPr>
                <w:sz w:val="22"/>
                <w:szCs w:val="22"/>
              </w:rPr>
              <w:t>To develop a climate mitigation plan that will support actions to reduce GHG for the TPSPC MSA.</w:t>
            </w:r>
          </w:p>
        </w:tc>
        <w:tc>
          <w:tcPr>
            <w:tcW w:w="2445"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5980745" w14:textId="77777777" w:rsidR="00044CEF" w:rsidRDefault="00000000">
            <w:pPr>
              <w:rPr>
                <w:sz w:val="22"/>
                <w:szCs w:val="22"/>
              </w:rPr>
            </w:pPr>
            <w:r>
              <w:rPr>
                <w:sz w:val="22"/>
                <w:szCs w:val="22"/>
              </w:rPr>
              <w:t>Mary Reynolds</w:t>
            </w:r>
          </w:p>
          <w:p w14:paraId="245BAF65" w14:textId="77777777" w:rsidR="00044CEF" w:rsidRDefault="00000000">
            <w:pPr>
              <w:rPr>
                <w:sz w:val="22"/>
                <w:szCs w:val="22"/>
              </w:rPr>
            </w:pPr>
            <w:hyperlink r:id="rId35">
              <w:r>
                <w:rPr>
                  <w:color w:val="1155CC"/>
                  <w:sz w:val="22"/>
                  <w:szCs w:val="22"/>
                  <w:u w:val="single"/>
                </w:rPr>
                <w:t>reynolds.mary@epa.gov</w:t>
              </w:r>
            </w:hyperlink>
          </w:p>
          <w:p w14:paraId="6C647A8C" w14:textId="77777777" w:rsidR="00044CEF" w:rsidRDefault="00000000">
            <w:pPr>
              <w:rPr>
                <w:b/>
                <w:sz w:val="22"/>
                <w:szCs w:val="22"/>
              </w:rPr>
            </w:pPr>
            <w:r>
              <w:rPr>
                <w:sz w:val="22"/>
                <w:szCs w:val="22"/>
              </w:rPr>
              <w:t>(404) 562-8991</w:t>
            </w:r>
          </w:p>
        </w:tc>
      </w:tr>
    </w:tbl>
    <w:p w14:paraId="5034D545" w14:textId="77777777" w:rsidR="00044CEF" w:rsidRDefault="00000000">
      <w:pPr>
        <w:spacing w:after="200"/>
        <w:ind w:left="-20" w:right="-20"/>
        <w:jc w:val="both"/>
        <w:rPr>
          <w:sz w:val="22"/>
          <w:szCs w:val="22"/>
        </w:rPr>
      </w:pPr>
      <w:r>
        <w:rPr>
          <w:sz w:val="22"/>
          <w:szCs w:val="22"/>
        </w:rPr>
        <w:br/>
        <w:t xml:space="preserve">The Tampa Bay Regional Planning Council (TBRPC) has over 20 years of experience in managing federal grants and delivering final products and satisfactory reporting on all grants. TBRPC ensures success because it uses a cross-departmental team approach. The Project Manager leads the vision and ensures that pragmatic goals are achieved, the Planning Director oversees internal controls, grant management, and drawdowns, and the Executive Director manages external agreements and oversees the complete project. These key staff members meet weekly to stay aligned on project success and to discuss and work collaboratively on any issues that may hold up project success. </w:t>
      </w:r>
    </w:p>
    <w:p w14:paraId="15E6907C" w14:textId="77777777" w:rsidR="00044CEF" w:rsidRDefault="00000000">
      <w:pPr>
        <w:jc w:val="both"/>
        <w:rPr>
          <w:sz w:val="22"/>
          <w:szCs w:val="22"/>
        </w:rPr>
      </w:pPr>
      <w:r>
        <w:rPr>
          <w:b/>
          <w:color w:val="467886"/>
          <w:sz w:val="22"/>
          <w:szCs w:val="22"/>
          <w:u w:val="single"/>
        </w:rPr>
        <w:t>Reporting Success:</w:t>
      </w:r>
      <w:r>
        <w:rPr>
          <w:b/>
          <w:sz w:val="22"/>
          <w:szCs w:val="22"/>
        </w:rPr>
        <w:t xml:space="preserve"> </w:t>
      </w:r>
      <w:r>
        <w:rPr>
          <w:sz w:val="22"/>
          <w:szCs w:val="22"/>
        </w:rPr>
        <w:t xml:space="preserve">For the first three grants listed above, all interim and final reports were submitted and deemed successful, all reporting concerning expected outputs and outcomes was timely and approved, and progress on all program goals met expectations. In short, all milestones were achieved, all grant reporting was timely, and draw-down requests were on time and satisfactory. The last grant in Table 9 is a Climate Pollution Reduction Grant that TBRPC was awarded to develop a PCAP and CCAP. While the project is still ongoing, TBROC has submitted approved interim reports, met all expected outputs and outcomes, and is successfully meeting its project goals. </w:t>
      </w:r>
    </w:p>
    <w:p w14:paraId="4941A569" w14:textId="77777777" w:rsidR="00044CEF" w:rsidRDefault="00044CEF">
      <w:pPr>
        <w:rPr>
          <w:sz w:val="22"/>
          <w:szCs w:val="22"/>
        </w:rPr>
      </w:pPr>
    </w:p>
    <w:p w14:paraId="7673881B" w14:textId="77777777" w:rsidR="00044CEF" w:rsidRDefault="00000000">
      <w:pPr>
        <w:pBdr>
          <w:top w:val="nil"/>
          <w:left w:val="nil"/>
          <w:bottom w:val="nil"/>
          <w:right w:val="nil"/>
          <w:between w:val="nil"/>
        </w:pBdr>
        <w:jc w:val="both"/>
        <w:rPr>
          <w:sz w:val="22"/>
          <w:szCs w:val="22"/>
        </w:rPr>
      </w:pPr>
      <w:r>
        <w:rPr>
          <w:b/>
          <w:color w:val="467886"/>
          <w:sz w:val="22"/>
          <w:szCs w:val="22"/>
          <w:u w:val="single"/>
        </w:rPr>
        <w:t>Staff Expertise:</w:t>
      </w:r>
      <w:r>
        <w:rPr>
          <w:b/>
          <w:sz w:val="18"/>
          <w:szCs w:val="18"/>
        </w:rPr>
        <w:t xml:space="preserve"> </w:t>
      </w:r>
      <w:r>
        <w:rPr>
          <w:sz w:val="22"/>
          <w:szCs w:val="22"/>
        </w:rPr>
        <w:t>The executive leadership for the SSERC Coalition includes the top resilience directors, planners, policy analysts, and other climate specialists in the state. Because the Coalition includes four MSAs, and hence many staff members working on this project, this proposal only mentions the executive leadership:</w:t>
      </w:r>
    </w:p>
    <w:p w14:paraId="49396147" w14:textId="77777777" w:rsidR="00044CEF" w:rsidRDefault="00044CEF">
      <w:pPr>
        <w:jc w:val="both"/>
        <w:rPr>
          <w:b/>
          <w:sz w:val="22"/>
          <w:szCs w:val="22"/>
          <w:u w:val="single"/>
        </w:rPr>
      </w:pPr>
    </w:p>
    <w:p w14:paraId="3955C92B" w14:textId="77777777" w:rsidR="00044CEF" w:rsidRDefault="00000000">
      <w:pPr>
        <w:numPr>
          <w:ilvl w:val="0"/>
          <w:numId w:val="10"/>
        </w:numPr>
        <w:ind w:left="360"/>
        <w:jc w:val="both"/>
        <w:rPr>
          <w:sz w:val="22"/>
          <w:szCs w:val="22"/>
          <w:highlight w:val="white"/>
        </w:rPr>
      </w:pPr>
      <w:r>
        <w:rPr>
          <w:b/>
          <w:sz w:val="22"/>
          <w:szCs w:val="22"/>
          <w:highlight w:val="white"/>
        </w:rPr>
        <w:t xml:space="preserve">Wren </w:t>
      </w:r>
      <w:proofErr w:type="spellStart"/>
      <w:r>
        <w:rPr>
          <w:b/>
          <w:sz w:val="22"/>
          <w:szCs w:val="22"/>
          <w:highlight w:val="white"/>
        </w:rPr>
        <w:t>Krahl</w:t>
      </w:r>
      <w:proofErr w:type="spellEnd"/>
      <w:r>
        <w:rPr>
          <w:b/>
          <w:sz w:val="22"/>
          <w:szCs w:val="22"/>
          <w:highlight w:val="white"/>
        </w:rPr>
        <w:t xml:space="preserve">, </w:t>
      </w:r>
      <w:r>
        <w:rPr>
          <w:b/>
          <w:i/>
          <w:sz w:val="22"/>
          <w:szCs w:val="22"/>
          <w:highlight w:val="white"/>
        </w:rPr>
        <w:t>Executive Director of TBRPC:</w:t>
      </w:r>
      <w:r>
        <w:rPr>
          <w:i/>
          <w:sz w:val="22"/>
          <w:szCs w:val="22"/>
          <w:highlight w:val="white"/>
        </w:rPr>
        <w:t xml:space="preserve"> </w:t>
      </w:r>
      <w:r>
        <w:rPr>
          <w:sz w:val="22"/>
          <w:szCs w:val="22"/>
          <w:highlight w:val="white"/>
        </w:rPr>
        <w:t xml:space="preserve">Wren </w:t>
      </w:r>
      <w:proofErr w:type="spellStart"/>
      <w:r>
        <w:rPr>
          <w:sz w:val="22"/>
          <w:szCs w:val="22"/>
          <w:highlight w:val="white"/>
        </w:rPr>
        <w:t>Krahl</w:t>
      </w:r>
      <w:proofErr w:type="spellEnd"/>
      <w:r>
        <w:rPr>
          <w:sz w:val="22"/>
          <w:szCs w:val="22"/>
          <w:highlight w:val="white"/>
        </w:rPr>
        <w:t xml:space="preserve"> will be responsible for staff management, state and local compliance, and contract management. Wren works closely with the TBRPC Chair and Council Members in the overall administration of the Council’s mission. As a SHRM certified Professional in Human Resources (PHR) and a HRCI Certified Professional (CP), her other duties include serving as the Human Resources Officer for the organization as well as overseeing Florida State Record Management requirements. </w:t>
      </w:r>
    </w:p>
    <w:p w14:paraId="2B135170" w14:textId="77777777" w:rsidR="00044CEF" w:rsidRDefault="00000000">
      <w:pPr>
        <w:numPr>
          <w:ilvl w:val="0"/>
          <w:numId w:val="10"/>
        </w:numPr>
        <w:ind w:left="360"/>
        <w:jc w:val="both"/>
        <w:rPr>
          <w:sz w:val="22"/>
          <w:szCs w:val="22"/>
          <w:highlight w:val="white"/>
        </w:rPr>
      </w:pPr>
      <w:r>
        <w:rPr>
          <w:b/>
          <w:sz w:val="22"/>
          <w:szCs w:val="22"/>
        </w:rPr>
        <w:t xml:space="preserve">Courtney Wright, </w:t>
      </w:r>
      <w:r>
        <w:rPr>
          <w:b/>
          <w:i/>
          <w:sz w:val="22"/>
          <w:szCs w:val="22"/>
        </w:rPr>
        <w:t xml:space="preserve">Senior Planner at TBRPC: </w:t>
      </w:r>
      <w:r>
        <w:rPr>
          <w:sz w:val="22"/>
          <w:szCs w:val="22"/>
        </w:rPr>
        <w:t>Courtney will work with local governments, academic institutions, and non-profit partners to measure GHG emissions and identify opportunities for reductions. Courtney is the Program Manager for the EPA CPRG Program. Courtney assists in the planning and technical support for the Resiliency Coalition through the Regional Resiliency Action Plan and also supports staff with environmental planning and energy-related initiatives. Courtney holds a Master of Arts in Global Sustainability with a concentration in Sustainability Policy. She holds a Leadership in Energy and Environmental Design – Green Associate (LEED GA) accreditation and is also a member of U.S. Green Building Council (USGBC) Florida and USGBC Tampa Bay chapter.</w:t>
      </w:r>
    </w:p>
    <w:p w14:paraId="1F27EEDC" w14:textId="77777777" w:rsidR="00044CEF" w:rsidRDefault="00000000">
      <w:pPr>
        <w:numPr>
          <w:ilvl w:val="0"/>
          <w:numId w:val="10"/>
        </w:numPr>
        <w:ind w:left="360"/>
        <w:jc w:val="both"/>
        <w:rPr>
          <w:sz w:val="22"/>
          <w:szCs w:val="22"/>
        </w:rPr>
      </w:pPr>
      <w:r>
        <w:rPr>
          <w:b/>
          <w:sz w:val="22"/>
          <w:szCs w:val="22"/>
        </w:rPr>
        <w:t xml:space="preserve">Carrie Black, </w:t>
      </w:r>
      <w:r>
        <w:rPr>
          <w:b/>
          <w:i/>
          <w:sz w:val="22"/>
          <w:szCs w:val="22"/>
        </w:rPr>
        <w:t>Orange County Government Chief Sustainability &amp; Resilience Officer</w:t>
      </w:r>
      <w:r>
        <w:rPr>
          <w:b/>
          <w:sz w:val="22"/>
          <w:szCs w:val="22"/>
        </w:rPr>
        <w:t>:</w:t>
      </w:r>
      <w:r>
        <w:rPr>
          <w:sz w:val="22"/>
          <w:szCs w:val="22"/>
        </w:rPr>
        <w:t xml:space="preserve"> Carrie Black is the lead for Orange County and the Orlando-Kissimmee-Sanford MSA. She is working with Orange County staff to implement projects, as well as connecting with local governments within the MSA to ensure they successfully implement their identified projects. She has worked 10+ years in sustainability in operations, in both the public and private sector.</w:t>
      </w:r>
    </w:p>
    <w:p w14:paraId="5A03381A" w14:textId="77777777" w:rsidR="00044CEF" w:rsidRDefault="00000000">
      <w:pPr>
        <w:numPr>
          <w:ilvl w:val="0"/>
          <w:numId w:val="10"/>
        </w:numPr>
        <w:ind w:left="360"/>
        <w:jc w:val="both"/>
        <w:rPr>
          <w:sz w:val="22"/>
          <w:szCs w:val="22"/>
          <w:highlight w:val="white"/>
        </w:rPr>
      </w:pPr>
      <w:proofErr w:type="spellStart"/>
      <w:r>
        <w:rPr>
          <w:b/>
          <w:sz w:val="22"/>
          <w:szCs w:val="22"/>
        </w:rPr>
        <w:t>Ashantae</w:t>
      </w:r>
      <w:proofErr w:type="spellEnd"/>
      <w:r>
        <w:rPr>
          <w:b/>
          <w:sz w:val="22"/>
          <w:szCs w:val="22"/>
        </w:rPr>
        <w:t xml:space="preserve"> Green, </w:t>
      </w:r>
      <w:r>
        <w:rPr>
          <w:b/>
          <w:i/>
          <w:sz w:val="22"/>
          <w:szCs w:val="22"/>
        </w:rPr>
        <w:t>Sustainability Manager for the City of Jacksonville</w:t>
      </w:r>
      <w:r>
        <w:rPr>
          <w:b/>
          <w:sz w:val="22"/>
          <w:szCs w:val="22"/>
        </w:rPr>
        <w:t xml:space="preserve">:  </w:t>
      </w:r>
      <w:proofErr w:type="spellStart"/>
      <w:r>
        <w:rPr>
          <w:sz w:val="22"/>
          <w:szCs w:val="22"/>
        </w:rPr>
        <w:t>Ashantae</w:t>
      </w:r>
      <w:proofErr w:type="spellEnd"/>
      <w:r>
        <w:rPr>
          <w:sz w:val="22"/>
          <w:szCs w:val="22"/>
        </w:rPr>
        <w:t xml:space="preserve"> Green is the project lead for the Jacksonville, FL Metro Area MSA CPRG planning grant and will lead the implementation effort. </w:t>
      </w:r>
      <w:proofErr w:type="spellStart"/>
      <w:r>
        <w:rPr>
          <w:sz w:val="22"/>
          <w:szCs w:val="22"/>
        </w:rPr>
        <w:t>Ashantae</w:t>
      </w:r>
      <w:proofErr w:type="spellEnd"/>
      <w:r>
        <w:rPr>
          <w:sz w:val="22"/>
          <w:szCs w:val="22"/>
        </w:rPr>
        <w:t xml:space="preserve">, a former elected official, with 10+ years in sustainable </w:t>
      </w:r>
      <w:proofErr w:type="gramStart"/>
      <w:r>
        <w:rPr>
          <w:sz w:val="22"/>
          <w:szCs w:val="22"/>
        </w:rPr>
        <w:t>design,  construction</w:t>
      </w:r>
      <w:proofErr w:type="gramEnd"/>
      <w:r>
        <w:rPr>
          <w:sz w:val="22"/>
          <w:szCs w:val="22"/>
        </w:rPr>
        <w:t xml:space="preserve"> &amp; </w:t>
      </w:r>
      <w:r>
        <w:rPr>
          <w:sz w:val="22"/>
          <w:szCs w:val="22"/>
        </w:rPr>
        <w:lastRenderedPageBreak/>
        <w:t xml:space="preserve">serving LIDAC communities, will manage staff, work with local governments, non-profit &amp; academic partners, to implement projects, measure greenhouse gas reductions and deliver on grant deliverables. </w:t>
      </w:r>
    </w:p>
    <w:p w14:paraId="488C108A" w14:textId="77777777" w:rsidR="00044CEF" w:rsidRDefault="00000000">
      <w:pPr>
        <w:numPr>
          <w:ilvl w:val="0"/>
          <w:numId w:val="10"/>
        </w:numPr>
        <w:ind w:left="360"/>
        <w:jc w:val="both"/>
        <w:rPr>
          <w:sz w:val="22"/>
          <w:szCs w:val="22"/>
          <w:highlight w:val="white"/>
        </w:rPr>
      </w:pPr>
      <w:r>
        <w:rPr>
          <w:b/>
          <w:sz w:val="22"/>
          <w:szCs w:val="22"/>
        </w:rPr>
        <w:t>Sara Kane</w:t>
      </w:r>
      <w:r>
        <w:rPr>
          <w:b/>
          <w:i/>
          <w:sz w:val="22"/>
          <w:szCs w:val="22"/>
        </w:rPr>
        <w:t>, Sustainability and Resilience Manager at Sarasota County</w:t>
      </w:r>
      <w:r>
        <w:rPr>
          <w:sz w:val="22"/>
          <w:szCs w:val="22"/>
        </w:rPr>
        <w:t xml:space="preserve">: Sara Kane is the project manager and lead for the North Port-Sarasota-Bradenton, FL MSA CPRG planning grant. She will continue to lead efforts for the implementation grant. She will work with staff, consultants, local governments, academic institutions, and non-profit partners in the region to identify projects, measure GHG emission reductions and ensure services are provided to LIDAC communities. As Sustainability and Resilience Manager for Sarasota County Government, Sara Kane leads a dedicated team equipped with a robust understanding of grant management, energy efficiency, renewable energy, resilience, energy equity, </w:t>
      </w:r>
      <w:proofErr w:type="gramStart"/>
      <w:r>
        <w:rPr>
          <w:sz w:val="22"/>
          <w:szCs w:val="22"/>
        </w:rPr>
        <w:t>outreach</w:t>
      </w:r>
      <w:proofErr w:type="gramEnd"/>
      <w:r>
        <w:rPr>
          <w:sz w:val="22"/>
          <w:szCs w:val="22"/>
        </w:rPr>
        <w:t xml:space="preserve"> and education. </w:t>
      </w:r>
    </w:p>
    <w:p w14:paraId="406368D5" w14:textId="77777777" w:rsidR="00044CEF" w:rsidRDefault="00000000">
      <w:pPr>
        <w:numPr>
          <w:ilvl w:val="0"/>
          <w:numId w:val="10"/>
        </w:numPr>
        <w:ind w:left="360"/>
        <w:jc w:val="both"/>
        <w:rPr>
          <w:sz w:val="22"/>
          <w:szCs w:val="22"/>
          <w:highlight w:val="white"/>
        </w:rPr>
      </w:pPr>
      <w:r>
        <w:rPr>
          <w:b/>
          <w:sz w:val="22"/>
          <w:szCs w:val="22"/>
        </w:rPr>
        <w:t>Cara Woods Serra</w:t>
      </w:r>
      <w:r>
        <w:rPr>
          <w:sz w:val="22"/>
          <w:szCs w:val="22"/>
        </w:rPr>
        <w:t xml:space="preserve">, </w:t>
      </w:r>
      <w:r>
        <w:rPr>
          <w:b/>
          <w:i/>
          <w:sz w:val="22"/>
          <w:szCs w:val="22"/>
        </w:rPr>
        <w:t>Director of Resiliency at TBRPC</w:t>
      </w:r>
      <w:r>
        <w:rPr>
          <w:b/>
          <w:sz w:val="22"/>
          <w:szCs w:val="22"/>
        </w:rPr>
        <w:t>:</w:t>
      </w:r>
      <w:r>
        <w:rPr>
          <w:sz w:val="22"/>
          <w:szCs w:val="22"/>
        </w:rPr>
        <w:t xml:space="preserve"> Cara will manage project staff, assist with budget development, and work with regional stakeholders. As Director of Resiliency, Cara leads a team equipped with skills in policy research, climate mitigation planning, and clean energy implementation.</w:t>
      </w:r>
    </w:p>
    <w:p w14:paraId="40B98008" w14:textId="77777777" w:rsidR="00044CEF" w:rsidRDefault="00000000">
      <w:pPr>
        <w:numPr>
          <w:ilvl w:val="0"/>
          <w:numId w:val="10"/>
        </w:numPr>
        <w:ind w:left="360"/>
        <w:jc w:val="both"/>
        <w:rPr>
          <w:sz w:val="22"/>
          <w:szCs w:val="22"/>
          <w:highlight w:val="white"/>
        </w:rPr>
      </w:pPr>
      <w:r>
        <w:rPr>
          <w:b/>
          <w:sz w:val="22"/>
          <w:szCs w:val="22"/>
        </w:rPr>
        <w:t xml:space="preserve">Sarah Vitale, </w:t>
      </w:r>
      <w:r>
        <w:rPr>
          <w:b/>
          <w:i/>
          <w:sz w:val="22"/>
          <w:szCs w:val="22"/>
        </w:rPr>
        <w:t>Planning Director at TBRPC:</w:t>
      </w:r>
      <w:r>
        <w:rPr>
          <w:i/>
          <w:sz w:val="22"/>
          <w:szCs w:val="22"/>
        </w:rPr>
        <w:t xml:space="preserve"> </w:t>
      </w:r>
      <w:r>
        <w:rPr>
          <w:sz w:val="22"/>
          <w:szCs w:val="22"/>
        </w:rPr>
        <w:t>Sarah Vitale will be responsible for staff management, state and federal compliance, and contract management. Sarah Vitale specializes in urban design visualization, GIS mapping, and 3D modeling, and provides planning and technical support across the Council’s projects and programs.</w:t>
      </w:r>
    </w:p>
    <w:p w14:paraId="277185C7" w14:textId="77777777" w:rsidR="00044CEF" w:rsidRDefault="00000000">
      <w:pPr>
        <w:numPr>
          <w:ilvl w:val="0"/>
          <w:numId w:val="10"/>
        </w:numPr>
        <w:ind w:left="360"/>
        <w:jc w:val="both"/>
        <w:rPr>
          <w:sz w:val="22"/>
          <w:szCs w:val="22"/>
          <w:highlight w:val="white"/>
        </w:rPr>
      </w:pPr>
      <w:r>
        <w:rPr>
          <w:b/>
          <w:sz w:val="22"/>
          <w:szCs w:val="22"/>
        </w:rPr>
        <w:t xml:space="preserve">Maria Robles, </w:t>
      </w:r>
      <w:r>
        <w:rPr>
          <w:b/>
          <w:i/>
          <w:sz w:val="22"/>
          <w:szCs w:val="22"/>
        </w:rPr>
        <w:t>Manager of Administration/Public Information at TBRPC</w:t>
      </w:r>
      <w:r>
        <w:rPr>
          <w:sz w:val="22"/>
          <w:szCs w:val="22"/>
        </w:rPr>
        <w:t>:</w:t>
      </w:r>
      <w:r>
        <w:rPr>
          <w:i/>
          <w:sz w:val="22"/>
          <w:szCs w:val="22"/>
        </w:rPr>
        <w:t xml:space="preserve"> </w:t>
      </w:r>
      <w:r>
        <w:rPr>
          <w:sz w:val="22"/>
          <w:szCs w:val="22"/>
        </w:rPr>
        <w:t xml:space="preserve">Maria Robles will oversee public records requests, payroll, and communication strategy. She is trilingual (Spanish, English, and French) and specializes in graphic and website communications. Maria manages the English to Spanish translations for the annual Disaster Planning Guide publication. </w:t>
      </w:r>
    </w:p>
    <w:p w14:paraId="4925F916" w14:textId="77777777" w:rsidR="00044CEF" w:rsidRDefault="00044CEF">
      <w:pPr>
        <w:pBdr>
          <w:top w:val="nil"/>
          <w:left w:val="nil"/>
          <w:bottom w:val="nil"/>
          <w:right w:val="nil"/>
          <w:between w:val="nil"/>
        </w:pBdr>
        <w:ind w:left="2160"/>
        <w:rPr>
          <w:rFonts w:ascii="Times New Roman" w:eastAsia="Times New Roman" w:hAnsi="Times New Roman" w:cs="Times New Roman"/>
          <w:color w:val="000000"/>
        </w:rPr>
      </w:pPr>
    </w:p>
    <w:p w14:paraId="140E107A" w14:textId="2AE9B4E3" w:rsidR="00044CEF" w:rsidRDefault="00000000">
      <w:pPr>
        <w:pBdr>
          <w:top w:val="nil"/>
          <w:left w:val="nil"/>
          <w:bottom w:val="nil"/>
          <w:right w:val="nil"/>
          <w:between w:val="nil"/>
        </w:pBdr>
        <w:rPr>
          <w:b/>
          <w:color w:val="4472C4"/>
          <w:sz w:val="22"/>
          <w:szCs w:val="22"/>
          <w:u w:val="single"/>
        </w:rPr>
      </w:pPr>
      <w:r>
        <w:rPr>
          <w:b/>
          <w:color w:val="4472C4"/>
          <w:sz w:val="22"/>
          <w:szCs w:val="22"/>
          <w:u w:val="single"/>
        </w:rPr>
        <w:t xml:space="preserve">7. Budget </w:t>
      </w:r>
    </w:p>
    <w:p w14:paraId="7A9AD250" w14:textId="77777777" w:rsidR="00044CEF" w:rsidRDefault="00000000">
      <w:pPr>
        <w:pBdr>
          <w:top w:val="nil"/>
          <w:left w:val="nil"/>
          <w:bottom w:val="nil"/>
          <w:right w:val="nil"/>
          <w:between w:val="nil"/>
        </w:pBdr>
        <w:rPr>
          <w:rFonts w:ascii="Times New Roman" w:eastAsia="Times New Roman" w:hAnsi="Times New Roman" w:cs="Times New Roman"/>
          <w:b/>
          <w:color w:val="E69243"/>
          <w:sz w:val="22"/>
          <w:szCs w:val="22"/>
        </w:rPr>
      </w:pPr>
      <w:r>
        <w:rPr>
          <w:b/>
          <w:color w:val="E69243"/>
          <w:sz w:val="22"/>
          <w:szCs w:val="22"/>
        </w:rPr>
        <w:t xml:space="preserve">7.1 Budget Detail - Please see Budget Narrative for an in-depth overview.  </w:t>
      </w:r>
      <w:r>
        <w:rPr>
          <w:rFonts w:ascii="Times New Roman" w:eastAsia="Times New Roman" w:hAnsi="Times New Roman" w:cs="Times New Roman"/>
          <w:b/>
          <w:color w:val="E69243"/>
          <w:sz w:val="22"/>
          <w:szCs w:val="22"/>
        </w:rPr>
        <w:t xml:space="preserve"> </w:t>
      </w:r>
    </w:p>
    <w:p w14:paraId="20833788" w14:textId="77777777" w:rsidR="00044CEF" w:rsidRDefault="00044CEF">
      <w:pPr>
        <w:pBdr>
          <w:top w:val="nil"/>
          <w:left w:val="nil"/>
          <w:bottom w:val="nil"/>
          <w:right w:val="nil"/>
          <w:between w:val="nil"/>
        </w:pBdr>
        <w:ind w:left="1440"/>
        <w:rPr>
          <w:b/>
          <w:sz w:val="8"/>
          <w:szCs w:val="8"/>
        </w:rPr>
      </w:pPr>
    </w:p>
    <w:p w14:paraId="64F6289B" w14:textId="77777777" w:rsidR="00044CEF" w:rsidRDefault="00000000">
      <w:pPr>
        <w:numPr>
          <w:ilvl w:val="3"/>
          <w:numId w:val="3"/>
        </w:numPr>
        <w:pBdr>
          <w:top w:val="nil"/>
          <w:left w:val="nil"/>
          <w:bottom w:val="nil"/>
          <w:right w:val="nil"/>
          <w:between w:val="nil"/>
        </w:pBdr>
        <w:ind w:left="630"/>
        <w:rPr>
          <w:color w:val="000000"/>
        </w:rPr>
      </w:pPr>
      <w:r>
        <w:rPr>
          <w:b/>
          <w:color w:val="000000"/>
          <w:sz w:val="22"/>
          <w:szCs w:val="22"/>
        </w:rPr>
        <w:t>P</w:t>
      </w:r>
      <w:r>
        <w:rPr>
          <w:b/>
          <w:sz w:val="22"/>
          <w:szCs w:val="22"/>
        </w:rPr>
        <w:t>ersonnel:</w:t>
      </w:r>
      <w:r>
        <w:rPr>
          <w:sz w:val="22"/>
          <w:szCs w:val="22"/>
        </w:rPr>
        <w:t xml:space="preserve">  $5,497,554</w:t>
      </w:r>
    </w:p>
    <w:p w14:paraId="5280B818" w14:textId="77777777" w:rsidR="00044CEF" w:rsidRDefault="00000000">
      <w:pPr>
        <w:numPr>
          <w:ilvl w:val="3"/>
          <w:numId w:val="3"/>
        </w:numPr>
        <w:pBdr>
          <w:top w:val="nil"/>
          <w:left w:val="nil"/>
          <w:bottom w:val="nil"/>
          <w:right w:val="nil"/>
          <w:between w:val="nil"/>
        </w:pBdr>
        <w:ind w:left="630"/>
      </w:pPr>
      <w:r>
        <w:rPr>
          <w:b/>
          <w:sz w:val="22"/>
          <w:szCs w:val="22"/>
        </w:rPr>
        <w:t>Fringe Benefits:</w:t>
      </w:r>
      <w:r>
        <w:rPr>
          <w:sz w:val="22"/>
          <w:szCs w:val="22"/>
        </w:rPr>
        <w:t xml:space="preserve">  $2,286,023</w:t>
      </w:r>
    </w:p>
    <w:p w14:paraId="2F235F3D" w14:textId="77777777" w:rsidR="00044CEF" w:rsidRDefault="00000000">
      <w:pPr>
        <w:numPr>
          <w:ilvl w:val="3"/>
          <w:numId w:val="3"/>
        </w:numPr>
        <w:pBdr>
          <w:top w:val="nil"/>
          <w:left w:val="nil"/>
          <w:bottom w:val="nil"/>
          <w:right w:val="nil"/>
          <w:between w:val="nil"/>
        </w:pBdr>
        <w:ind w:left="630"/>
      </w:pPr>
      <w:r>
        <w:rPr>
          <w:b/>
          <w:sz w:val="22"/>
          <w:szCs w:val="22"/>
        </w:rPr>
        <w:t xml:space="preserve">Travel: </w:t>
      </w:r>
      <w:r>
        <w:rPr>
          <w:sz w:val="22"/>
          <w:szCs w:val="22"/>
        </w:rPr>
        <w:t xml:space="preserve"> $103,510</w:t>
      </w:r>
    </w:p>
    <w:p w14:paraId="7B097DED" w14:textId="77777777" w:rsidR="00044CEF" w:rsidRDefault="00000000">
      <w:pPr>
        <w:numPr>
          <w:ilvl w:val="3"/>
          <w:numId w:val="3"/>
        </w:numPr>
        <w:pBdr>
          <w:top w:val="nil"/>
          <w:left w:val="nil"/>
          <w:bottom w:val="nil"/>
          <w:right w:val="nil"/>
          <w:between w:val="nil"/>
        </w:pBdr>
        <w:ind w:left="630"/>
      </w:pPr>
      <w:r>
        <w:rPr>
          <w:b/>
          <w:sz w:val="22"/>
          <w:szCs w:val="22"/>
        </w:rPr>
        <w:t xml:space="preserve">Equipment: </w:t>
      </w:r>
      <w:r>
        <w:rPr>
          <w:sz w:val="22"/>
          <w:szCs w:val="22"/>
        </w:rPr>
        <w:t>$0</w:t>
      </w:r>
    </w:p>
    <w:p w14:paraId="3630D3FA" w14:textId="77777777" w:rsidR="00044CEF" w:rsidRDefault="00000000">
      <w:pPr>
        <w:numPr>
          <w:ilvl w:val="3"/>
          <w:numId w:val="3"/>
        </w:numPr>
        <w:pBdr>
          <w:top w:val="nil"/>
          <w:left w:val="nil"/>
          <w:bottom w:val="nil"/>
          <w:right w:val="nil"/>
          <w:between w:val="nil"/>
        </w:pBdr>
        <w:ind w:left="630"/>
      </w:pPr>
      <w:r>
        <w:rPr>
          <w:b/>
          <w:sz w:val="22"/>
          <w:szCs w:val="22"/>
        </w:rPr>
        <w:t>Supplies:</w:t>
      </w:r>
      <w:r>
        <w:rPr>
          <w:sz w:val="22"/>
          <w:szCs w:val="22"/>
        </w:rPr>
        <w:t xml:space="preserve"> $1,222,167</w:t>
      </w:r>
    </w:p>
    <w:p w14:paraId="0A40E06F" w14:textId="77777777" w:rsidR="00044CEF" w:rsidRDefault="00000000">
      <w:pPr>
        <w:numPr>
          <w:ilvl w:val="3"/>
          <w:numId w:val="3"/>
        </w:numPr>
        <w:pBdr>
          <w:top w:val="nil"/>
          <w:left w:val="nil"/>
          <w:bottom w:val="nil"/>
          <w:right w:val="nil"/>
          <w:between w:val="nil"/>
        </w:pBdr>
        <w:ind w:left="630"/>
      </w:pPr>
      <w:r>
        <w:rPr>
          <w:b/>
          <w:sz w:val="22"/>
          <w:szCs w:val="22"/>
        </w:rPr>
        <w:t>Contractual</w:t>
      </w:r>
      <w:r>
        <w:rPr>
          <w:sz w:val="22"/>
          <w:szCs w:val="22"/>
        </w:rPr>
        <w:t>: $120,061,826</w:t>
      </w:r>
    </w:p>
    <w:p w14:paraId="75EEC828" w14:textId="77777777" w:rsidR="00044CEF" w:rsidRDefault="00000000">
      <w:pPr>
        <w:numPr>
          <w:ilvl w:val="3"/>
          <w:numId w:val="3"/>
        </w:numPr>
        <w:pBdr>
          <w:top w:val="nil"/>
          <w:left w:val="nil"/>
          <w:bottom w:val="nil"/>
          <w:right w:val="nil"/>
          <w:between w:val="nil"/>
        </w:pBdr>
        <w:ind w:left="630"/>
      </w:pPr>
      <w:r>
        <w:rPr>
          <w:b/>
          <w:sz w:val="22"/>
          <w:szCs w:val="22"/>
        </w:rPr>
        <w:t>Other:</w:t>
      </w:r>
      <w:r>
        <w:rPr>
          <w:sz w:val="22"/>
          <w:szCs w:val="22"/>
        </w:rPr>
        <w:t xml:space="preserve"> $69,381,933</w:t>
      </w:r>
    </w:p>
    <w:p w14:paraId="64818B75" w14:textId="42DF9524" w:rsidR="00044CEF" w:rsidRDefault="00000000">
      <w:pPr>
        <w:numPr>
          <w:ilvl w:val="3"/>
          <w:numId w:val="3"/>
        </w:numPr>
        <w:pBdr>
          <w:top w:val="nil"/>
          <w:left w:val="nil"/>
          <w:bottom w:val="nil"/>
          <w:right w:val="nil"/>
          <w:between w:val="nil"/>
        </w:pBdr>
        <w:ind w:left="630"/>
      </w:pPr>
      <w:r>
        <w:rPr>
          <w:b/>
          <w:sz w:val="22"/>
          <w:szCs w:val="22"/>
        </w:rPr>
        <w:t>Indirect:</w:t>
      </w:r>
      <w:r>
        <w:rPr>
          <w:sz w:val="22"/>
          <w:szCs w:val="22"/>
        </w:rPr>
        <w:t xml:space="preserve"> $1,446,986</w:t>
      </w:r>
    </w:p>
    <w:p w14:paraId="58CFFB1E" w14:textId="77777777" w:rsidR="00044CEF" w:rsidRDefault="00000000" w:rsidP="00C53E84">
      <w:pPr>
        <w:pBdr>
          <w:top w:val="nil"/>
          <w:left w:val="nil"/>
          <w:bottom w:val="nil"/>
          <w:right w:val="nil"/>
          <w:between w:val="nil"/>
        </w:pBdr>
        <w:ind w:left="630"/>
        <w:rPr>
          <w:sz w:val="22"/>
          <w:szCs w:val="22"/>
        </w:rPr>
      </w:pPr>
      <w:r>
        <w:rPr>
          <w:b/>
          <w:sz w:val="22"/>
          <w:szCs w:val="22"/>
        </w:rPr>
        <w:t xml:space="preserve">Total: </w:t>
      </w:r>
      <w:r>
        <w:rPr>
          <w:sz w:val="22"/>
          <w:szCs w:val="22"/>
        </w:rPr>
        <w:t xml:space="preserve"> $199,999,999</w:t>
      </w:r>
    </w:p>
    <w:p w14:paraId="3DE19227" w14:textId="77777777" w:rsidR="00044CEF" w:rsidRDefault="00044CEF">
      <w:pPr>
        <w:pBdr>
          <w:top w:val="nil"/>
          <w:left w:val="nil"/>
          <w:bottom w:val="nil"/>
          <w:right w:val="nil"/>
          <w:between w:val="nil"/>
        </w:pBdr>
        <w:ind w:left="2160" w:firstLine="720"/>
        <w:rPr>
          <w:b/>
          <w:sz w:val="22"/>
          <w:szCs w:val="22"/>
        </w:rPr>
      </w:pPr>
    </w:p>
    <w:p w14:paraId="11B0BD5C" w14:textId="77777777" w:rsidR="00044CEF" w:rsidRDefault="00000000">
      <w:pPr>
        <w:pBdr>
          <w:top w:val="nil"/>
          <w:left w:val="nil"/>
          <w:bottom w:val="nil"/>
          <w:right w:val="nil"/>
          <w:between w:val="nil"/>
        </w:pBdr>
        <w:jc w:val="both"/>
        <w:rPr>
          <w:b/>
          <w:color w:val="333333"/>
          <w:sz w:val="22"/>
          <w:szCs w:val="22"/>
          <w:highlight w:val="white"/>
        </w:rPr>
      </w:pPr>
      <w:r>
        <w:rPr>
          <w:b/>
          <w:color w:val="467886"/>
          <w:sz w:val="22"/>
          <w:szCs w:val="22"/>
          <w:u w:val="single"/>
        </w:rPr>
        <w:t>Expenditure of Awarded Funds:</w:t>
      </w:r>
      <w:r>
        <w:rPr>
          <w:b/>
          <w:color w:val="467886"/>
          <w:sz w:val="22"/>
          <w:szCs w:val="22"/>
        </w:rPr>
        <w:t xml:space="preserve"> </w:t>
      </w:r>
      <w:r>
        <w:rPr>
          <w:sz w:val="22"/>
          <w:szCs w:val="22"/>
        </w:rPr>
        <w:t xml:space="preserve">TBRPC is a regional planning council governed by elected county and municipal representatives, gubernatorial appointees, and non-voting ex officio representing state and regional agencies. Its broad membership of leaders provides it with a depth of experience, and it provides regional oversight focused </w:t>
      </w:r>
      <w:r>
        <w:rPr>
          <w:sz w:val="22"/>
          <w:szCs w:val="22"/>
          <w:highlight w:val="white"/>
        </w:rPr>
        <w:t xml:space="preserve">on fostering communication, coordination, and collaboration in identifying and addressing issues and needs regionally. As the lead entity for Clean Air Tampa Bay’s PCAP process, the professional staff has immediate experience in managing U.S. EPA funds. </w:t>
      </w:r>
    </w:p>
    <w:p w14:paraId="445D2812" w14:textId="77777777" w:rsidR="00044CEF" w:rsidRDefault="00044CEF">
      <w:pPr>
        <w:jc w:val="both"/>
        <w:rPr>
          <w:b/>
          <w:color w:val="333333"/>
          <w:sz w:val="22"/>
          <w:szCs w:val="22"/>
          <w:highlight w:val="white"/>
        </w:rPr>
      </w:pPr>
    </w:p>
    <w:p w14:paraId="44D7167A" w14:textId="77777777" w:rsidR="00044CEF" w:rsidRDefault="00000000">
      <w:pPr>
        <w:jc w:val="both"/>
        <w:rPr>
          <w:sz w:val="22"/>
          <w:szCs w:val="22"/>
        </w:rPr>
      </w:pPr>
      <w:r>
        <w:rPr>
          <w:b/>
          <w:color w:val="467886"/>
          <w:sz w:val="22"/>
          <w:szCs w:val="22"/>
          <w:u w:val="single"/>
        </w:rPr>
        <w:t>Approach:</w:t>
      </w:r>
      <w:r>
        <w:rPr>
          <w:b/>
          <w:color w:val="333333"/>
          <w:sz w:val="22"/>
          <w:szCs w:val="22"/>
        </w:rPr>
        <w:t xml:space="preserve"> </w:t>
      </w:r>
      <w:r>
        <w:rPr>
          <w:sz w:val="22"/>
          <w:szCs w:val="22"/>
        </w:rPr>
        <w:t xml:space="preserve">TBRPC </w:t>
      </w:r>
      <w:proofErr w:type="gramStart"/>
      <w:r>
        <w:rPr>
          <w:sz w:val="22"/>
          <w:szCs w:val="22"/>
        </w:rPr>
        <w:t>will</w:t>
      </w:r>
      <w:proofErr w:type="gramEnd"/>
      <w:r>
        <w:rPr>
          <w:sz w:val="22"/>
          <w:szCs w:val="22"/>
        </w:rPr>
        <w:t xml:space="preserve"> subaward to all Coalition members (Sarasota County, Orange County, City of Jacksonville, City of Orlando, Osceola County; Seminole County; and the City of Orlando); successful grantees in the TSPC MSA and NPSB MSA; and to the City of Winter Park and the City of Kissimmee who are included as subawards in the application. As the applicant, TBRPC will have the ultimate responsibility to ensure that grant funding is spent </w:t>
      </w:r>
      <w:proofErr w:type="gramStart"/>
      <w:r>
        <w:rPr>
          <w:sz w:val="22"/>
          <w:szCs w:val="22"/>
        </w:rPr>
        <w:t>properly</w:t>
      </w:r>
      <w:proofErr w:type="gramEnd"/>
      <w:r>
        <w:rPr>
          <w:sz w:val="22"/>
          <w:szCs w:val="22"/>
        </w:rPr>
        <w:t xml:space="preserve"> and program goals are met in a timely fashion. Towards this </w:t>
      </w:r>
      <w:r>
        <w:rPr>
          <w:sz w:val="22"/>
          <w:szCs w:val="22"/>
        </w:rPr>
        <w:lastRenderedPageBreak/>
        <w:t xml:space="preserve">end, TBRPC is hiring program staff to oversee grant management for projects within its MSA and also to oversee programmatic goals and grant funding. All Coalition members and </w:t>
      </w:r>
      <w:proofErr w:type="spellStart"/>
      <w:r>
        <w:rPr>
          <w:sz w:val="22"/>
          <w:szCs w:val="22"/>
        </w:rPr>
        <w:t>subawardees</w:t>
      </w:r>
      <w:proofErr w:type="spellEnd"/>
      <w:r>
        <w:rPr>
          <w:sz w:val="22"/>
          <w:szCs w:val="22"/>
        </w:rPr>
        <w:t xml:space="preserve"> will be required to hire staffing to oversee grant requirements, manage EPA funding, ensure project completion, and complete semi-annual progress reports summarizing technical progress, accomplishments, and milestones achieved, planned activities for the next six months, a summary of expenditures to date, and progress on community engagement. Coalition members will also help guide and advise communities in their MSA as they implement projects and require grant guidance. </w:t>
      </w:r>
    </w:p>
    <w:p w14:paraId="0A861B4B" w14:textId="77777777" w:rsidR="00044CEF" w:rsidRDefault="00044CEF">
      <w:pPr>
        <w:jc w:val="both"/>
        <w:rPr>
          <w:sz w:val="22"/>
          <w:szCs w:val="22"/>
        </w:rPr>
      </w:pPr>
    </w:p>
    <w:p w14:paraId="55D1BEF9" w14:textId="77777777" w:rsidR="00044CEF" w:rsidRDefault="00000000">
      <w:pPr>
        <w:jc w:val="both"/>
        <w:rPr>
          <w:sz w:val="22"/>
          <w:szCs w:val="22"/>
        </w:rPr>
      </w:pPr>
      <w:r>
        <w:rPr>
          <w:sz w:val="22"/>
          <w:szCs w:val="22"/>
        </w:rPr>
        <w:t xml:space="preserve">MSA leads will be required to appoint a lead at their city or county that will be the main point of contact. An initial meeting with all MSA leads, Coalition members and named </w:t>
      </w:r>
      <w:proofErr w:type="spellStart"/>
      <w:r>
        <w:rPr>
          <w:sz w:val="22"/>
          <w:szCs w:val="22"/>
        </w:rPr>
        <w:t>subawardees</w:t>
      </w:r>
      <w:proofErr w:type="spellEnd"/>
      <w:r>
        <w:rPr>
          <w:sz w:val="22"/>
          <w:szCs w:val="22"/>
        </w:rPr>
        <w:t xml:space="preserve"> will ensure that group clearly understands goals and responsibilities within the work plan and clear lines of communication. Courtney Wright, Senior Planner for TBRPC, will host quarterly calls with all MSA leads that will include the lead contact or his/her delegate when away from work. These calls will check in on technical progress, accomplishments, and milestones achieved, upcoming activities, a summary of expenditures to date, and progress on community engagement. There will be one annual in person meeting that each MSA lead will host on a rotating basis. This will be a chance for each region to learn from each other and share ideas on how to pursue additional funding and partnerships to further reduce GHG emissions. </w:t>
      </w:r>
    </w:p>
    <w:p w14:paraId="6A982F2B" w14:textId="77777777" w:rsidR="00044CEF" w:rsidRDefault="00044CEF">
      <w:pPr>
        <w:jc w:val="both"/>
        <w:rPr>
          <w:sz w:val="22"/>
          <w:szCs w:val="22"/>
        </w:rPr>
      </w:pPr>
    </w:p>
    <w:p w14:paraId="6B568738" w14:textId="77777777" w:rsidR="00044CEF" w:rsidRDefault="00000000">
      <w:pPr>
        <w:jc w:val="both"/>
        <w:rPr>
          <w:sz w:val="22"/>
          <w:szCs w:val="22"/>
        </w:rPr>
      </w:pPr>
      <w:r>
        <w:rPr>
          <w:sz w:val="22"/>
          <w:szCs w:val="22"/>
        </w:rPr>
        <w:t xml:space="preserve">The bi-weekly check meetings will allow Courtney to identify problems with projects not remaining on schedule before a six-month progress report. This will allow TBRPC and the Coalition lead to work with a </w:t>
      </w:r>
      <w:proofErr w:type="spellStart"/>
      <w:r>
        <w:rPr>
          <w:sz w:val="22"/>
          <w:szCs w:val="22"/>
        </w:rPr>
        <w:t>subawardee</w:t>
      </w:r>
      <w:proofErr w:type="spellEnd"/>
      <w:r>
        <w:rPr>
          <w:sz w:val="22"/>
          <w:szCs w:val="22"/>
        </w:rPr>
        <w:t xml:space="preserve"> to address problems and keep their EPA Program Officer up to date on issues. </w:t>
      </w:r>
    </w:p>
    <w:p w14:paraId="718E602F" w14:textId="77777777" w:rsidR="00044CEF" w:rsidRDefault="00044CEF">
      <w:pPr>
        <w:jc w:val="both"/>
        <w:rPr>
          <w:sz w:val="22"/>
          <w:szCs w:val="22"/>
        </w:rPr>
      </w:pPr>
    </w:p>
    <w:p w14:paraId="7E0CDA0A" w14:textId="77777777" w:rsidR="00044CEF" w:rsidRDefault="00000000">
      <w:pPr>
        <w:jc w:val="both"/>
        <w:rPr>
          <w:color w:val="333333"/>
          <w:sz w:val="22"/>
          <w:szCs w:val="22"/>
        </w:rPr>
      </w:pPr>
      <w:r>
        <w:rPr>
          <w:b/>
          <w:color w:val="467886"/>
          <w:sz w:val="22"/>
          <w:szCs w:val="22"/>
          <w:u w:val="single"/>
        </w:rPr>
        <w:t>Controls:</w:t>
      </w:r>
      <w:r>
        <w:rPr>
          <w:b/>
          <w:sz w:val="22"/>
          <w:szCs w:val="22"/>
        </w:rPr>
        <w:t xml:space="preserve"> </w:t>
      </w:r>
      <w:r>
        <w:rPr>
          <w:color w:val="333333"/>
          <w:sz w:val="22"/>
          <w:szCs w:val="22"/>
        </w:rPr>
        <w:t xml:space="preserve">For internal controls and grant management, Sarah Vitale, TBRPC </w:t>
      </w:r>
      <w:r>
        <w:rPr>
          <w:sz w:val="22"/>
          <w:szCs w:val="22"/>
        </w:rPr>
        <w:t>Planning Director,</w:t>
      </w:r>
      <w:r>
        <w:rPr>
          <w:b/>
          <w:i/>
          <w:sz w:val="22"/>
          <w:szCs w:val="22"/>
        </w:rPr>
        <w:t xml:space="preserve"> </w:t>
      </w:r>
      <w:r>
        <w:rPr>
          <w:color w:val="212121"/>
          <w:sz w:val="22"/>
          <w:szCs w:val="22"/>
        </w:rPr>
        <w:t xml:space="preserve">will ensure that fiscal records remain in conformance with </w:t>
      </w:r>
      <w:r>
        <w:rPr>
          <w:color w:val="333333"/>
          <w:sz w:val="22"/>
          <w:szCs w:val="22"/>
        </w:rPr>
        <w:t>Uniform Administrative Requirements, Cost Principles and Audit Requirements for Federal Awards; Title 2 CFR Part 200 and 2 CFR Part 1500. Sarah will also review its official award document for additional administrative and programmatic requirements not included in the NOFO and</w:t>
      </w:r>
      <w:r>
        <w:rPr>
          <w:b/>
          <w:color w:val="333333"/>
          <w:sz w:val="22"/>
          <w:szCs w:val="22"/>
        </w:rPr>
        <w:t xml:space="preserve"> </w:t>
      </w:r>
      <w:r>
        <w:rPr>
          <w:color w:val="333333"/>
          <w:sz w:val="22"/>
          <w:szCs w:val="22"/>
        </w:rPr>
        <w:t xml:space="preserve">obtain a single audit from an independent auditor. </w:t>
      </w:r>
      <w:r>
        <w:rPr>
          <w:sz w:val="22"/>
          <w:szCs w:val="22"/>
        </w:rPr>
        <w:t xml:space="preserve">When drawing down funds, Sarah will request only the minimum amounts needed for actual and immediate cash requirements to pay employees, contractors, subrecipients or to satisfy other obligations for allowable costs under this assistance agreement. </w:t>
      </w:r>
    </w:p>
    <w:p w14:paraId="4E15B249" w14:textId="77777777" w:rsidR="00044CEF" w:rsidRDefault="00044CEF">
      <w:pPr>
        <w:jc w:val="both"/>
        <w:rPr>
          <w:b/>
          <w:color w:val="333333"/>
          <w:sz w:val="22"/>
          <w:szCs w:val="22"/>
          <w:highlight w:val="white"/>
        </w:rPr>
      </w:pPr>
    </w:p>
    <w:p w14:paraId="31656FB7" w14:textId="77777777" w:rsidR="00044CEF" w:rsidRDefault="00000000">
      <w:pPr>
        <w:jc w:val="both"/>
        <w:rPr>
          <w:sz w:val="22"/>
          <w:szCs w:val="22"/>
        </w:rPr>
      </w:pPr>
      <w:r>
        <w:rPr>
          <w:color w:val="333333"/>
          <w:sz w:val="22"/>
          <w:szCs w:val="22"/>
          <w:highlight w:val="white"/>
        </w:rPr>
        <w:t xml:space="preserve">For external controls, </w:t>
      </w:r>
      <w:r>
        <w:rPr>
          <w:sz w:val="22"/>
          <w:szCs w:val="22"/>
          <w:highlight w:val="white"/>
        </w:rPr>
        <w:t xml:space="preserve">Wren </w:t>
      </w:r>
      <w:proofErr w:type="spellStart"/>
      <w:r>
        <w:rPr>
          <w:sz w:val="22"/>
          <w:szCs w:val="22"/>
          <w:highlight w:val="white"/>
        </w:rPr>
        <w:t>Krahl</w:t>
      </w:r>
      <w:proofErr w:type="spellEnd"/>
      <w:r>
        <w:rPr>
          <w:sz w:val="22"/>
          <w:szCs w:val="22"/>
          <w:highlight w:val="white"/>
        </w:rPr>
        <w:t>, Executive Director,</w:t>
      </w:r>
      <w:r>
        <w:rPr>
          <w:color w:val="333333"/>
          <w:sz w:val="22"/>
          <w:szCs w:val="22"/>
          <w:highlight w:val="white"/>
        </w:rPr>
        <w:t xml:space="preserve"> </w:t>
      </w:r>
      <w:r>
        <w:rPr>
          <w:sz w:val="22"/>
          <w:szCs w:val="22"/>
        </w:rPr>
        <w:t xml:space="preserve">will review subaward agreements to ensure that the recipient must comply with applicable subaward provisions of 2 CFR Part 200, the EPA Subaward Policy, and EPA’s General Term and Condition for Subawards. Wren will also: </w:t>
      </w:r>
    </w:p>
    <w:p w14:paraId="1B7B871D" w14:textId="77777777" w:rsidR="00044CEF" w:rsidRDefault="00000000">
      <w:pPr>
        <w:numPr>
          <w:ilvl w:val="0"/>
          <w:numId w:val="8"/>
        </w:numPr>
        <w:ind w:left="360"/>
        <w:jc w:val="both"/>
        <w:rPr>
          <w:color w:val="333333"/>
          <w:sz w:val="22"/>
          <w:szCs w:val="22"/>
          <w:highlight w:val="white"/>
        </w:rPr>
      </w:pPr>
      <w:r>
        <w:rPr>
          <w:color w:val="333333"/>
          <w:sz w:val="22"/>
          <w:szCs w:val="22"/>
          <w:highlight w:val="white"/>
        </w:rPr>
        <w:t xml:space="preserve">Advise </w:t>
      </w:r>
      <w:proofErr w:type="spellStart"/>
      <w:r>
        <w:rPr>
          <w:color w:val="333333"/>
          <w:sz w:val="22"/>
          <w:szCs w:val="22"/>
          <w:highlight w:val="white"/>
        </w:rPr>
        <w:t>subawardees</w:t>
      </w:r>
      <w:proofErr w:type="spellEnd"/>
      <w:r>
        <w:rPr>
          <w:color w:val="333333"/>
          <w:sz w:val="22"/>
          <w:szCs w:val="22"/>
          <w:highlight w:val="white"/>
        </w:rPr>
        <w:t xml:space="preserve"> to have adequate systems in place to comply with 2 CFR 200.331, 2 CFR 200.332 and Section 9.0 of U.S. EPA’s Subaward Policy during post-award monitoring.</w:t>
      </w:r>
    </w:p>
    <w:p w14:paraId="6CFB2FE2" w14:textId="77777777" w:rsidR="00044CEF" w:rsidRDefault="00000000">
      <w:pPr>
        <w:numPr>
          <w:ilvl w:val="0"/>
          <w:numId w:val="8"/>
        </w:numPr>
        <w:ind w:left="360"/>
        <w:jc w:val="both"/>
        <w:rPr>
          <w:color w:val="333333"/>
          <w:sz w:val="22"/>
          <w:szCs w:val="22"/>
          <w:highlight w:val="white"/>
        </w:rPr>
      </w:pPr>
      <w:r>
        <w:rPr>
          <w:color w:val="333333"/>
          <w:sz w:val="22"/>
          <w:szCs w:val="22"/>
          <w:highlight w:val="white"/>
        </w:rPr>
        <w:t xml:space="preserve">Require that </w:t>
      </w:r>
      <w:proofErr w:type="spellStart"/>
      <w:r>
        <w:rPr>
          <w:color w:val="333333"/>
          <w:sz w:val="22"/>
          <w:szCs w:val="22"/>
          <w:highlight w:val="white"/>
        </w:rPr>
        <w:t>subawardees</w:t>
      </w:r>
      <w:proofErr w:type="spellEnd"/>
      <w:r>
        <w:rPr>
          <w:color w:val="333333"/>
          <w:sz w:val="22"/>
          <w:szCs w:val="22"/>
          <w:highlight w:val="white"/>
        </w:rPr>
        <w:t xml:space="preserve"> effectively monitor the performance of subrecipients and include their accomplishments and progress in their </w:t>
      </w:r>
      <w:r>
        <w:rPr>
          <w:sz w:val="22"/>
          <w:szCs w:val="22"/>
        </w:rPr>
        <w:t xml:space="preserve">semi-annual progress reports. </w:t>
      </w:r>
    </w:p>
    <w:p w14:paraId="7B68F4D2" w14:textId="77777777" w:rsidR="00044CEF" w:rsidRDefault="00000000">
      <w:pPr>
        <w:numPr>
          <w:ilvl w:val="0"/>
          <w:numId w:val="8"/>
        </w:numPr>
        <w:ind w:left="360"/>
        <w:jc w:val="both"/>
        <w:rPr>
          <w:color w:val="333333"/>
          <w:sz w:val="22"/>
          <w:szCs w:val="22"/>
          <w:highlight w:val="white"/>
        </w:rPr>
      </w:pPr>
      <w:r>
        <w:rPr>
          <w:color w:val="333333"/>
          <w:sz w:val="22"/>
          <w:szCs w:val="22"/>
          <w:highlight w:val="white"/>
        </w:rPr>
        <w:t xml:space="preserve">Including program-specific terms and conditions relating to subawards in agreements. </w:t>
      </w:r>
    </w:p>
    <w:p w14:paraId="048528EF" w14:textId="77777777" w:rsidR="00044CEF" w:rsidRDefault="00044CEF">
      <w:pPr>
        <w:jc w:val="both"/>
        <w:rPr>
          <w:sz w:val="22"/>
          <w:szCs w:val="22"/>
        </w:rPr>
      </w:pPr>
    </w:p>
    <w:p w14:paraId="620E7B86" w14:textId="796F68F6" w:rsidR="00044CEF" w:rsidRDefault="00000000" w:rsidP="00C53E84">
      <w:pPr>
        <w:jc w:val="both"/>
        <w:rPr>
          <w:rFonts w:ascii="Times New Roman" w:eastAsia="Times New Roman" w:hAnsi="Times New Roman" w:cs="Times New Roman"/>
        </w:rPr>
      </w:pPr>
      <w:r>
        <w:rPr>
          <w:sz w:val="22"/>
          <w:szCs w:val="22"/>
        </w:rPr>
        <w:t xml:space="preserve">Wren will work closely with EPA Program Officers to ensure that all </w:t>
      </w:r>
      <w:proofErr w:type="spellStart"/>
      <w:r>
        <w:rPr>
          <w:sz w:val="22"/>
          <w:szCs w:val="22"/>
        </w:rPr>
        <w:t>subawardee</w:t>
      </w:r>
      <w:proofErr w:type="spellEnd"/>
      <w:r>
        <w:rPr>
          <w:sz w:val="22"/>
          <w:szCs w:val="22"/>
        </w:rPr>
        <w:t xml:space="preserve"> or subrecipients are approved if they were not named in the application. </w:t>
      </w:r>
    </w:p>
    <w:p w14:paraId="1CF7695B" w14:textId="77777777" w:rsidR="00C53E84" w:rsidRDefault="00C53E84" w:rsidP="00C53E84">
      <w:pPr>
        <w:jc w:val="both"/>
        <w:rPr>
          <w:rFonts w:ascii="Times New Roman" w:eastAsia="Times New Roman" w:hAnsi="Times New Roman" w:cs="Times New Roman"/>
        </w:rPr>
      </w:pPr>
    </w:p>
    <w:p w14:paraId="60A5A59C" w14:textId="77777777" w:rsidR="00044CEF" w:rsidRDefault="00000000">
      <w:pPr>
        <w:pBdr>
          <w:top w:val="nil"/>
          <w:left w:val="nil"/>
          <w:bottom w:val="nil"/>
          <w:right w:val="nil"/>
          <w:between w:val="nil"/>
        </w:pBdr>
        <w:rPr>
          <w:rFonts w:ascii="Times New Roman" w:eastAsia="Times New Roman" w:hAnsi="Times New Roman" w:cs="Times New Roman"/>
          <w:color w:val="FF0000"/>
        </w:rPr>
      </w:pPr>
      <w:r>
        <w:rPr>
          <w:b/>
          <w:color w:val="E69243"/>
          <w:sz w:val="22"/>
          <w:szCs w:val="22"/>
        </w:rPr>
        <w:t xml:space="preserve">7.2 Reasonableness of Costs </w:t>
      </w:r>
    </w:p>
    <w:p w14:paraId="6AD58AEA" w14:textId="3F8FF516" w:rsidR="00044CEF" w:rsidRPr="00C53E84" w:rsidRDefault="00000000" w:rsidP="00C53E84">
      <w:pPr>
        <w:jc w:val="both"/>
        <w:rPr>
          <w:rFonts w:ascii="Times New Roman" w:eastAsia="Times New Roman" w:hAnsi="Times New Roman" w:cs="Times New Roman"/>
          <w:color w:val="FF0000"/>
        </w:rPr>
      </w:pPr>
      <w:r>
        <w:rPr>
          <w:sz w:val="22"/>
          <w:szCs w:val="22"/>
        </w:rPr>
        <w:t>All project costs will advance the implementation of the proposed GHG Reduction Measures and are responsive to the goals of the CPRG Program. Appendix A. Budget Spreadsheet &amp; Narrative</w:t>
      </w:r>
      <w:r>
        <w:rPr>
          <w:b/>
          <w:sz w:val="22"/>
          <w:szCs w:val="22"/>
        </w:rPr>
        <w:t xml:space="preserve"> </w:t>
      </w:r>
      <w:r>
        <w:rPr>
          <w:sz w:val="22"/>
          <w:szCs w:val="22"/>
        </w:rPr>
        <w:t xml:space="preserve">includes a detailed justification of costs, including a detailed breakout of requested funding for each component of the project scope. </w:t>
      </w:r>
    </w:p>
    <w:sectPr w:rsidR="00044CEF" w:rsidRPr="00C53E84">
      <w:footerReference w:type="default" r:id="rId36"/>
      <w:footerReference w:type="first" r:id="rId37"/>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A1E4FB" w14:textId="77777777" w:rsidR="008C7B83" w:rsidRDefault="008C7B83">
      <w:r>
        <w:separator/>
      </w:r>
    </w:p>
  </w:endnote>
  <w:endnote w:type="continuationSeparator" w:id="0">
    <w:p w14:paraId="362D7F89" w14:textId="77777777" w:rsidR="008C7B83" w:rsidRDefault="008C7B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EFB5F1CB-5D3D-7948-AF89-EB6CF0DA711B}"/>
    <w:embedBold r:id="rId2" w:fontKey="{615A917F-C125-DD42-A131-F2593605A98F}"/>
    <w:embedItalic r:id="rId3" w:fontKey="{634AA2C4-C7CF-A84A-9186-330E848EF5DD}"/>
  </w:font>
  <w:font w:name="Calibri">
    <w:panose1 w:val="020F0502020204030204"/>
    <w:charset w:val="00"/>
    <w:family w:val="swiss"/>
    <w:pitch w:val="variable"/>
    <w:sig w:usb0="E0002AFF" w:usb1="C000247B" w:usb2="00000009" w:usb3="00000000" w:csb0="000001FF" w:csb1="00000000"/>
    <w:embedRegular r:id="rId4" w:fontKey="{33597441-6662-944B-9B2D-9F9218DAA5B7}"/>
    <w:embedBold r:id="rId5" w:fontKey="{8D1182DF-45D5-D346-9349-30D62B51347D}"/>
    <w:embedItalic r:id="rId6" w:fontKey="{28BF4DD3-5352-EB4F-A46D-26E9C68C1DBA}"/>
    <w:embedBoldItalic r:id="rId7" w:fontKey="{4F5266F0-5352-1E42-A2A9-F531B93365F2}"/>
  </w:font>
  <w:font w:name="Georgia">
    <w:panose1 w:val="02040502050405020303"/>
    <w:charset w:val="00"/>
    <w:family w:val="roman"/>
    <w:pitch w:val="variable"/>
    <w:sig w:usb0="00000287" w:usb1="00000000" w:usb2="00000000" w:usb3="00000000" w:csb0="0000009F" w:csb1="00000000"/>
    <w:embedRegular r:id="rId8" w:fontKey="{5B65D8ED-AA1A-1647-8F84-1A2F0B8F7A51}"/>
    <w:embedItalic r:id="rId9" w:fontKey="{4C49EA68-2686-5C44-8BA4-0F4AA401B577}"/>
  </w:font>
  <w:font w:name="Arial">
    <w:panose1 w:val="020B0604020202020204"/>
    <w:charset w:val="00"/>
    <w:family w:val="swiss"/>
    <w:pitch w:val="variable"/>
    <w:sig w:usb0="E0002AFF" w:usb1="C0007843" w:usb2="00000009" w:usb3="00000000" w:csb0="000001FF" w:csb1="00000000"/>
    <w:embedRegular r:id="rId10" w:fontKey="{8755231E-DF0C-B342-A2B0-F53B0C27F687}"/>
  </w:font>
  <w:font w:name="Roboto">
    <w:panose1 w:val="02000000000000000000"/>
    <w:charset w:val="00"/>
    <w:family w:val="auto"/>
    <w:pitch w:val="variable"/>
    <w:sig w:usb0="E0000AFF" w:usb1="5000217F" w:usb2="00000021" w:usb3="00000000" w:csb0="0000019F" w:csb1="00000000"/>
    <w:embedRegular r:id="rId11" w:fontKey="{36B503D7-4F66-DF44-9C88-AB9B48D0265F}"/>
  </w:font>
  <w:font w:name="Cambria">
    <w:panose1 w:val="02040503050406030204"/>
    <w:charset w:val="00"/>
    <w:family w:val="roman"/>
    <w:pitch w:val="variable"/>
    <w:sig w:usb0="E00006FF" w:usb1="420024FF" w:usb2="02000000" w:usb3="00000000" w:csb0="0000019F" w:csb1="00000000"/>
    <w:embedRegular r:id="rId12" w:fontKey="{7DDC668E-937A-D748-8328-B1EA4AAAEB0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8C5557" w14:textId="77777777" w:rsidR="00044CEF" w:rsidRDefault="00000000">
    <w:pPr>
      <w:jc w:val="right"/>
      <w:rPr>
        <w:sz w:val="22"/>
        <w:szCs w:val="22"/>
      </w:rPr>
    </w:pPr>
    <w:r>
      <w:rPr>
        <w:i/>
        <w:sz w:val="22"/>
        <w:szCs w:val="22"/>
      </w:rPr>
      <w:t xml:space="preserve">Sunshine State Energy Resilience Coalition CPRG Proposal </w:t>
    </w:r>
    <w:r>
      <w:rPr>
        <w:sz w:val="22"/>
        <w:szCs w:val="22"/>
      </w:rPr>
      <w:t xml:space="preserve">| </w:t>
    </w:r>
    <w:r>
      <w:rPr>
        <w:sz w:val="22"/>
        <w:szCs w:val="22"/>
      </w:rPr>
      <w:fldChar w:fldCharType="begin"/>
    </w:r>
    <w:r>
      <w:rPr>
        <w:sz w:val="22"/>
        <w:szCs w:val="22"/>
      </w:rPr>
      <w:instrText>PAGE</w:instrText>
    </w:r>
    <w:r>
      <w:rPr>
        <w:sz w:val="22"/>
        <w:szCs w:val="22"/>
      </w:rPr>
      <w:fldChar w:fldCharType="separate"/>
    </w:r>
    <w:r w:rsidR="00347DF6">
      <w:rPr>
        <w:noProof/>
        <w:sz w:val="22"/>
        <w:szCs w:val="22"/>
      </w:rPr>
      <w:t>1</w:t>
    </w:r>
    <w:r>
      <w:rPr>
        <w:sz w:val="22"/>
        <w:szCs w:val="22"/>
      </w:rPr>
      <w:fldChar w:fldCharType="end"/>
    </w:r>
    <w:r>
      <w:rPr>
        <w:sz w:val="22"/>
        <w:szCs w:val="22"/>
      </w:rPr>
      <w:t xml:space="preserve"> of </w:t>
    </w:r>
    <w:r>
      <w:rPr>
        <w:sz w:val="22"/>
        <w:szCs w:val="22"/>
      </w:rPr>
      <w:fldChar w:fldCharType="begin"/>
    </w:r>
    <w:r>
      <w:rPr>
        <w:sz w:val="22"/>
        <w:szCs w:val="22"/>
      </w:rPr>
      <w:instrText>NUMPAGES</w:instrText>
    </w:r>
    <w:r>
      <w:rPr>
        <w:sz w:val="22"/>
        <w:szCs w:val="22"/>
      </w:rPr>
      <w:fldChar w:fldCharType="separate"/>
    </w:r>
    <w:r w:rsidR="00347DF6">
      <w:rPr>
        <w:noProof/>
        <w:sz w:val="22"/>
        <w:szCs w:val="22"/>
      </w:rPr>
      <w:t>2</w:t>
    </w:r>
    <w:r>
      <w:rPr>
        <w:sz w:val="22"/>
        <w:szCs w:val="22"/>
      </w:rPr>
      <w:fldChar w:fldCharType="end"/>
    </w:r>
    <w:r>
      <w:rPr>
        <w:noProof/>
      </w:rPr>
      <w:drawing>
        <wp:anchor distT="114300" distB="114300" distL="114300" distR="114300" simplePos="0" relativeHeight="251658240" behindDoc="0" locked="0" layoutInCell="1" hidden="0" allowOverlap="1" wp14:anchorId="1A7F3CC9" wp14:editId="1E4BAEAF">
          <wp:simplePos x="0" y="0"/>
          <wp:positionH relativeFrom="column">
            <wp:posOffset>1</wp:posOffset>
          </wp:positionH>
          <wp:positionV relativeFrom="paragraph">
            <wp:posOffset>-66674</wp:posOffset>
          </wp:positionV>
          <wp:extent cx="890588" cy="303316"/>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l="5480" t="9595" r="4948" b="8608"/>
                  <a:stretch>
                    <a:fillRect/>
                  </a:stretch>
                </pic:blipFill>
                <pic:spPr>
                  <a:xfrm>
                    <a:off x="0" y="0"/>
                    <a:ext cx="890588" cy="303316"/>
                  </a:xfrm>
                  <a:prstGeom prst="rect">
                    <a:avLst/>
                  </a:prstGeom>
                  <a:ln/>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E21E30" w14:textId="77777777" w:rsidR="00044CEF" w:rsidRDefault="00000000">
    <w:pPr>
      <w:jc w:val="right"/>
    </w:pPr>
    <w:r>
      <w:fldChar w:fldCharType="begin"/>
    </w:r>
    <w:r>
      <w:instrText>PAGE</w:instrText>
    </w:r>
    <w:r>
      <w:fldChar w:fldCharType="separate"/>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FF9A80" w14:textId="77777777" w:rsidR="008C7B83" w:rsidRDefault="008C7B83">
      <w:r>
        <w:separator/>
      </w:r>
    </w:p>
  </w:footnote>
  <w:footnote w:type="continuationSeparator" w:id="0">
    <w:p w14:paraId="33BFA1C9" w14:textId="77777777" w:rsidR="008C7B83" w:rsidRDefault="008C7B8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744E18"/>
    <w:multiLevelType w:val="multilevel"/>
    <w:tmpl w:val="7D9AE1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253D45CD"/>
    <w:multiLevelType w:val="multilevel"/>
    <w:tmpl w:val="098EC9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322B65A8"/>
    <w:multiLevelType w:val="multilevel"/>
    <w:tmpl w:val="5C8252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375C7170"/>
    <w:multiLevelType w:val="multilevel"/>
    <w:tmpl w:val="2D7A319E"/>
    <w:lvl w:ilvl="0">
      <w:start w:val="1"/>
      <w:numFmt w:val="bullet"/>
      <w:lvlText w:val="●"/>
      <w:lvlJc w:val="left"/>
      <w:pPr>
        <w:ind w:left="720" w:hanging="360"/>
      </w:pPr>
      <w:rPr>
        <w:rFonts w:ascii="Calibri" w:eastAsia="Calibri" w:hAnsi="Calibri" w:cs="Calibri"/>
        <w:b w:val="0"/>
        <w:sz w:val="22"/>
        <w:szCs w:val="22"/>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3BA31714"/>
    <w:multiLevelType w:val="multilevel"/>
    <w:tmpl w:val="0088D9D0"/>
    <w:lvl w:ilvl="0">
      <w:start w:val="1"/>
      <w:numFmt w:val="decimal"/>
      <w:lvlText w:val="%1."/>
      <w:lvlJc w:val="left"/>
      <w:pPr>
        <w:ind w:left="720" w:hanging="360"/>
      </w:pPr>
      <w:rPr>
        <w:color w:val="000000"/>
      </w:rPr>
    </w:lvl>
    <w:lvl w:ilvl="1">
      <w:start w:val="1"/>
      <w:numFmt w:val="lowerLetter"/>
      <w:lvlText w:val="%2."/>
      <w:lvlJc w:val="left"/>
      <w:pPr>
        <w:ind w:left="360" w:hanging="360"/>
      </w:pPr>
      <w:rPr>
        <w:sz w:val="22"/>
        <w:szCs w:val="22"/>
      </w:rPr>
    </w:lvl>
    <w:lvl w:ilvl="2">
      <w:start w:val="1"/>
      <w:numFmt w:val="lowerRoman"/>
      <w:lvlText w:val="%3."/>
      <w:lvlJc w:val="right"/>
      <w:pPr>
        <w:ind w:left="2160" w:hanging="180"/>
      </w:pPr>
    </w:lvl>
    <w:lvl w:ilvl="3">
      <w:start w:val="1"/>
      <w:numFmt w:val="decimal"/>
      <w:lvlText w:val="%4."/>
      <w:lvlJc w:val="left"/>
      <w:pPr>
        <w:ind w:left="2880" w:hanging="360"/>
      </w:pPr>
      <w:rPr>
        <w:rFonts w:ascii="Calibri" w:eastAsia="Calibri" w:hAnsi="Calibri" w:cs="Calibri"/>
        <w:b/>
        <w:sz w:val="22"/>
        <w:szCs w:val="22"/>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490631B2"/>
    <w:multiLevelType w:val="multilevel"/>
    <w:tmpl w:val="76F615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5F161A82"/>
    <w:multiLevelType w:val="multilevel"/>
    <w:tmpl w:val="62B2E3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5FCD0810"/>
    <w:multiLevelType w:val="multilevel"/>
    <w:tmpl w:val="DE68D2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6D662E0A"/>
    <w:multiLevelType w:val="multilevel"/>
    <w:tmpl w:val="D0B8D5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6F8D3142"/>
    <w:multiLevelType w:val="multilevel"/>
    <w:tmpl w:val="FF18BF5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0" w15:restartNumberingAfterBreak="0">
    <w:nsid w:val="739D140F"/>
    <w:multiLevelType w:val="multilevel"/>
    <w:tmpl w:val="942826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764E575F"/>
    <w:multiLevelType w:val="multilevel"/>
    <w:tmpl w:val="4CC473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915624566">
    <w:abstractNumId w:val="5"/>
  </w:num>
  <w:num w:numId="2" w16cid:durableId="372196291">
    <w:abstractNumId w:val="6"/>
  </w:num>
  <w:num w:numId="3" w16cid:durableId="177622671">
    <w:abstractNumId w:val="4"/>
  </w:num>
  <w:num w:numId="4" w16cid:durableId="1998804940">
    <w:abstractNumId w:val="1"/>
  </w:num>
  <w:num w:numId="5" w16cid:durableId="1188982484">
    <w:abstractNumId w:val="2"/>
  </w:num>
  <w:num w:numId="6" w16cid:durableId="541137074">
    <w:abstractNumId w:val="7"/>
  </w:num>
  <w:num w:numId="7" w16cid:durableId="413168329">
    <w:abstractNumId w:val="8"/>
  </w:num>
  <w:num w:numId="8" w16cid:durableId="1054700012">
    <w:abstractNumId w:val="0"/>
  </w:num>
  <w:num w:numId="9" w16cid:durableId="1941913309">
    <w:abstractNumId w:val="11"/>
  </w:num>
  <w:num w:numId="10" w16cid:durableId="209194700">
    <w:abstractNumId w:val="10"/>
  </w:num>
  <w:num w:numId="11" w16cid:durableId="145442271">
    <w:abstractNumId w:val="9"/>
  </w:num>
  <w:num w:numId="12" w16cid:durableId="21674629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8"/>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44CEF"/>
    <w:rsid w:val="00044CEF"/>
    <w:rsid w:val="00347DF6"/>
    <w:rsid w:val="00553D54"/>
    <w:rsid w:val="008C7B83"/>
    <w:rsid w:val="00C53E8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3A6219F9"/>
  <w15:docId w15:val="{479FFA10-C3EF-F44C-906D-B3A7A06201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outlineLvl w:val="0"/>
    </w:pPr>
    <w:rPr>
      <w:b/>
      <w:color w:val="4472C4"/>
      <w:sz w:val="22"/>
      <w:szCs w:val="22"/>
      <w:u w:val="single"/>
    </w:rPr>
  </w:style>
  <w:style w:type="paragraph" w:styleId="Heading2">
    <w:name w:val="heading 2"/>
    <w:basedOn w:val="Normal"/>
    <w:next w:val="Normal"/>
    <w:uiPriority w:val="9"/>
    <w:unhideWhenUsed/>
    <w:qFormat/>
    <w:pPr>
      <w:keepNext/>
      <w:keepLines/>
      <w:outlineLvl w:val="1"/>
    </w:pPr>
    <w:rPr>
      <w:b/>
      <w:color w:val="185468"/>
      <w:sz w:val="22"/>
      <w:szCs w:val="22"/>
    </w:rPr>
  </w:style>
  <w:style w:type="paragraph" w:styleId="Heading3">
    <w:name w:val="heading 3"/>
    <w:basedOn w:val="Normal"/>
    <w:next w:val="Normal"/>
    <w:uiPriority w:val="9"/>
    <w:unhideWhenUsed/>
    <w:qFormat/>
    <w:pPr>
      <w:keepNext/>
      <w:keepLines/>
      <w:jc w:val="both"/>
      <w:outlineLvl w:val="2"/>
    </w:pPr>
    <w:rPr>
      <w:b/>
      <w:color w:val="E69243"/>
      <w:sz w:val="22"/>
      <w:szCs w:val="22"/>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hyperlink" Target="https://energyresearch.ucf.edu/" TargetMode="External"/><Relationship Id="rId18" Type="http://schemas.openxmlformats.org/officeDocument/2006/relationships/hyperlink" Target="https://www.epa.gov/system/files/documents/2024-03/north-port-sarasota-bradenton-msa-pcap.pdf" TargetMode="External"/><Relationship Id="rId26" Type="http://schemas.openxmlformats.org/officeDocument/2006/relationships/hyperlink" Target="https://www.epa.gov/avert" TargetMode="External"/><Relationship Id="rId39" Type="http://schemas.openxmlformats.org/officeDocument/2006/relationships/theme" Target="theme/theme1.xml"/><Relationship Id="rId21" Type="http://schemas.openxmlformats.org/officeDocument/2006/relationships/hyperlink" Target="https://www.energy.gov/scep/local-government-energy-program" TargetMode="External"/><Relationship Id="rId34" Type="http://schemas.openxmlformats.org/officeDocument/2006/relationships/hyperlink" Target="mailto:gvaday@eda.gov" TargetMode="External"/><Relationship Id="rId7" Type="http://schemas.openxmlformats.org/officeDocument/2006/relationships/hyperlink" Target="https://www.energy.gov/scep/slsc/us-energy-efficiency-potential-maps" TargetMode="External"/><Relationship Id="rId12" Type="http://schemas.openxmlformats.org/officeDocument/2006/relationships/hyperlink" Target="https://www.onetonline.org/" TargetMode="External"/><Relationship Id="rId17" Type="http://schemas.openxmlformats.org/officeDocument/2006/relationships/hyperlink" Target="https://www.epa.gov/system/files/documents/2024-02/tampastpeteclw-msa-pcap.pdf" TargetMode="External"/><Relationship Id="rId25" Type="http://schemas.openxmlformats.org/officeDocument/2006/relationships/hyperlink" Target="https://www.energy.gov/scep/energy-efficiency-and-conservation-block-grant-program" TargetMode="External"/><Relationship Id="rId33" Type="http://schemas.openxmlformats.org/officeDocument/2006/relationships/hyperlink" Target="mailto:gvaday@eda.gov" TargetMode="External"/><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s://www.epa.gov/system/files/documents/2024-03/ecfr2c-pcap.pdf" TargetMode="External"/><Relationship Id="rId20" Type="http://schemas.openxmlformats.org/officeDocument/2006/relationships/hyperlink" Target="https://www.energy.gov/scep/articles/state-and-community-energy-programs-project-map-florida" TargetMode="External"/><Relationship Id="rId29" Type="http://schemas.openxmlformats.org/officeDocument/2006/relationships/hyperlink" Target="https://careersourceflorida.com/"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bls.gov/ooh/fastest-growing.htm" TargetMode="External"/><Relationship Id="rId24" Type="http://schemas.openxmlformats.org/officeDocument/2006/relationships/hyperlink" Target="https://betterbuildingssolutioncenter.energy.gov/partners/orlando-fl" TargetMode="External"/><Relationship Id="rId32" Type="http://schemas.openxmlformats.org/officeDocument/2006/relationships/hyperlink" Target="mailto:allen.jeanne@epa.govor" TargetMode="External"/><Relationship Id="rId37"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hyperlink" Target="https://careersourceflorida.com/" TargetMode="External"/><Relationship Id="rId23" Type="http://schemas.openxmlformats.org/officeDocument/2006/relationships/hyperlink" Target="https://www.energy.gov/scep/energy-efficiency-revolving-loan-fund-capitalization-grant-program" TargetMode="External"/><Relationship Id="rId28" Type="http://schemas.openxmlformats.org/officeDocument/2006/relationships/hyperlink" Target="https://energyresearch.ucf.edu/" TargetMode="External"/><Relationship Id="rId36" Type="http://schemas.openxmlformats.org/officeDocument/2006/relationships/footer" Target="footer1.xml"/><Relationship Id="rId10" Type="http://schemas.openxmlformats.org/officeDocument/2006/relationships/hyperlink" Target="https://www.energy.gov/sites/prod/files/2015/05/f22/FL-Energy%20Sector%20Risk%20Profile.pdf" TargetMode="External"/><Relationship Id="rId19" Type="http://schemas.openxmlformats.org/officeDocument/2006/relationships/hyperlink" Target="https://www.epa.gov/system/files/documents/2024-03/clean-air-northeast-florida-pcap.pdf" TargetMode="External"/><Relationship Id="rId31" Type="http://schemas.openxmlformats.org/officeDocument/2006/relationships/hyperlink" Target="https://www.dol.gov/sites/dolgov/files/OPA/GoodJobs/Toolkit/Good-Jobs-Toolkit.pdf" TargetMode="External"/><Relationship Id="rId4" Type="http://schemas.openxmlformats.org/officeDocument/2006/relationships/webSettings" Target="webSettings.xml"/><Relationship Id="rId9" Type="http://schemas.openxmlformats.org/officeDocument/2006/relationships/hyperlink" Target="https://www.energy.gov/eere/solar/solar-and-resilience-basics" TargetMode="External"/><Relationship Id="rId14" Type="http://schemas.openxmlformats.org/officeDocument/2006/relationships/hyperlink" Target="https://floridasolarapprentice.com/" TargetMode="External"/><Relationship Id="rId22" Type="http://schemas.openxmlformats.org/officeDocument/2006/relationships/hyperlink" Target="https://www.energy.gov/scep/energy-future-grants" TargetMode="External"/><Relationship Id="rId27" Type="http://schemas.openxmlformats.org/officeDocument/2006/relationships/hyperlink" Target="https://dashboards.mysidewalk.com/ecfrpc-c-dashboard/home" TargetMode="External"/><Relationship Id="rId30" Type="http://schemas.openxmlformats.org/officeDocument/2006/relationships/hyperlink" Target="https://www.dol.gov/general/good-jobs/principles" TargetMode="External"/><Relationship Id="rId35" Type="http://schemas.openxmlformats.org/officeDocument/2006/relationships/hyperlink" Target="mailto:reynolds.mary@epa.gov" TargetMode="External"/><Relationship Id="rId8" Type="http://schemas.openxmlformats.org/officeDocument/2006/relationships/hyperlink" Target="https://www.fema.gov/sites/default/files/documents/fema_equitable-recovery-post-disaster-guide-local-officials-leaders.pdf" TargetMode="External"/><Relationship Id="rId3" Type="http://schemas.openxmlformats.org/officeDocument/2006/relationships/settings" Target="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25</Pages>
  <Words>12748</Words>
  <Characters>72665</Characters>
  <Application>Microsoft Office Word</Application>
  <DocSecurity>0</DocSecurity>
  <Lines>605</Lines>
  <Paragraphs>170</Paragraphs>
  <ScaleCrop>false</ScaleCrop>
  <Company/>
  <LinksUpToDate>false</LinksUpToDate>
  <CharactersWithSpaces>85243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Debra Figueroa</cp:lastModifiedBy>
  <cp:revision>4</cp:revision>
  <dcterms:created xsi:type="dcterms:W3CDTF">2024-04-02T02:25:00Z</dcterms:created>
  <dcterms:modified xsi:type="dcterms:W3CDTF">2024-04-02T02:29:00Z</dcterms:modified>
</cp:coreProperties>
</file>