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intelligence2.xml" ContentType="application/vnd.ms-office.intelligence2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w:rsidR="58B6A004" w:rsidP="7AE8CECF" w:rsidRDefault="58B6A004" w14:paraId="477EAF6E" w14:textId="576DDEBD">
      <w:pPr>
        <w:jc w:val="center"/>
        <w:rPr>
          <w:b w:val="1"/>
          <w:bCs w:val="1"/>
        </w:rPr>
      </w:pPr>
      <w:r w:rsidRPr="7AE8CECF" w:rsidR="09843B9D">
        <w:rPr>
          <w:b w:val="1"/>
          <w:bCs w:val="1"/>
        </w:rPr>
        <w:t>Technical Appendix GHG Emissions Reductions</w:t>
      </w:r>
    </w:p>
    <w:p w:rsidR="7AE8CECF" w:rsidP="7AE8CECF" w:rsidRDefault="7AE8CECF" w14:paraId="414BE6AF" w14:textId="0ECF2E5C">
      <w:pPr>
        <w:pStyle w:val="Normal"/>
        <w:rPr>
          <w:b w:val="1"/>
          <w:bCs w:val="1"/>
        </w:rPr>
      </w:pPr>
    </w:p>
    <w:p w:rsidR="09843B9D" w:rsidP="58B6A004" w:rsidRDefault="09843B9D" w14:paraId="57743815" w14:textId="64153B8F">
      <w:pPr>
        <w:pStyle w:val="Normal"/>
        <w:rPr>
          <w:b w:val="1"/>
          <w:bCs w:val="1"/>
        </w:rPr>
      </w:pPr>
      <w:r w:rsidRPr="58B6A004" w:rsidR="09843B9D">
        <w:rPr>
          <w:b w:val="1"/>
          <w:bCs w:val="1"/>
        </w:rPr>
        <w:t>Building Retrofits Project</w:t>
      </w:r>
    </w:p>
    <w:p w:rsidR="3EB7501B" w:rsidP="58B6A004" w:rsidRDefault="3EB7501B" w14:paraId="44F33A84" w14:textId="45455856">
      <w:pPr>
        <w:pStyle w:val="ListParagraph"/>
        <w:numPr>
          <w:ilvl w:val="0"/>
          <w:numId w:val="2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F667D31" w:rsidR="3EB7501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Methodology for estimating GHG emission reduction</w:t>
      </w:r>
    </w:p>
    <w:p w:rsidR="06E432B6" w:rsidP="7AE8CECF" w:rsidRDefault="06E432B6" w14:paraId="6B2B45EC" w14:textId="0ED4C5D5">
      <w:pPr>
        <w:pStyle w:val="ListParagraph"/>
        <w:numPr>
          <w:ilvl w:val="1"/>
          <w:numId w:val="2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AE8CECF" w:rsidR="06E432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Formula: </w:t>
      </w:r>
    </w:p>
    <w:p w:rsidR="06E432B6" w:rsidP="7AE8CECF" w:rsidRDefault="06E432B6" w14:paraId="2F6B0108" w14:textId="0F9D48C9">
      <w:pPr>
        <w:pStyle w:val="ListParagraph"/>
        <w:numPr>
          <w:ilvl w:val="2"/>
          <w:numId w:val="2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AE8CECF" w:rsidR="06E432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Current Building energy usage x Predicted energy reduction (</w:t>
      </w:r>
      <w:r w:rsidRPr="7AE8CECF" w:rsidR="3648039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20</w:t>
      </w:r>
      <w:r w:rsidRPr="7AE8CECF" w:rsidR="06E432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%) = </w:t>
      </w:r>
      <w:r w:rsidRPr="7AE8CECF" w:rsidR="10DEEC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k</w:t>
      </w:r>
      <w:r w:rsidRPr="7AE8CECF" w:rsidR="06E432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Wh </w:t>
      </w:r>
      <w:r w:rsidRPr="7AE8CECF" w:rsidR="06E432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reductions;</w:t>
      </w:r>
      <w:r w:rsidRPr="7AE8CECF" w:rsidR="7B0F295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20EED5F9" w:rsidP="7AE8CECF" w:rsidRDefault="20EED5F9" w14:paraId="590B2033" w14:textId="47EAD94C">
      <w:pPr>
        <w:pStyle w:val="ListParagraph"/>
        <w:numPr>
          <w:ilvl w:val="3"/>
          <w:numId w:val="2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AE8CECF" w:rsidR="20EED5F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2021 </w:t>
      </w:r>
      <w:r w:rsidRPr="7AE8CECF" w:rsidR="79720A7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Total Electric Energy Usage</w:t>
      </w:r>
      <w:r w:rsidRPr="7AE8CECF" w:rsidR="79720A7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7AE8CECF" w:rsidR="226DE64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(</w:t>
      </w:r>
      <w:r w:rsidRPr="7AE8CECF" w:rsidR="79720A7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Project Buildings</w:t>
      </w:r>
      <w:r w:rsidRPr="7AE8CECF" w:rsidR="4CAF6E9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)</w:t>
      </w:r>
      <w:r w:rsidRPr="7AE8CECF" w:rsidR="79720A7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: </w:t>
      </w:r>
      <w:r w:rsidRPr="7AE8CECF" w:rsidR="641A7CE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510639.49 (Orchard, Boston, Woodard) +</w:t>
      </w:r>
      <w:r w:rsidRPr="7AE8CECF" w:rsidR="1B0C71B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103417.58 (Linwood)+ 190084.36 (Edgemoor) </w:t>
      </w:r>
      <w:r w:rsidRPr="7AE8CECF" w:rsidR="3CF09AE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+ 337154.37 (CityArts)+ 138612.31 (Atwater) + 129179.81 (Brewer)+</w:t>
      </w:r>
      <w:r w:rsidRPr="7AE8CECF" w:rsidR="4DE55E0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34298.07</w:t>
      </w:r>
      <w:r w:rsidRPr="7AE8CECF" w:rsidR="3CF09AE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(Evergreen)</w:t>
      </w:r>
      <w:r w:rsidRPr="7AE8CECF" w:rsidR="226E358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+ </w:t>
      </w:r>
      <w:r w:rsidRPr="7AE8CECF" w:rsidR="226E358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35,068 (Goldenrod</w:t>
      </w:r>
      <w:r w:rsidRPr="7AE8CECF" w:rsidR="226E358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7AE8CECF" w:rsidR="226E358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Shelter)</w:t>
      </w:r>
      <w:r w:rsidRPr="7AE8CECF" w:rsidR="671F989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+</w:t>
      </w:r>
      <w:r w:rsidRPr="7AE8CECF" w:rsidR="671F989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30,556 (Fairmount)</w:t>
      </w:r>
      <w:r w:rsidRPr="7AE8CECF" w:rsidR="3B7168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+ 10,088 (Hilltop)+ </w:t>
      </w:r>
      <w:r w:rsidRPr="7AE8CECF" w:rsidR="6867F07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13,749 (Watson)+ 28,057 (Hyde)+ </w:t>
      </w:r>
      <w:r w:rsidRPr="7AE8CECF" w:rsidR="50D72F1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27,019 (Kiwanis)+ 42,386 </w:t>
      </w:r>
      <w:r w:rsidRPr="7AE8CECF" w:rsidR="50D72F1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(</w:t>
      </w:r>
      <w:r w:rsidRPr="7AE8CECF" w:rsidR="50D72F1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Minis</w:t>
      </w:r>
      <w:r w:rsidRPr="7AE8CECF" w:rsidR="50D72F1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</w:t>
      </w:r>
      <w:r w:rsidRPr="7AE8CECF" w:rsidR="50D72F1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)+ </w:t>
      </w:r>
      <w:r w:rsidRPr="7AE8CECF" w:rsidR="20B4786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12,467 (Park</w:t>
      </w:r>
      <w:r w:rsidRPr="7AE8CECF" w:rsidR="20B4786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7AE8CECF" w:rsidR="20B4786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Villa)</w:t>
      </w:r>
      <w:r w:rsidRPr="7AE8CECF" w:rsidR="20B4786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=</w:t>
      </w:r>
      <w:r w:rsidRPr="7AE8CECF" w:rsidR="20B4786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7AE8CECF" w:rsidR="79BD9A9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1642775.99</w:t>
      </w:r>
    </w:p>
    <w:p w:rsidR="465086AF" w:rsidP="7AE8CECF" w:rsidRDefault="465086AF" w14:paraId="592786D2" w14:textId="3D6C146D">
      <w:pPr>
        <w:pStyle w:val="ListParagraph"/>
        <w:numPr>
          <w:ilvl w:val="2"/>
          <w:numId w:val="2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AE8CECF" w:rsidR="465086A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1,540.1 </w:t>
      </w:r>
      <w:r w:rsidRPr="7AE8CECF" w:rsidR="465086A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lbs</w:t>
      </w:r>
      <w:r w:rsidRPr="7AE8CECF" w:rsidR="465086A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CO2/MWh × 1 metric ton/2,204.6 </w:t>
      </w:r>
      <w:r w:rsidRPr="7AE8CECF" w:rsidR="465086A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lbs</w:t>
      </w:r>
      <w:r w:rsidRPr="7AE8CECF" w:rsidR="465086A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× 0.001 MWh/kWh = 6.99 × 10-4 metric tons CO2/kWh</w:t>
      </w:r>
    </w:p>
    <w:p w:rsidR="465086AF" w:rsidP="7AE8CECF" w:rsidRDefault="465086AF" w14:paraId="3D9F57B8" w14:textId="41B32129">
      <w:pPr>
        <w:pStyle w:val="ListParagraph"/>
        <w:numPr>
          <w:ilvl w:val="1"/>
          <w:numId w:val="2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AE8CECF" w:rsidR="465086A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Multiply these two numbers to get the </w:t>
      </w:r>
      <w:r w:rsidRPr="7AE8CECF" w:rsidR="66D1F06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annual </w:t>
      </w:r>
      <w:r w:rsidRPr="7AE8CECF" w:rsidR="465086A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reductions. </w:t>
      </w:r>
      <w:r w:rsidRPr="7AE8CECF" w:rsidR="4A6CFA5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Predicts= 229.6600834 metric tons CO2 per year</w:t>
      </w:r>
    </w:p>
    <w:p w:rsidR="7B0F295B" w:rsidP="5F667D31" w:rsidRDefault="7B0F295B" w14:paraId="3C4B8160" w14:textId="405B639E">
      <w:pPr>
        <w:pStyle w:val="ListParagraph"/>
        <w:numPr>
          <w:ilvl w:val="2"/>
          <w:numId w:val="2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F667D31" w:rsidR="7B0F295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Calculated using EPA Greenhouse Gases Equivalencies Calculator</w:t>
      </w:r>
      <w:r w:rsidRPr="5F667D31" w:rsidR="328DAE4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- Electricity reductions (kilowatt-hours)</w:t>
      </w:r>
      <w:r w:rsidRPr="5F667D31" w:rsidR="7B0F295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. </w:t>
      </w:r>
    </w:p>
    <w:p w:rsidR="7F436A1E" w:rsidP="5F667D31" w:rsidRDefault="7F436A1E" w14:paraId="5CC3BE0A" w14:textId="6BDE7AEB">
      <w:pPr>
        <w:pStyle w:val="ListParagraph"/>
        <w:numPr>
          <w:ilvl w:val="2"/>
          <w:numId w:val="2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F667D31" w:rsidR="7F436A1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Predicted 20% reductions comes from similar projects completed by Wichita and other </w:t>
      </w:r>
      <w:r w:rsidRPr="5F667D31" w:rsidR="7F436A1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cities.</w:t>
      </w:r>
    </w:p>
    <w:p w:rsidR="3EB7501B" w:rsidP="7AE8CECF" w:rsidRDefault="3EB7501B" w14:paraId="5B17A9CB" w14:textId="1668B690">
      <w:pPr>
        <w:pStyle w:val="ListParagraph"/>
        <w:numPr>
          <w:ilvl w:val="1"/>
          <w:numId w:val="2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AE8CECF" w:rsidR="3EB7501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Compare current energy use to predicted energy reduction (%) and resulting CO2e reductions.</w:t>
      </w:r>
    </w:p>
    <w:p w:rsidR="3EB7501B" w:rsidP="58B6A004" w:rsidRDefault="3EB7501B" w14:paraId="205954F8" w14:textId="6F50E83B">
      <w:pPr>
        <w:pStyle w:val="ListParagraph"/>
        <w:numPr>
          <w:ilvl w:val="0"/>
          <w:numId w:val="2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8B6A004" w:rsidR="3EB7501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Method for tracking GHG reductions</w:t>
      </w:r>
    </w:p>
    <w:p w:rsidR="3EB7501B" w:rsidP="7AE8CECF" w:rsidRDefault="3EB7501B" w14:paraId="5A8F9D95" w14:textId="6D24498E">
      <w:pPr>
        <w:pStyle w:val="ListParagraph"/>
        <w:numPr>
          <w:ilvl w:val="1"/>
          <w:numId w:val="2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AE8CECF" w:rsidR="3EB7501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EnergyCap</w:t>
      </w:r>
      <w:r w:rsidRPr="7AE8CECF" w:rsidR="3EB7501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utility tracking</w:t>
      </w:r>
      <w:r w:rsidRPr="7AE8CECF" w:rsidR="445FEA4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 </w:t>
      </w:r>
      <w:r w:rsidRPr="7AE8CECF" w:rsidR="2D5D9C4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Evergy</w:t>
      </w:r>
      <w:r w:rsidRPr="7AE8CECF" w:rsidR="2D5D9C4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electricity bills</w:t>
      </w:r>
      <w:r w:rsidRPr="7AE8CECF" w:rsidR="70B28B5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, ICLEI GHG Inventory</w:t>
      </w:r>
    </w:p>
    <w:p w:rsidR="0135E374" w:rsidP="5F667D31" w:rsidRDefault="0135E374" w14:paraId="7DEBA0B7" w14:textId="08641203">
      <w:pPr>
        <w:pStyle w:val="ListParagraph"/>
        <w:numPr>
          <w:ilvl w:val="2"/>
          <w:numId w:val="2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F667D31" w:rsidR="0135E37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The City of Wichita tracks electricity usage on the EnergyCap utility tracking platform and tracks its GHG emissions using the ICLEI software platform. </w:t>
      </w:r>
    </w:p>
    <w:p w:rsidR="58B6A004" w:rsidP="58B6A004" w:rsidRDefault="58B6A004" w14:paraId="5FE9F036" w14:textId="2C7AE19D">
      <w:pPr>
        <w:pStyle w:val="Normal"/>
      </w:pPr>
    </w:p>
    <w:p w:rsidR="09843B9D" w:rsidP="7AE8CECF" w:rsidRDefault="09843B9D" w14:paraId="0FBF1B6E" w14:textId="45679F0E">
      <w:pPr>
        <w:pStyle w:val="Normal"/>
        <w:rPr>
          <w:b w:val="1"/>
          <w:bCs w:val="1"/>
        </w:rPr>
      </w:pPr>
      <w:r w:rsidRPr="7AE8CECF" w:rsidR="09843B9D">
        <w:rPr>
          <w:b w:val="1"/>
          <w:bCs w:val="1"/>
        </w:rPr>
        <w:t xml:space="preserve">Electric Vehicles and </w:t>
      </w:r>
      <w:r w:rsidRPr="7AE8CECF" w:rsidR="09843B9D">
        <w:rPr>
          <w:b w:val="1"/>
          <w:bCs w:val="1"/>
        </w:rPr>
        <w:t>Charging</w:t>
      </w:r>
      <w:r w:rsidRPr="7AE8CECF" w:rsidR="09843B9D">
        <w:rPr>
          <w:b w:val="1"/>
          <w:bCs w:val="1"/>
        </w:rPr>
        <w:t xml:space="preserve"> Infrastructure</w:t>
      </w:r>
    </w:p>
    <w:p w:rsidR="5C1E056C" w:rsidP="7AE8CECF" w:rsidRDefault="5C1E056C" w14:paraId="53D8B3E7" w14:textId="34D1E165">
      <w:pPr>
        <w:pStyle w:val="ListParagraph"/>
        <w:numPr>
          <w:ilvl w:val="0"/>
          <w:numId w:val="9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AE8CECF" w:rsidR="34549D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Charging Stations:</w:t>
      </w:r>
    </w:p>
    <w:p w:rsidR="5C1E056C" w:rsidP="7AE8CECF" w:rsidRDefault="5C1E056C" w14:paraId="5178DA8C" w14:textId="557A1214">
      <w:pPr>
        <w:pStyle w:val="ListParagraph"/>
        <w:numPr>
          <w:ilvl w:val="1"/>
          <w:numId w:val="9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AE8CECF" w:rsidR="5C1E056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Methodology for estimating GHG emission reduction</w:t>
      </w:r>
      <w:r w:rsidRPr="7AE8CECF" w:rsidR="5656962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was taken from the Carbon Reduction Strategy Document of the Minnesota Department of Transportation </w:t>
      </w:r>
      <w:hyperlink r:id="R5395ae6e2ae64537">
        <w:r w:rsidRPr="7AE8CECF" w:rsidR="5656962A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https://edocs-public.dot.state.mn.us/edocs_public/DMResultSet/download?docId=36928262</w:t>
        </w:r>
      </w:hyperlink>
      <w:r w:rsidRPr="7AE8CECF" w:rsidR="5656962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536BB4CA" w:rsidP="7AE8CECF" w:rsidRDefault="536BB4CA" w14:paraId="18BBEF60" w14:textId="00480B1E">
      <w:pPr>
        <w:pStyle w:val="ListParagraph"/>
        <w:numPr>
          <w:ilvl w:val="1"/>
          <w:numId w:val="9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vertAlign w:val="baseline"/>
          <w:lang w:val="en-US"/>
        </w:rPr>
      </w:pPr>
      <w:r w:rsidRPr="7AE8CECF" w:rsidR="536BB4C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Minnesota </w:t>
      </w:r>
      <w:r w:rsidRPr="7AE8CECF" w:rsidR="6F9FD1C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DOT </w:t>
      </w:r>
      <w:r w:rsidRPr="7AE8CECF" w:rsidR="536BB4C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Estimation: </w:t>
      </w:r>
      <w:r w:rsidRPr="7AE8CECF" w:rsidR="23BF5DE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# of sites x kW voltage of stations x 8760 hours/year </w:t>
      </w:r>
      <w:r w:rsidRPr="7AE8CECF" w:rsidR="7163735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x usage time (%) ÷ average EV efficiency (</w:t>
      </w:r>
      <w:r w:rsidRPr="7AE8CECF" w:rsidR="7163735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Average EV efficiency published by the Argonne </w:t>
      </w:r>
      <w:r w:rsidR="71637359">
        <w:rPr/>
        <w:t>National Laboratory in 2022</w:t>
      </w:r>
      <w:r w:rsidR="71637359">
        <w:rPr/>
        <w:t xml:space="preserve">) </w:t>
      </w:r>
      <w:r w:rsidRPr="7AE8CECF" w:rsidR="7163735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x</w:t>
      </w:r>
      <w:r w:rsidRPr="7AE8CECF" w:rsidR="7163735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7AE8CECF" w:rsidR="519ADE7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Fleet average emissions factor (MnDOT) 4.022 x 10</w:t>
      </w:r>
      <w:r w:rsidRPr="7AE8CECF" w:rsidR="519ADE7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superscript"/>
          <w:lang w:val="en-US"/>
        </w:rPr>
        <w:t xml:space="preserve">-4 </w:t>
      </w:r>
      <w:r w:rsidRPr="7AE8CECF" w:rsidR="519ADE7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baseline"/>
          <w:lang w:val="en-US"/>
        </w:rPr>
        <w:t>CO</w:t>
      </w:r>
      <w:r w:rsidRPr="7AE8CECF" w:rsidR="519ADE7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subscript"/>
          <w:lang w:val="en-US"/>
        </w:rPr>
        <w:t>2</w:t>
      </w:r>
      <w:r w:rsidRPr="7AE8CECF" w:rsidR="519ADE7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baseline"/>
          <w:lang w:val="en-US"/>
        </w:rPr>
        <w:t>e MT per mile</w:t>
      </w:r>
    </w:p>
    <w:p w:rsidR="519ADE75" w:rsidP="7AE8CECF" w:rsidRDefault="519ADE75" w14:paraId="70928519" w14:textId="25B6118D">
      <w:pPr>
        <w:pStyle w:val="ListParagraph"/>
        <w:numPr>
          <w:ilvl w:val="2"/>
          <w:numId w:val="9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vertAlign w:val="baseline"/>
          <w:lang w:val="en-US"/>
        </w:rPr>
      </w:pPr>
      <w:r w:rsidRPr="7AE8CECF" w:rsidR="519ADE7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baseline"/>
          <w:lang w:val="en-US"/>
        </w:rPr>
        <w:t>Level 2 Chargers:</w:t>
      </w:r>
    </w:p>
    <w:p w:rsidR="59DBA648" w:rsidP="7AE8CECF" w:rsidRDefault="59DBA648" w14:paraId="451D18E5" w14:textId="09A6948D">
      <w:pPr>
        <w:pStyle w:val="ListParagraph"/>
        <w:numPr>
          <w:ilvl w:val="3"/>
          <w:numId w:val="9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baseline"/>
          <w:lang w:val="en-US"/>
        </w:rPr>
      </w:pPr>
      <w:r w:rsidRPr="7AE8CECF" w:rsidR="59DBA64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baseline"/>
          <w:lang w:val="en-US"/>
        </w:rPr>
        <w:t>22 ports x 5kW x 8760 hours/year x 10% usage time ÷ 0.294kWh</w:t>
      </w:r>
      <w:r w:rsidRPr="7AE8CECF" w:rsidR="2710F31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baseline"/>
          <w:lang w:val="en-US"/>
        </w:rPr>
        <w:t xml:space="preserve"> x </w:t>
      </w:r>
      <w:r w:rsidRPr="7AE8CECF" w:rsidR="493EB1B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4.022 </w:t>
      </w:r>
      <w:r w:rsidRPr="7AE8CECF" w:rsidR="493EB1B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x 10</w:t>
      </w:r>
      <w:r w:rsidRPr="7AE8CECF" w:rsidR="493EB1B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superscript"/>
          <w:lang w:val="en-US"/>
        </w:rPr>
        <w:t xml:space="preserve">-4 </w:t>
      </w:r>
      <w:r w:rsidRPr="7AE8CECF" w:rsidR="493EB1B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baseline"/>
          <w:lang w:val="en-US"/>
        </w:rPr>
        <w:t>CO</w:t>
      </w:r>
      <w:r w:rsidRPr="7AE8CECF" w:rsidR="493EB1B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subscript"/>
          <w:lang w:val="en-US"/>
        </w:rPr>
        <w:t>2</w:t>
      </w:r>
      <w:r w:rsidRPr="7AE8CECF" w:rsidR="493EB1B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baseline"/>
          <w:lang w:val="en-US"/>
        </w:rPr>
        <w:t>e MT per mile</w:t>
      </w:r>
      <w:r w:rsidRPr="7AE8CECF" w:rsidR="0D13950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baseline"/>
          <w:lang w:val="en-US"/>
        </w:rPr>
        <w:t xml:space="preserve"> = </w:t>
      </w:r>
      <w:r w:rsidRPr="7AE8CECF" w:rsidR="0AD111F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baseline"/>
          <w:lang w:val="en-US"/>
        </w:rPr>
        <w:t xml:space="preserve">131.823 </w:t>
      </w:r>
      <w:r w:rsidRPr="7AE8CECF" w:rsidR="611E40D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baseline"/>
          <w:lang w:val="en-US"/>
        </w:rPr>
        <w:t>CO</w:t>
      </w:r>
      <w:r w:rsidRPr="7AE8CECF" w:rsidR="611E40D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subscript"/>
          <w:lang w:val="en-US"/>
        </w:rPr>
        <w:t>2</w:t>
      </w:r>
      <w:r w:rsidRPr="7AE8CECF" w:rsidR="611E40D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baseline"/>
          <w:lang w:val="en-US"/>
        </w:rPr>
        <w:t>e MT per year</w:t>
      </w:r>
    </w:p>
    <w:p w:rsidR="59DBA648" w:rsidP="7AE8CECF" w:rsidRDefault="59DBA648" w14:paraId="5DF7C764" w14:textId="627CD928">
      <w:pPr>
        <w:pStyle w:val="ListParagraph"/>
        <w:numPr>
          <w:ilvl w:val="2"/>
          <w:numId w:val="9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baseline"/>
          <w:lang w:val="en-US"/>
        </w:rPr>
      </w:pPr>
      <w:r w:rsidRPr="7AE8CECF" w:rsidR="59DBA64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baseline"/>
          <w:lang w:val="en-US"/>
        </w:rPr>
        <w:t>DC Fast</w:t>
      </w:r>
      <w:r w:rsidRPr="7AE8CECF" w:rsidR="199F350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baseline"/>
          <w:lang w:val="en-US"/>
        </w:rPr>
        <w:t xml:space="preserve"> Chargers:</w:t>
      </w:r>
    </w:p>
    <w:p w:rsidR="199F350B" w:rsidP="7AE8CECF" w:rsidRDefault="199F350B" w14:paraId="390C1C54" w14:textId="6523F965">
      <w:pPr>
        <w:pStyle w:val="ListParagraph"/>
        <w:numPr>
          <w:ilvl w:val="3"/>
          <w:numId w:val="9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baseline"/>
          <w:lang w:val="en-US"/>
        </w:rPr>
      </w:pPr>
      <w:r w:rsidRPr="7AE8CECF" w:rsidR="199F350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baseline"/>
          <w:lang w:val="en-US"/>
        </w:rPr>
        <w:t xml:space="preserve">5 ports x 125kW x 8760 hours/year x </w:t>
      </w:r>
      <w:r w:rsidRPr="7AE8CECF" w:rsidR="7120859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baseline"/>
          <w:lang w:val="en-US"/>
        </w:rPr>
        <w:t>5</w:t>
      </w:r>
      <w:r w:rsidRPr="7AE8CECF" w:rsidR="199F350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baseline"/>
          <w:lang w:val="en-US"/>
        </w:rPr>
        <w:t>% usage time ÷ 0.294kWh x 4.022 x 10</w:t>
      </w:r>
      <w:r w:rsidRPr="7AE8CECF" w:rsidR="199F350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superscript"/>
          <w:lang w:val="en-US"/>
        </w:rPr>
        <w:t xml:space="preserve">-4 </w:t>
      </w:r>
      <w:r w:rsidRPr="7AE8CECF" w:rsidR="199F350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baseline"/>
          <w:lang w:val="en-US"/>
        </w:rPr>
        <w:t>CO</w:t>
      </w:r>
      <w:r w:rsidRPr="7AE8CECF" w:rsidR="199F350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subscript"/>
          <w:lang w:val="en-US"/>
        </w:rPr>
        <w:t>2</w:t>
      </w:r>
      <w:r w:rsidRPr="7AE8CECF" w:rsidR="199F350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baseline"/>
          <w:lang w:val="en-US"/>
        </w:rPr>
        <w:t>e MT per mile =</w:t>
      </w:r>
      <w:r w:rsidRPr="7AE8CECF" w:rsidR="152AE7C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baseline"/>
          <w:lang w:val="en-US"/>
        </w:rPr>
        <w:t xml:space="preserve"> </w:t>
      </w:r>
      <w:r w:rsidRPr="7AE8CECF" w:rsidR="37C799F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baseline"/>
          <w:lang w:val="en-US"/>
        </w:rPr>
        <w:t xml:space="preserve">374.497 </w:t>
      </w:r>
      <w:r w:rsidRPr="7AE8CECF" w:rsidR="152AE7C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baseline"/>
          <w:lang w:val="en-US"/>
        </w:rPr>
        <w:t>CO</w:t>
      </w:r>
      <w:r w:rsidRPr="7AE8CECF" w:rsidR="152AE7C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subscript"/>
          <w:lang w:val="en-US"/>
        </w:rPr>
        <w:t>2</w:t>
      </w:r>
      <w:r w:rsidRPr="7AE8CECF" w:rsidR="152AE7C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baseline"/>
          <w:lang w:val="en-US"/>
        </w:rPr>
        <w:t>e MT per year</w:t>
      </w:r>
    </w:p>
    <w:p w:rsidR="04333C56" w:rsidP="7AE8CECF" w:rsidRDefault="04333C56" w14:paraId="0EE3FF06" w14:textId="413BD410">
      <w:pPr>
        <w:pStyle w:val="ListParagraph"/>
        <w:numPr>
          <w:ilvl w:val="2"/>
          <w:numId w:val="9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baseline"/>
          <w:lang w:val="en-US"/>
        </w:rPr>
      </w:pPr>
      <w:r w:rsidRPr="7AE8CECF" w:rsidR="04333C5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baseline"/>
          <w:lang w:val="en-US"/>
        </w:rPr>
        <w:t>Total: 506.32 CO</w:t>
      </w:r>
      <w:r w:rsidRPr="7AE8CECF" w:rsidR="04333C5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subscript"/>
          <w:lang w:val="en-US"/>
        </w:rPr>
        <w:t>2</w:t>
      </w:r>
      <w:r w:rsidRPr="7AE8CECF" w:rsidR="04333C5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baseline"/>
          <w:lang w:val="en-US"/>
        </w:rPr>
        <w:t>e MT per year</w:t>
      </w:r>
    </w:p>
    <w:p w:rsidR="4815B4F0" w:rsidP="7AE8CECF" w:rsidRDefault="4815B4F0" w14:paraId="131086BD" w14:textId="15A6FAB5">
      <w:pPr>
        <w:pStyle w:val="ListParagraph"/>
        <w:numPr>
          <w:ilvl w:val="1"/>
          <w:numId w:val="9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AE8CECF" w:rsidR="4815B4F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National Charger Usage</w:t>
      </w:r>
      <w:r w:rsidRPr="7AE8CECF" w:rsidR="0740596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averages</w:t>
      </w:r>
      <w:r w:rsidRPr="7AE8CECF">
        <w:rPr>
          <w:rStyle w:val="FootnoteReference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footnoteReference w:id="17089"/>
      </w:r>
      <w:r w:rsidRPr="7AE8CECF" w:rsidR="55C0B22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7AE8CECF">
        <w:rPr>
          <w:rStyle w:val="FootnoteReference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footnoteReference w:id="6005"/>
      </w:r>
      <w:r w:rsidRPr="7AE8CECF" w:rsidR="4815B4F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:</w:t>
      </w:r>
      <w:r w:rsidRPr="7AE8CECF" w:rsidR="4815B4F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4815B4F0" w:rsidP="7AE8CECF" w:rsidRDefault="4815B4F0" w14:paraId="090AD70B" w14:textId="1CE2F693">
      <w:pPr>
        <w:pStyle w:val="ListParagraph"/>
        <w:numPr>
          <w:ilvl w:val="2"/>
          <w:numId w:val="9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AE8CECF" w:rsidR="4815B4F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L2: 10%</w:t>
      </w:r>
    </w:p>
    <w:p w:rsidR="4815B4F0" w:rsidP="7AE8CECF" w:rsidRDefault="4815B4F0" w14:paraId="66F5C1AB" w14:textId="403C5161">
      <w:pPr>
        <w:pStyle w:val="ListParagraph"/>
        <w:numPr>
          <w:ilvl w:val="2"/>
          <w:numId w:val="9"/>
        </w:numPr>
        <w:rPr>
          <w:noProof w:val="0"/>
          <w:lang w:val="en-US"/>
        </w:rPr>
      </w:pPr>
      <w:r w:rsidRPr="7AE8CECF" w:rsidR="4815B4F0">
        <w:rPr>
          <w:noProof w:val="0"/>
          <w:lang w:val="en-US"/>
        </w:rPr>
        <w:t>DCFC: 5%</w:t>
      </w:r>
    </w:p>
    <w:p w:rsidR="1FD09D74" w:rsidP="5F667D31" w:rsidRDefault="1FD09D74" w14:paraId="74B5C8F4" w14:textId="190A75B9">
      <w:pPr>
        <w:pStyle w:val="ListParagraph"/>
        <w:numPr>
          <w:ilvl w:val="1"/>
          <w:numId w:val="9"/>
        </w:numPr>
        <w:rPr/>
      </w:pPr>
      <w:r w:rsidRPr="7AE8CECF" w:rsidR="1FD09D74">
        <w:rPr>
          <w:noProof w:val="0"/>
          <w:lang w:val="en-US"/>
        </w:rPr>
        <w:t xml:space="preserve">The carbon reduction </w:t>
      </w:r>
      <w:r w:rsidRPr="7AE8CECF" w:rsidR="1FD09D74">
        <w:rPr>
          <w:noProof w:val="0"/>
          <w:lang w:val="en-US"/>
        </w:rPr>
        <w:t xml:space="preserve">is calculated by estimating the total displaced VMT from gasoline LDVs to EVs, using </w:t>
      </w:r>
      <w:r w:rsidR="1FD09D74">
        <w:rPr/>
        <w:t>total electricity or energy consumed by EVCS.</w:t>
      </w:r>
    </w:p>
    <w:p w:rsidR="26956F8E" w:rsidP="7AE8CECF" w:rsidRDefault="26956F8E" w14:paraId="7300C656" w14:textId="0EC34A96">
      <w:pPr>
        <w:pStyle w:val="ListParagraph"/>
        <w:numPr>
          <w:ilvl w:val="0"/>
          <w:numId w:val="9"/>
        </w:numPr>
        <w:rPr/>
      </w:pPr>
      <w:r w:rsidR="26956F8E">
        <w:rPr/>
        <w:t>Fleet Electric Vehicles</w:t>
      </w:r>
    </w:p>
    <w:p w:rsidR="26956F8E" w:rsidP="7AE8CECF" w:rsidRDefault="26956F8E" w14:paraId="6ED6A7AB" w14:textId="47EBF5DF">
      <w:pPr>
        <w:pStyle w:val="ListParagraph"/>
        <w:numPr>
          <w:ilvl w:val="1"/>
          <w:numId w:val="9"/>
        </w:numPr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</w:pPr>
      <w:r w:rsidRPr="7AE8CECF" w:rsidR="26956F8E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  <w:t xml:space="preserve">EPA:  </w:t>
      </w:r>
      <w:hyperlink r:id="R560d0c1df4ff4b38">
        <w:r w:rsidRPr="7AE8CECF" w:rsidR="3A420C84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en-US"/>
          </w:rPr>
          <w:t>https://www.epa.gov/energy/greenhouse-gases-equivalencies-calculator-calculations-and-references</w:t>
        </w:r>
      </w:hyperlink>
      <w:r w:rsidRPr="7AE8CECF" w:rsidR="3A420C84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26956F8E" w:rsidP="7AE8CECF" w:rsidRDefault="26956F8E" w14:paraId="183427D4" w14:textId="13075A1F">
      <w:pPr>
        <w:pStyle w:val="ListParagraph"/>
        <w:numPr>
          <w:ilvl w:val="1"/>
          <w:numId w:val="9"/>
        </w:numPr>
        <w:spacing w:before="0" w:beforeAutospacing="off" w:after="0" w:afterAutospacing="off"/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</w:pPr>
      <w:r w:rsidRPr="7AE8CECF" w:rsidR="26956F8E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  <w:t xml:space="preserve">Electric: </w:t>
      </w:r>
      <w:r w:rsidRPr="7AE8CECF" w:rsidR="26956F8E">
        <w:rPr>
          <w:noProof w:val="0"/>
          <w:lang w:val="en-US"/>
        </w:rPr>
        <w:t xml:space="preserve">857.0 </w:t>
      </w:r>
      <w:r w:rsidRPr="7AE8CECF" w:rsidR="26956F8E">
        <w:rPr>
          <w:noProof w:val="0"/>
          <w:lang w:val="en-US"/>
        </w:rPr>
        <w:t>lbs</w:t>
      </w:r>
      <w:r w:rsidRPr="7AE8CECF" w:rsidR="26956F8E">
        <w:rPr>
          <w:noProof w:val="0"/>
          <w:lang w:val="en-US"/>
        </w:rPr>
        <w:t xml:space="preserve"> CO2e/MWh × 10,746 VMT car/truck average × 1/3.60 miles per kWh all EVs average x 1/1000 MWh/kWh x 1 metric ton/2,204.6 </w:t>
      </w:r>
      <w:r w:rsidRPr="7AE8CECF" w:rsidR="26956F8E">
        <w:rPr>
          <w:noProof w:val="0"/>
          <w:lang w:val="en-US"/>
        </w:rPr>
        <w:t>lbs</w:t>
      </w:r>
      <w:r w:rsidRPr="7AE8CECF" w:rsidR="26956F8E">
        <w:rPr>
          <w:noProof w:val="0"/>
          <w:lang w:val="en-US"/>
        </w:rPr>
        <w:t xml:space="preserve"> = </w:t>
      </w:r>
      <w:r w:rsidRPr="7AE8CECF" w:rsidR="26956F8E">
        <w:rPr>
          <w:b w:val="1"/>
          <w:bCs w:val="1"/>
          <w:noProof w:val="0"/>
          <w:lang w:val="en-US"/>
        </w:rPr>
        <w:t>1.16 metric tons CO</w:t>
      </w:r>
      <w:r w:rsidRPr="7AE8CECF" w:rsidR="26956F8E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17"/>
          <w:szCs w:val="17"/>
          <w:vertAlign w:val="subscript"/>
          <w:lang w:val="en-US"/>
        </w:rPr>
        <w:t>2</w:t>
      </w:r>
      <w:r w:rsidRPr="7AE8CECF" w:rsidR="26956F8E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>e</w:t>
      </w:r>
      <w:r w:rsidRPr="7AE8CECF" w:rsidR="26956F8E">
        <w:rPr>
          <w:b w:val="1"/>
          <w:bCs w:val="1"/>
          <w:noProof w:val="0"/>
          <w:lang w:val="en-US"/>
        </w:rPr>
        <w:t>/vehicle/year</w:t>
      </w:r>
      <w:r w:rsidRPr="7AE8CECF" w:rsidR="26956F8E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26956F8E" w:rsidP="7AE8CECF" w:rsidRDefault="26956F8E" w14:paraId="06530DA6" w14:textId="3215DE8D">
      <w:pPr>
        <w:pStyle w:val="ListParagraph"/>
        <w:numPr>
          <w:ilvl w:val="1"/>
          <w:numId w:val="9"/>
        </w:numPr>
        <w:spacing w:before="0" w:beforeAutospacing="off" w:after="0" w:afterAutospacing="off"/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</w:pPr>
      <w:r w:rsidRPr="7AE8CECF" w:rsidR="26956F8E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  <w:t xml:space="preserve">Gas: 8.89 × 10-3 metric tons CO2/gallon gasoline × 10,746 VMT car/truck average × 1/22.9 miles per gallon car/truck average × 1 CO2, CH4, and N2O/0.993 CO2 = </w:t>
      </w:r>
      <w:r w:rsidRPr="7AE8CECF" w:rsidR="26956F8E">
        <w:rPr>
          <w:b w:val="1"/>
          <w:bCs w:val="1"/>
          <w:noProof w:val="0"/>
          <w:lang w:val="en-US"/>
        </w:rPr>
        <w:t>4.20 metric tons CO</w:t>
      </w:r>
      <w:r w:rsidRPr="7AE8CECF" w:rsidR="26956F8E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17"/>
          <w:szCs w:val="17"/>
          <w:vertAlign w:val="subscript"/>
          <w:lang w:val="en-US"/>
        </w:rPr>
        <w:t>2</w:t>
      </w:r>
      <w:r w:rsidRPr="7AE8CECF" w:rsidR="26956F8E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>e</w:t>
      </w:r>
      <w:r w:rsidRPr="7AE8CECF" w:rsidR="26956F8E">
        <w:rPr>
          <w:b w:val="1"/>
          <w:bCs w:val="1"/>
          <w:noProof w:val="0"/>
          <w:lang w:val="en-US"/>
        </w:rPr>
        <w:t>/vehicle /year</w:t>
      </w:r>
    </w:p>
    <w:p w:rsidR="1CEF9AB8" w:rsidP="7AE8CECF" w:rsidRDefault="1CEF9AB8" w14:paraId="494DE273" w14:textId="52E94611">
      <w:pPr>
        <w:pStyle w:val="ListParagraph"/>
        <w:numPr>
          <w:ilvl w:val="1"/>
          <w:numId w:val="9"/>
        </w:numPr>
        <w:rPr>
          <w:rFonts w:ascii="Calibri" w:hAnsi="Calibri" w:eastAsia="Calibri" w:cs="Calibri"/>
          <w:b w:val="0"/>
          <w:b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="1CEF9AB8">
        <w:rPr>
          <w:b w:val="0"/>
          <w:bCs w:val="0"/>
        </w:rPr>
        <w:t>4.20-1.16 = ~3.04 metric tons CO</w:t>
      </w:r>
      <w:r w:rsidRPr="7AE8CECF" w:rsidR="1CEF9AB8">
        <w:rPr>
          <w:rFonts w:ascii="Calibri" w:hAnsi="Calibri" w:eastAsia="Calibri" w:cs="Calibri"/>
          <w:b w:val="0"/>
          <w:bCs w:val="0"/>
          <w:noProof w:val="0"/>
          <w:color w:val="000000" w:themeColor="text1" w:themeTint="FF" w:themeShade="FF"/>
          <w:sz w:val="17"/>
          <w:szCs w:val="17"/>
          <w:vertAlign w:val="subscript"/>
          <w:lang w:val="en-US"/>
        </w:rPr>
        <w:t>2</w:t>
      </w:r>
      <w:r w:rsidRPr="7AE8CECF" w:rsidR="1CEF9AB8">
        <w:rPr>
          <w:rFonts w:ascii="Calibri" w:hAnsi="Calibri" w:eastAsia="Calibri" w:cs="Calibri"/>
          <w:b w:val="0"/>
          <w:bCs w:val="0"/>
          <w:noProof w:val="0"/>
          <w:color w:val="000000" w:themeColor="text1" w:themeTint="FF" w:themeShade="FF"/>
          <w:sz w:val="22"/>
          <w:szCs w:val="22"/>
          <w:lang w:val="en-US"/>
        </w:rPr>
        <w:t>e</w:t>
      </w:r>
      <w:r w:rsidRPr="7AE8CECF" w:rsidR="1CEF9AB8">
        <w:rPr>
          <w:b w:val="0"/>
          <w:bCs w:val="0"/>
          <w:noProof w:val="0"/>
          <w:lang w:val="en-US"/>
        </w:rPr>
        <w:t>/vehicle /year</w:t>
      </w:r>
    </w:p>
    <w:p w:rsidR="5C1E056C" w:rsidP="58B6A004" w:rsidRDefault="5C1E056C" w14:paraId="52E2A7BA" w14:textId="73A55714">
      <w:pPr>
        <w:pStyle w:val="ListParagraph"/>
        <w:numPr>
          <w:ilvl w:val="0"/>
          <w:numId w:val="9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AE8CECF" w:rsidR="5C1E056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Method for tracking</w:t>
      </w:r>
    </w:p>
    <w:p w:rsidR="5C1E056C" w:rsidP="7AE8CECF" w:rsidRDefault="5C1E056C" w14:paraId="402E79BB" w14:textId="20EEF3E0">
      <w:pPr>
        <w:pStyle w:val="ListParagraph"/>
        <w:numPr>
          <w:ilvl w:val="1"/>
          <w:numId w:val="9"/>
        </w:numPr>
        <w:suppressLineNumbers w:val="0"/>
        <w:bidi w:val="0"/>
        <w:spacing w:before="0" w:beforeAutospacing="off" w:after="160" w:afterAutospacing="off" w:line="259" w:lineRule="auto"/>
        <w:ind w:left="144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AE8CECF" w:rsidR="5C1E056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Track </w:t>
      </w:r>
      <w:r w:rsidRPr="7AE8CECF" w:rsidR="64BE220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electricity </w:t>
      </w:r>
      <w:r w:rsidRPr="7AE8CECF" w:rsidR="5C1E056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usage of EV charging stations and </w:t>
      </w:r>
      <w:r w:rsidRPr="7AE8CECF" w:rsidR="2C7FD33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track the </w:t>
      </w:r>
      <w:r w:rsidRPr="7AE8CECF" w:rsidR="37C95A6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miles driven by city fleet EVs. </w:t>
      </w:r>
      <w:r w:rsidRPr="7AE8CECF" w:rsidR="3D3C0E2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The Sustainability </w:t>
      </w:r>
      <w:r w:rsidRPr="7AE8CECF" w:rsidR="3D3C0E2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Coordinator</w:t>
      </w:r>
      <w:r w:rsidRPr="7AE8CECF" w:rsidR="3D3C0E2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 Data Analyst will </w:t>
      </w:r>
      <w:r w:rsidRPr="7AE8CECF" w:rsidR="3D3C0E2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assist</w:t>
      </w:r>
      <w:r w:rsidRPr="7AE8CECF" w:rsidR="3D3C0E2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Fleet and other relevant departments in collecting this data through the software </w:t>
      </w:r>
      <w:r w:rsidRPr="7AE8CECF" w:rsidR="3D3C0E2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being </w:t>
      </w:r>
      <w:r w:rsidRPr="7AE8CECF" w:rsidR="3D3C0E2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used for the charging stations. </w:t>
      </w:r>
    </w:p>
    <w:p w:rsidR="58B6A004" w:rsidP="58B6A004" w:rsidRDefault="58B6A004" w14:paraId="45165215" w14:textId="4DFCE7A2">
      <w:pPr>
        <w:pStyle w:val="Normal"/>
        <w:spacing w:before="0" w:beforeAutospacing="off" w:after="0" w:afterAutospacing="off" w:line="240" w:lineRule="auto"/>
        <w:ind w:left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13398222" w:rsidP="5F667D31" w:rsidRDefault="13398222" w14:paraId="24841AE3" w14:textId="2F2F1EB0">
      <w:pPr>
        <w:pStyle w:val="Normal"/>
        <w:spacing w:before="0" w:beforeAutospacing="off" w:after="0" w:afterAutospacing="off" w:line="240" w:lineRule="auto"/>
        <w:ind w:left="0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F667D31" w:rsidR="1339822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Red</w:t>
      </w:r>
      <w:r w:rsidRPr="5F667D31" w:rsidR="53A2FE2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b</w:t>
      </w:r>
      <w:r w:rsidRPr="5F667D31" w:rsidR="1339822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ud Trail</w:t>
      </w:r>
    </w:p>
    <w:p w:rsidR="13398222" w:rsidP="58B6A004" w:rsidRDefault="13398222" w14:paraId="4371AC0C" w14:textId="63936013">
      <w:pPr>
        <w:pStyle w:val="ListParagraph"/>
        <w:numPr>
          <w:ilvl w:val="0"/>
          <w:numId w:val="20"/>
        </w:num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AE8CECF" w:rsidR="1339822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Methodology for estimating GHG emission reduction </w:t>
      </w:r>
    </w:p>
    <w:p w:rsidR="13398222" w:rsidP="7AE8CECF" w:rsidRDefault="13398222" w14:paraId="1FCCEE1A" w14:textId="26307C69">
      <w:pPr>
        <w:pStyle w:val="ListParagraph"/>
        <w:numPr>
          <w:ilvl w:val="1"/>
          <w:numId w:val="20"/>
        </w:num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7AE8CECF" w:rsidR="3D23A5F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This was the most challenging project to estimate reductions for it. Pedestrian/Bicycle paths have an established </w:t>
      </w:r>
      <w:r w:rsidRPr="7AE8CECF" w:rsidR="3D23A5F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methodology</w:t>
      </w:r>
      <w:r w:rsidRPr="7AE8CECF" w:rsidR="3D23A5F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 formula, but pedestrian crossing bridges do not. As part of this project, the </w:t>
      </w:r>
      <w:r w:rsidRPr="7AE8CECF" w:rsidR="2DAE7CA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Data Analyst and Sustainability Coordinator</w:t>
      </w:r>
      <w:r w:rsidRPr="7AE8CECF" w:rsidR="02AC234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would </w:t>
      </w:r>
      <w:r w:rsidRPr="7AE8CECF" w:rsidR="02AC234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be resp</w:t>
      </w:r>
      <w:r w:rsidRPr="7AE8CECF" w:rsidR="2180C1C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</w:t>
      </w:r>
      <w:r w:rsidRPr="7AE8CECF" w:rsidR="02AC234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nsible for</w:t>
      </w:r>
      <w:r w:rsidRPr="7AE8CECF" w:rsidR="02AC234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developing a more concrete method for measuring the ghg reductions.</w:t>
      </w:r>
      <w:r w:rsidRPr="7AE8CECF" w:rsidR="5AA504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7AE8CECF" w:rsidR="5AA504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In particular, looking</w:t>
      </w:r>
      <w:r w:rsidRPr="7AE8CECF" w:rsidR="5AA504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for ghg reductions from reduced traffic stops and congestion along </w:t>
      </w:r>
      <w:r w:rsidRPr="7AE8CECF" w:rsidR="5AA504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with the effect of the bridges increasing usage of the trail will need to be analyzed. </w:t>
      </w:r>
    </w:p>
    <w:p w:rsidR="3E0A45D3" w:rsidP="7AE8CECF" w:rsidRDefault="3E0A45D3" w14:paraId="71926FF5" w14:textId="7DDA0E0B">
      <w:pPr>
        <w:pStyle w:val="ListParagraph"/>
        <w:numPr>
          <w:ilvl w:val="0"/>
          <w:numId w:val="20"/>
        </w:numPr>
        <w:spacing w:before="0" w:beforeAutospacing="off" w:after="0" w:afterAutospacing="off" w:line="240" w:lineRule="auto"/>
        <w:rPr>
          <w:noProof w:val="0"/>
          <w:u w:val="none"/>
          <w:lang w:val="en-US"/>
        </w:rPr>
      </w:pPr>
      <w:r w:rsidRPr="7AE8CECF" w:rsidR="36CB48A9">
        <w:rPr>
          <w:noProof w:val="0"/>
          <w:u w:val="none"/>
          <w:lang w:val="en-US"/>
        </w:rPr>
        <w:t>In the meantime, this estimation will</w:t>
      </w:r>
      <w:r w:rsidRPr="7AE8CECF" w:rsidR="3E0A45D3">
        <w:rPr>
          <w:noProof w:val="0"/>
          <w:u w:val="none"/>
          <w:lang w:val="en-US"/>
        </w:rPr>
        <w:t xml:space="preserve"> </w:t>
      </w:r>
      <w:r w:rsidRPr="7AE8CECF" w:rsidR="42711AE1">
        <w:rPr>
          <w:noProof w:val="0"/>
          <w:u w:val="none"/>
          <w:lang w:val="en-US"/>
        </w:rPr>
        <w:t>utilize</w:t>
      </w:r>
      <w:r w:rsidRPr="7AE8CECF" w:rsidR="42711AE1">
        <w:rPr>
          <w:noProof w:val="0"/>
          <w:u w:val="none"/>
          <w:lang w:val="en-US"/>
        </w:rPr>
        <w:t xml:space="preserve"> </w:t>
      </w:r>
      <w:r w:rsidRPr="7AE8CECF" w:rsidR="3E0A45D3">
        <w:rPr>
          <w:noProof w:val="0"/>
          <w:u w:val="none"/>
          <w:lang w:val="en-US"/>
        </w:rPr>
        <w:t xml:space="preserve">the formula </w:t>
      </w:r>
      <w:r w:rsidRPr="7AE8CECF" w:rsidR="3AFCBF6B">
        <w:rPr>
          <w:noProof w:val="0"/>
          <w:u w:val="none"/>
          <w:lang w:val="en-US"/>
        </w:rPr>
        <w:t xml:space="preserve">for pedestrian/bike </w:t>
      </w:r>
      <w:r w:rsidRPr="7AE8CECF" w:rsidR="3AFCBF6B">
        <w:rPr>
          <w:noProof w:val="0"/>
          <w:u w:val="none"/>
          <w:lang w:val="en-US"/>
        </w:rPr>
        <w:t>paths</w:t>
      </w:r>
      <w:r w:rsidRPr="7AE8CECF" w:rsidR="3AFCBF6B">
        <w:rPr>
          <w:noProof w:val="0"/>
          <w:u w:val="none"/>
          <w:lang w:val="en-US"/>
        </w:rPr>
        <w:t xml:space="preserve"> </w:t>
      </w:r>
      <w:r w:rsidRPr="7AE8CECF" w:rsidR="3E0A45D3">
        <w:rPr>
          <w:noProof w:val="0"/>
          <w:u w:val="none"/>
          <w:lang w:val="en-US"/>
        </w:rPr>
        <w:t xml:space="preserve">put forward by the Minnesota DOT </w:t>
      </w:r>
      <w:r w:rsidRPr="7AE8CECF" w:rsidR="645CE06C">
        <w:rPr>
          <w:noProof w:val="0"/>
          <w:u w:val="none"/>
          <w:lang w:val="en-US"/>
        </w:rPr>
        <w:t xml:space="preserve">in their Carbon Reduction </w:t>
      </w:r>
      <w:r w:rsidRPr="7AE8CECF" w:rsidR="69E5D2AA">
        <w:rPr>
          <w:noProof w:val="0"/>
          <w:u w:val="none"/>
          <w:lang w:val="en-US"/>
        </w:rPr>
        <w:t>Strategy</w:t>
      </w:r>
      <w:r w:rsidRPr="7AE8CECF" w:rsidR="645CE06C">
        <w:rPr>
          <w:noProof w:val="0"/>
          <w:u w:val="none"/>
          <w:lang w:val="en-US"/>
        </w:rPr>
        <w:t xml:space="preserve"> </w:t>
      </w:r>
      <w:r w:rsidRPr="7AE8CECF" w:rsidR="3E0A45D3">
        <w:rPr>
          <w:noProof w:val="0"/>
          <w:u w:val="none"/>
          <w:lang w:val="en-US"/>
        </w:rPr>
        <w:t xml:space="preserve">to calculate the GHG reductions from this project. Based upon careful review, the formula was </w:t>
      </w:r>
      <w:r w:rsidRPr="7AE8CECF" w:rsidR="3E0A45D3">
        <w:rPr>
          <w:noProof w:val="0"/>
          <w:u w:val="none"/>
          <w:lang w:val="en-US"/>
        </w:rPr>
        <w:t>deemed</w:t>
      </w:r>
      <w:r w:rsidRPr="7AE8CECF" w:rsidR="3E0A45D3">
        <w:rPr>
          <w:noProof w:val="0"/>
          <w:u w:val="none"/>
          <w:lang w:val="en-US"/>
        </w:rPr>
        <w:t xml:space="preserve"> relevant to the Redbud Trail project with any changes noted below and sources </w:t>
      </w:r>
      <w:r w:rsidRPr="7AE8CECF" w:rsidR="4470DC37">
        <w:rPr>
          <w:noProof w:val="0"/>
          <w:u w:val="none"/>
          <w:lang w:val="en-US"/>
        </w:rPr>
        <w:t xml:space="preserve">referenced. </w:t>
      </w:r>
    </w:p>
    <w:p w:rsidR="65EDEFCF" w:rsidP="7AE8CECF" w:rsidRDefault="65EDEFCF" w14:paraId="50270022" w14:textId="1AC63311">
      <w:pPr>
        <w:pStyle w:val="ListParagraph"/>
        <w:numPr>
          <w:ilvl w:val="0"/>
          <w:numId w:val="20"/>
        </w:num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7AE8CECF" w:rsidR="31F5602D">
        <w:rPr>
          <w:noProof w:val="0"/>
          <w:u w:val="none"/>
          <w:lang w:val="en-US"/>
        </w:rPr>
        <w:t>Minnesota DOT-</w:t>
      </w:r>
      <w:r w:rsidRPr="7AE8CECF" w:rsidR="03504D71">
        <w:rPr>
          <w:noProof w:val="0"/>
          <w:u w:val="none"/>
          <w:lang w:val="en-US"/>
        </w:rPr>
        <w:t xml:space="preserve"> </w:t>
      </w:r>
      <w:r w:rsidRPr="7AE8CECF" w:rsidR="65EDEFC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Bike</w:t>
      </w:r>
      <w:r w:rsidRPr="7AE8CECF" w:rsidR="65EDEFC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method:</w:t>
      </w:r>
    </w:p>
    <w:p w:rsidR="26F29E16" w:rsidP="00AA9D09" w:rsidRDefault="26F29E16" w14:paraId="1EBF4D5A" w14:textId="11F6BC3C">
      <w:pPr>
        <w:pStyle w:val="ListParagraph"/>
        <w:numPr>
          <w:ilvl w:val="1"/>
          <w:numId w:val="20"/>
        </w:numPr>
        <w:spacing w:before="0" w:beforeAutospacing="off" w:after="0" w:afterAutospacing="off" w:line="240" w:lineRule="auto"/>
        <w:rPr>
          <w:u w:val="none"/>
        </w:rPr>
      </w:pPr>
      <w:r w:rsidRPr="7AE8CECF" w:rsidR="6D8232A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Formula</w:t>
      </w:r>
      <w:r w:rsidRPr="7AE8CECF" w:rsidR="55F17146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from Minesota DOT, with some modifications</w:t>
      </w:r>
      <w:r w:rsidRPr="7AE8CECF" w:rsidR="6D8232A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: </w:t>
      </w:r>
      <w:r w:rsidR="45DDAA5F">
        <w:drawing>
          <wp:inline wp14:editId="70F40F9D" wp14:anchorId="557BFAE0">
            <wp:extent cx="4572000" cy="3562350"/>
            <wp:effectExtent l="0" t="0" r="0" b="0"/>
            <wp:docPr id="1651271337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659f14ba03a44c3d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4572000" cy="356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6F29E16" w:rsidP="7AE8CECF" w:rsidRDefault="26F29E16" w14:paraId="0EAF892F" w14:textId="52E82267">
      <w:pPr>
        <w:pStyle w:val="ListParagraph"/>
        <w:numPr>
          <w:ilvl w:val="1"/>
          <w:numId w:val="20"/>
        </w:num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AE8CECF" w:rsidR="26F29E1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214 days/year </w:t>
      </w:r>
      <w:r w:rsidRPr="7AE8CECF" w:rsidR="26F29E1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x </w:t>
      </w:r>
      <w:r w:rsidRPr="7AE8CECF" w:rsidR="26F29E1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20,000 </w:t>
      </w:r>
      <w:r w:rsidRPr="7AE8CECF" w:rsidR="6E939E6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AADT</w:t>
      </w:r>
      <w:r w:rsidRPr="7AE8CECF" w:rsidR="36506C9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7AE8CECF" w:rsidR="14C6E91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x</w:t>
      </w:r>
      <w:r w:rsidRPr="7AE8CECF" w:rsidR="14C6E91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(0.0</w:t>
      </w:r>
      <w:r w:rsidRPr="7AE8CECF" w:rsidR="216CB6A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027+ </w:t>
      </w:r>
      <w:r w:rsidRPr="7AE8CECF" w:rsidR="4C69E0A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0.003)</w:t>
      </w:r>
      <w:r w:rsidRPr="7AE8CECF" w:rsidR="3E6BE45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x 1.54 x </w:t>
      </w:r>
      <w:r w:rsidRPr="7AE8CECF" w:rsidR="1DBE56E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2.01 miles x </w:t>
      </w:r>
      <w:r w:rsidRPr="7AE8CECF" w:rsidR="1BE4643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(4.022 x 10-4 CO</w:t>
      </w:r>
      <w:r w:rsidRPr="7AE8CECF" w:rsidR="1BE4643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subscript"/>
          <w:lang w:val="en-US"/>
        </w:rPr>
        <w:t>2</w:t>
      </w:r>
      <w:r w:rsidRPr="7AE8CECF" w:rsidR="1BE4643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 MT per mile)</w:t>
      </w:r>
      <w:r w:rsidRPr="7AE8CECF" w:rsidR="2F6CB40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= </w:t>
      </w:r>
      <w:r w:rsidRPr="7AE8CECF" w:rsidR="2F6CB40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30.4 CO</w:t>
      </w:r>
      <w:r w:rsidRPr="7AE8CECF" w:rsidR="2F6CB40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subscript"/>
          <w:lang w:val="en-US"/>
        </w:rPr>
        <w:t xml:space="preserve"> 2</w:t>
      </w:r>
      <w:r w:rsidRPr="7AE8CECF" w:rsidR="2F6CB40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 MT per year</w:t>
      </w:r>
    </w:p>
    <w:p w:rsidR="562203E5" w:rsidP="00AA9D09" w:rsidRDefault="562203E5" w14:paraId="567EB8AF" w14:textId="1E5D2AB3">
      <w:pPr>
        <w:pStyle w:val="ListParagraph"/>
        <w:numPr>
          <w:ilvl w:val="2"/>
          <w:numId w:val="20"/>
        </w:numPr>
        <w:spacing w:before="0" w:beforeAutospacing="off" w:after="0" w:afterAutospacing="off" w:line="240" w:lineRule="auto"/>
        <w:rPr>
          <w:noProof w:val="0"/>
          <w:lang w:val="en-US"/>
        </w:rPr>
      </w:pPr>
      <w:r w:rsidRPr="7AE8CECF" w:rsidR="562203E5">
        <w:rPr>
          <w:noProof w:val="0"/>
          <w:lang w:val="en-US"/>
        </w:rPr>
        <w:t>15,000-22,000 drivers on roads parallel to Redbud</w:t>
      </w:r>
      <w:r w:rsidRPr="7AE8CECF" w:rsidR="36554FA1">
        <w:rPr>
          <w:noProof w:val="0"/>
          <w:lang w:val="en-US"/>
        </w:rPr>
        <w:t xml:space="preserve"> Trail</w:t>
      </w:r>
      <w:r w:rsidRPr="7AE8CECF" w:rsidR="562203E5">
        <w:rPr>
          <w:noProof w:val="0"/>
          <w:lang w:val="en-US"/>
        </w:rPr>
        <w:t xml:space="preserve">, average is 19,000-20,000 </w:t>
      </w:r>
      <w:hyperlink r:id="Rb0e7a8602dbb41e1">
        <w:r w:rsidRPr="7AE8CECF" w:rsidR="03C0586B">
          <w:rPr>
            <w:rStyle w:val="Hyperlink"/>
            <w:noProof w:val="0"/>
            <w:lang w:val="en-US"/>
          </w:rPr>
          <w:t>https://data-cityofwichita.hub.arcgis.com/datasets/7d9b84c73ce3477da02ac5adde478ecb_0/explore?location=37.713939%2C-97.229593%2C13.90</w:t>
        </w:r>
      </w:hyperlink>
      <w:r w:rsidRPr="7AE8CECF" w:rsidR="03C0586B">
        <w:rPr>
          <w:noProof w:val="0"/>
          <w:lang w:val="en-US"/>
        </w:rPr>
        <w:t xml:space="preserve"> </w:t>
      </w:r>
    </w:p>
    <w:p w:rsidR="26F29E16" w:rsidP="7AE8CECF" w:rsidRDefault="26F29E16" w14:paraId="7753B657" w14:textId="445F3EE0">
      <w:pPr>
        <w:pStyle w:val="ListParagraph"/>
        <w:numPr>
          <w:ilvl w:val="1"/>
          <w:numId w:val="20"/>
        </w:num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AE8CECF" w:rsidR="310D893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The following data points were calculated using the tables in the California methods on page</w:t>
      </w:r>
      <w:r w:rsidRPr="7AE8CECF" w:rsidR="69AE08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 22-24.</w:t>
      </w:r>
    </w:p>
    <w:p w:rsidR="26F29E16" w:rsidP="7AE8CECF" w:rsidRDefault="26F29E16" w14:paraId="7C8BB472" w14:textId="63B298CF">
      <w:pPr>
        <w:pStyle w:val="ListParagraph"/>
        <w:numPr>
          <w:ilvl w:val="2"/>
          <w:numId w:val="20"/>
        </w:num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AE8CECF" w:rsidR="26F29E1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0.0</w:t>
      </w:r>
      <w:r w:rsidRPr="7AE8CECF" w:rsidR="050A0A9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0</w:t>
      </w:r>
      <w:r w:rsidRPr="7AE8CECF" w:rsidR="26F29E1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27 adjustment for number of trips</w:t>
      </w:r>
    </w:p>
    <w:p w:rsidR="25F11419" w:rsidP="7AE8CECF" w:rsidRDefault="25F11419" w14:paraId="31AC0241" w14:textId="79A0370C">
      <w:pPr>
        <w:pStyle w:val="ListParagraph"/>
        <w:numPr>
          <w:ilvl w:val="2"/>
          <w:numId w:val="20"/>
        </w:num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AE8CECF" w:rsidR="25F1141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Key Destinations: </w:t>
      </w:r>
      <w:r w:rsidRPr="7AE8CECF" w:rsidR="5972A8E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2 groceries stores,</w:t>
      </w:r>
      <w:r w:rsidRPr="7AE8CECF" w:rsidR="0B8BC7A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2 schools, 2 medical centers, </w:t>
      </w:r>
      <w:r w:rsidRPr="7AE8CECF" w:rsidR="3B3FB5A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1 day care center, and more (0.003)</w:t>
      </w:r>
    </w:p>
    <w:p w:rsidR="3C4348AE" w:rsidP="7AE8CECF" w:rsidRDefault="3C4348AE" w14:paraId="332ED018" w14:textId="2328B4DC">
      <w:pPr>
        <w:pStyle w:val="ListParagraph"/>
        <w:numPr>
          <w:ilvl w:val="2"/>
          <w:numId w:val="20"/>
        </w:num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AE8CECF" w:rsidR="3C4348A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Growth factor adjustment for facility type [0.46 – 1.54] This project qualifies as class 1 and 1.54 adjus</w:t>
      </w:r>
      <w:r w:rsidRPr="7AE8CECF" w:rsidR="7F579E5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tment</w:t>
      </w:r>
      <w:r w:rsidRPr="7AE8CECF" w:rsidR="3562C2B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. </w:t>
      </w:r>
    </w:p>
    <w:p w:rsidR="3562C2BB" w:rsidP="7AE8CECF" w:rsidRDefault="3562C2BB" w14:paraId="6F8F1B64" w14:textId="4B20E491">
      <w:pPr>
        <w:pStyle w:val="ListParagraph"/>
        <w:numPr>
          <w:ilvl w:val="2"/>
          <w:numId w:val="20"/>
        </w:numPr>
        <w:spacing w:before="0" w:beforeAutospacing="off" w:after="0" w:afterAutospacing="off" w:line="240" w:lineRule="auto"/>
        <w:rPr>
          <w:noProof w:val="0"/>
          <w:lang w:val="en-US"/>
        </w:rPr>
      </w:pPr>
      <w:r w:rsidRPr="7AE8CECF" w:rsidR="3562C2BB">
        <w:rPr>
          <w:noProof w:val="0"/>
          <w:lang w:val="en-US"/>
        </w:rPr>
        <w:t>Average length of vehicle trip replaced by bicycle: 2.01 miles</w:t>
      </w:r>
    </w:p>
    <w:p w:rsidR="65EDEFCF" w:rsidP="00AA9D09" w:rsidRDefault="65EDEFCF" w14:paraId="4E341939" w14:textId="2A063F6C">
      <w:pPr>
        <w:pStyle w:val="Normal"/>
        <w:spacing w:before="0" w:beforeAutospacing="off" w:after="0" w:afterAutospacing="off" w:line="240" w:lineRule="auto"/>
        <w:ind w:left="0"/>
      </w:pPr>
      <w:r w:rsidR="65EDEFCF">
        <w:drawing>
          <wp:inline wp14:editId="554F0CEA" wp14:anchorId="63E8F76D">
            <wp:extent cx="4572000" cy="3429000"/>
            <wp:effectExtent l="0" t="0" r="0" b="0"/>
            <wp:docPr id="1561398379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eb5c5f21d8264d16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457200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35708DEF" w:rsidP="7AE8CECF" w:rsidRDefault="35708DEF" w14:paraId="2806A6F3" w14:textId="524BD3E3">
      <w:pPr>
        <w:pStyle w:val="ListParagraph"/>
        <w:numPr>
          <w:ilvl w:val="0"/>
          <w:numId w:val="20"/>
        </w:num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AE8CECF" w:rsidR="35708DE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Sources: </w:t>
      </w:r>
    </w:p>
    <w:p w:rsidR="07212E65" w:rsidP="7AE8CECF" w:rsidRDefault="07212E65" w14:paraId="7B6B113B" w14:textId="16C896EB">
      <w:pPr>
        <w:pStyle w:val="ListParagraph"/>
        <w:numPr>
          <w:ilvl w:val="1"/>
          <w:numId w:val="20"/>
        </w:num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b0bc57dd85df4bb4">
        <w:r w:rsidRPr="7AE8CECF" w:rsidR="07212E6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https://ww2.arb.ca.gov/sites/default/files/auction-proceeds/sgc_ahsc_finalqm_121423.pdf</w:t>
        </w:r>
      </w:hyperlink>
      <w:r w:rsidRPr="7AE8CECF" w:rsidR="07212E6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7AE8CECF" w:rsidR="35708DE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- </w:t>
      </w:r>
      <w:r w:rsidRPr="7AE8CECF" w:rsidR="4919D7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“Quantification Methodology: Strategic Growth Council Affordable Housing and Sustainable Communities Program,” California Climate Investments pg. 22-24</w:t>
      </w:r>
    </w:p>
    <w:p w:rsidR="22DE73DB" w:rsidP="7AE8CECF" w:rsidRDefault="22DE73DB" w14:paraId="5C229BBB" w14:textId="138FF7AD">
      <w:pPr>
        <w:pStyle w:val="ListParagraph"/>
        <w:numPr>
          <w:ilvl w:val="1"/>
          <w:numId w:val="20"/>
        </w:num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a40176c530994a3a">
        <w:r w:rsidRPr="7AE8CECF" w:rsidR="22DE73DB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https://edocs-public.dot.state.mn.us/edocs_public/DMResultSet/download?docId=36928262</w:t>
        </w:r>
      </w:hyperlink>
      <w:r w:rsidRPr="7AE8CECF" w:rsidR="22DE73D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- Minnesota Carbon Reduction Strategy 2023</w:t>
      </w:r>
    </w:p>
    <w:p w:rsidR="7AE8CECF" w:rsidP="7AE8CECF" w:rsidRDefault="7AE8CECF" w14:paraId="6BF5E5AD" w14:textId="07C75FFA">
      <w:pPr>
        <w:pStyle w:val="Normal"/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13398222" w:rsidP="7AE8CECF" w:rsidRDefault="13398222" w14:paraId="317EDBE5" w14:textId="378765DE">
      <w:pPr>
        <w:pStyle w:val="Normal"/>
        <w:spacing w:before="0" w:beforeAutospacing="off" w:after="0" w:afterAutospacing="off" w:line="240" w:lineRule="auto"/>
        <w:ind w:left="0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AE8CECF" w:rsidR="1339822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Solar Panel Installations</w:t>
      </w:r>
    </w:p>
    <w:p w:rsidR="0D5AC9E0" w:rsidP="418F0228" w:rsidRDefault="0D5AC9E0" w14:paraId="163082CE" w14:textId="18BE0067">
      <w:pPr>
        <w:pStyle w:val="ListParagraph"/>
        <w:numPr>
          <w:ilvl w:val="0"/>
          <w:numId w:val="21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18F0228" w:rsidR="0D5AC9E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Methodology for estimating GHG emission </w:t>
      </w:r>
      <w:r w:rsidRPr="418F0228" w:rsidR="0D5AC9E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reduction</w:t>
      </w:r>
      <w:r w:rsidRPr="418F0228" w:rsidR="3B221E8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</w:t>
      </w:r>
    </w:p>
    <w:p w:rsidR="0D5AC9E0" w:rsidP="7AE8CECF" w:rsidRDefault="0D5AC9E0" w14:paraId="6C10FE28" w14:textId="79688683">
      <w:pPr>
        <w:pStyle w:val="ListParagraph"/>
        <w:numPr>
          <w:ilvl w:val="1"/>
          <w:numId w:val="21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AE8CECF" w:rsidR="0D5AC9E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Estimated as solar replacing equivalent </w:t>
      </w:r>
      <w:r w:rsidRPr="7AE8CECF" w:rsidR="0D5AC9E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Evergy</w:t>
      </w:r>
      <w:r w:rsidRPr="7AE8CECF" w:rsidR="0D5AC9E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electricity mix</w:t>
      </w:r>
    </w:p>
    <w:p w:rsidR="0D5AC9E0" w:rsidP="418F0228" w:rsidRDefault="0D5AC9E0" w14:paraId="09E88C8A" w14:textId="05D86C1A">
      <w:pPr>
        <w:pStyle w:val="ListParagraph"/>
        <w:numPr>
          <w:ilvl w:val="1"/>
          <w:numId w:val="21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18F0228" w:rsidR="0D5AC9E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Generate ~14,000 kWh per month</w:t>
      </w:r>
      <w:r w:rsidRPr="418F0228" w:rsidR="1138ED0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at three solar installations (</w:t>
      </w:r>
      <w:r w:rsidRPr="418F0228" w:rsidR="0D888C4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100-120kW </w:t>
      </w:r>
      <w:r w:rsidRPr="418F0228" w:rsidR="0D888C4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</w:t>
      </w:r>
      <w:r w:rsidRPr="418F0228" w:rsidR="0D888C4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rrays;</w:t>
      </w:r>
      <w:r w:rsidRPr="418F0228" w:rsidR="0D888C4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418F0228" w:rsidR="1138ED0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168,000 kWh annual</w:t>
      </w:r>
      <w:r w:rsidRPr="418F0228" w:rsidR="16C787A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ly, each</w:t>
      </w:r>
      <w:r w:rsidRPr="418F0228" w:rsidR="1138ED0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)</w:t>
      </w:r>
    </w:p>
    <w:p w:rsidR="529407D8" w:rsidP="7AE8CECF" w:rsidRDefault="529407D8" w14:paraId="778F9CC7" w14:textId="06D793E2">
      <w:pPr>
        <w:pStyle w:val="ListParagraph"/>
        <w:numPr>
          <w:ilvl w:val="2"/>
          <w:numId w:val="21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AE8CECF" w:rsidR="529407D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Based on estimate from possible vendor</w:t>
      </w:r>
    </w:p>
    <w:p w:rsidR="1138ED0A" w:rsidP="7AE8CECF" w:rsidRDefault="1138ED0A" w14:paraId="28841F31" w14:textId="54469F0F">
      <w:pPr>
        <w:pStyle w:val="ListParagraph"/>
        <w:numPr>
          <w:ilvl w:val="1"/>
          <w:numId w:val="21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AE8CECF" w:rsidR="1138ED0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Generate ~1,00</w:t>
      </w:r>
      <w:r w:rsidRPr="7AE8CECF" w:rsidR="63BE32D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0,000 kWh </w:t>
      </w:r>
      <w:r w:rsidRPr="7AE8CECF" w:rsidR="3CB8482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annually</w:t>
      </w:r>
      <w:r w:rsidRPr="7AE8CECF" w:rsidR="0A3FF4F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7AE8CECF" w:rsidR="63BE32D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at Multimodal Facility (875kW array</w:t>
      </w:r>
      <w:r w:rsidRPr="7AE8CECF" w:rsidR="050AE09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)</w:t>
      </w:r>
    </w:p>
    <w:p w:rsidR="3A4193DD" w:rsidP="7AE8CECF" w:rsidRDefault="3A4193DD" w14:paraId="41C298E9" w14:textId="2CB4E487">
      <w:pPr>
        <w:pStyle w:val="ListParagraph"/>
        <w:numPr>
          <w:ilvl w:val="2"/>
          <w:numId w:val="21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AE8CECF" w:rsidR="3A4193D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Based on </w:t>
      </w:r>
      <w:r w:rsidRPr="7AE8CECF" w:rsidR="3A4193D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initial</w:t>
      </w:r>
      <w:r w:rsidRPr="7AE8CECF" w:rsidR="3A4193D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estimate from contractor building the facility</w:t>
      </w:r>
    </w:p>
    <w:p w:rsidR="6AD32D6D" w:rsidP="7AE8CECF" w:rsidRDefault="6AD32D6D" w14:paraId="16B4AEC2" w14:textId="1C5221E1">
      <w:pPr>
        <w:pStyle w:val="ListParagraph"/>
        <w:numPr>
          <w:ilvl w:val="1"/>
          <w:numId w:val="21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AE8CECF" w:rsidR="6AD32D6D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Formula</w:t>
      </w:r>
      <w:r w:rsidRPr="7AE8CECF" w:rsidR="6AD32D6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: Estimated </w:t>
      </w:r>
      <w:r w:rsidRPr="7AE8CECF" w:rsidR="3B2D787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k</w:t>
      </w:r>
      <w:r w:rsidRPr="7AE8CECF" w:rsidR="6AD32D6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Wh generated by solar installation</w:t>
      </w:r>
      <w:r w:rsidRPr="7AE8CECF" w:rsidR="6BE8040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: 1,504,000 kWh annually</w:t>
      </w:r>
    </w:p>
    <w:p w:rsidR="6AD32D6D" w:rsidP="7AE8CECF" w:rsidRDefault="6AD32D6D" w14:paraId="408775F9" w14:textId="74C47DAE">
      <w:pPr>
        <w:pStyle w:val="ListParagraph"/>
        <w:numPr>
          <w:ilvl w:val="1"/>
          <w:numId w:val="21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AE8CECF" w:rsidR="042E693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991.7 </w:t>
      </w:r>
      <w:r w:rsidRPr="7AE8CECF" w:rsidR="2520211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lbs</w:t>
      </w:r>
      <w:r w:rsidRPr="7AE8CECF" w:rsidR="2520211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CO2/MWh × 1 metric ton/2,204.6 </w:t>
      </w:r>
      <w:r w:rsidRPr="7AE8CECF" w:rsidR="2520211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lbs</w:t>
      </w:r>
      <w:r w:rsidRPr="7AE8CECF" w:rsidR="2520211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× 1</w:t>
      </w:r>
      <w:r w:rsidRPr="7AE8CECF" w:rsidR="2520211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/(</w:t>
      </w:r>
      <w:r w:rsidRPr="7AE8CECF" w:rsidR="2520211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1-0.073) MWh delivered/MWh generated × 1 MWh/1,000 kWh = </w:t>
      </w:r>
      <w:r w:rsidRPr="7AE8CECF" w:rsidR="2520211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4.</w:t>
      </w:r>
      <w:r w:rsidRPr="7AE8CECF" w:rsidR="1A3A2EA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85</w:t>
      </w:r>
      <w:r w:rsidRPr="7AE8CECF" w:rsidR="2520211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× 10</w:t>
      </w:r>
      <w:r w:rsidRPr="7AE8CECF" w:rsidR="2520211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vertAlign w:val="superscript"/>
          <w:lang w:val="en-US"/>
        </w:rPr>
        <w:t>-4</w:t>
      </w:r>
      <w:r w:rsidRPr="7AE8CECF" w:rsidR="2520211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metric tons CO2/kWh</w:t>
      </w:r>
      <w:r w:rsidRPr="7AE8CECF" w:rsidR="515E12C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of </w:t>
      </w:r>
      <w:r w:rsidRPr="7AE8CECF" w:rsidR="54D2F2C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electricity</w:t>
      </w:r>
      <w:r w:rsidRPr="7AE8CECF" w:rsidR="515E12C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used</w:t>
      </w:r>
    </w:p>
    <w:p w:rsidR="25202118" w:rsidP="5F667D31" w:rsidRDefault="25202118" w14:paraId="6F7A4290" w14:textId="747087C3">
      <w:pPr>
        <w:pStyle w:val="ListParagraph"/>
        <w:numPr>
          <w:ilvl w:val="1"/>
          <w:numId w:val="21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AE8CECF" w:rsidR="2520211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Multiply these two numbers to get the </w:t>
      </w:r>
      <w:r w:rsidRPr="7AE8CECF" w:rsidR="2520211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amount</w:t>
      </w:r>
      <w:r w:rsidRPr="7AE8CECF" w:rsidR="2520211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of emissions avoided. </w:t>
      </w:r>
    </w:p>
    <w:p w:rsidR="6AD32D6D" w:rsidP="7AE8CECF" w:rsidRDefault="6AD32D6D" w14:paraId="3E0C92EC" w14:textId="1E47BC17">
      <w:pPr>
        <w:pStyle w:val="ListParagraph"/>
        <w:numPr>
          <w:ilvl w:val="2"/>
          <w:numId w:val="21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AE8CECF" w:rsidR="6AD32D6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Calculated using EPA Greenhouse Gases Equivalencies Calculator</w:t>
      </w:r>
      <w:r w:rsidRPr="7AE8CECF" w:rsidR="126C0F3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- E</w:t>
      </w:r>
      <w:r w:rsidRPr="7AE8CECF" w:rsidR="126C0F3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lectricity consumed (kilowatt-hours)</w:t>
      </w:r>
      <w:r w:rsidRPr="7AE8CECF" w:rsidR="23B7DE6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with the emission rate for SPNO (SPP North) replacing the national average.</w:t>
      </w:r>
    </w:p>
    <w:p w:rsidR="618AE8E6" w:rsidP="7AE8CECF" w:rsidRDefault="618AE8E6" w14:paraId="082846CD" w14:textId="433DFC1B">
      <w:pPr>
        <w:pStyle w:val="ListParagraph"/>
        <w:numPr>
          <w:ilvl w:val="1"/>
          <w:numId w:val="21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7AE8CECF" w:rsidR="618AE8E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1,504,000 x 0.000485 = 729.82 metric tons CO2e per year</w:t>
      </w:r>
    </w:p>
    <w:p w:rsidR="0D5AC9E0" w:rsidP="58B6A004" w:rsidRDefault="0D5AC9E0" w14:paraId="391D70B8" w14:textId="19114393">
      <w:pPr>
        <w:pStyle w:val="ListParagraph"/>
        <w:numPr>
          <w:ilvl w:val="0"/>
          <w:numId w:val="21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8B6A004" w:rsidR="0D5AC9E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Method for tracking GHG reductions</w:t>
      </w:r>
    </w:p>
    <w:p w:rsidR="0D5AC9E0" w:rsidP="7AE8CECF" w:rsidRDefault="0D5AC9E0" w14:paraId="17DCD665" w14:textId="5B662F5C">
      <w:pPr>
        <w:pStyle w:val="ListParagraph"/>
        <w:numPr>
          <w:ilvl w:val="1"/>
          <w:numId w:val="21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AE8CECF" w:rsidR="0D5AC9E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Track output of </w:t>
      </w:r>
      <w:r w:rsidRPr="7AE8CECF" w:rsidR="56B3AF0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each </w:t>
      </w:r>
      <w:r w:rsidRPr="7AE8CECF" w:rsidR="56B3AF0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solar </w:t>
      </w:r>
      <w:r w:rsidRPr="7AE8CECF" w:rsidR="56B3AF0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installation </w:t>
      </w:r>
      <w:r w:rsidRPr="7AE8CECF" w:rsidR="0D5AC9E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and how much power usage is replaced by solar</w:t>
      </w:r>
      <w:r w:rsidRPr="7AE8CECF" w:rsidR="1043056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</w:t>
      </w:r>
    </w:p>
    <w:p w:rsidR="58B6A004" w:rsidP="58B6A004" w:rsidRDefault="58B6A004" w14:paraId="549A65DD" w14:textId="1990AC58">
      <w:pPr>
        <w:pStyle w:val="Normal"/>
        <w:spacing w:before="0" w:beforeAutospacing="off" w:after="0" w:afterAutospacing="off" w:line="240" w:lineRule="auto"/>
        <w:ind w:left="0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13398222" w:rsidP="7AE8CECF" w:rsidRDefault="13398222" w14:paraId="086799F6" w14:textId="0E2EBD4B">
      <w:pPr>
        <w:pStyle w:val="Normal"/>
        <w:spacing w:before="0" w:beforeAutospacing="off" w:after="0" w:afterAutospacing="off" w:line="240" w:lineRule="auto"/>
        <w:ind w:left="0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AE8CECF" w:rsidR="1339822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Tree Canopy</w:t>
      </w:r>
    </w:p>
    <w:p w:rsidR="0188FF51" w:rsidP="58B6A004" w:rsidRDefault="0188FF51" w14:paraId="174678E0" w14:textId="2E973C9D">
      <w:pPr>
        <w:pStyle w:val="ListParagraph"/>
        <w:numPr>
          <w:ilvl w:val="0"/>
          <w:numId w:val="33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F667D31" w:rsidR="0188FF5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Methodology for estimating GHG emission reduction</w:t>
      </w:r>
    </w:p>
    <w:p w:rsidR="38701284" w:rsidP="29AD229E" w:rsidRDefault="38701284" w14:paraId="1F586979" w14:textId="2FA3B548">
      <w:pPr>
        <w:pStyle w:val="ListParagraph"/>
        <w:numPr>
          <w:ilvl w:val="1"/>
          <w:numId w:val="33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9AD229E" w:rsidR="3870128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2600 trees estimated to be </w:t>
      </w:r>
      <w:r w:rsidRPr="29AD229E" w:rsidR="3870128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planted</w:t>
      </w:r>
      <w:r w:rsidRPr="29AD229E" w:rsidR="0CB9E03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as part of this project, and due to time </w:t>
      </w:r>
      <w:r w:rsidRPr="29AD229E" w:rsidR="0CB9E03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constraints</w:t>
      </w:r>
      <w:r w:rsidRPr="29AD229E" w:rsidR="0CB9E03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we had to </w:t>
      </w:r>
      <w:r w:rsidRPr="29AD229E" w:rsidR="0CB9E03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utilize</w:t>
      </w:r>
      <w:r w:rsidRPr="29AD229E" w:rsidR="0CB9E03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 </w:t>
      </w:r>
      <w:r w:rsidRPr="29AD229E" w:rsidR="28C14D3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EPAs “Number of urban tree seedlings grown for 10 years” GHG Calculation Equivalency </w:t>
      </w:r>
      <w:hyperlink r:id="Raa8e77487daf4978">
        <w:r w:rsidRPr="29AD229E" w:rsidR="28C14D31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https://www.epa.gov/energy/greenhouse-gases-equivalencies-calculator-calculations-and-references</w:t>
        </w:r>
      </w:hyperlink>
      <w:r w:rsidRPr="29AD229E" w:rsidR="28C14D3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28C14D31" w:rsidP="29AD229E" w:rsidRDefault="28C14D31" w14:paraId="6F1C2E80" w14:textId="2E83C884">
      <w:pPr>
        <w:pStyle w:val="ListParagraph"/>
        <w:numPr>
          <w:ilvl w:val="2"/>
          <w:numId w:val="33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9AD229E" w:rsidR="28C14D3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0.060 metric ton CO</w:t>
      </w:r>
      <w:r w:rsidRPr="29AD229E" w:rsidR="28C14D3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subscript"/>
          <w:lang w:val="en-US"/>
        </w:rPr>
        <w:t>2</w:t>
      </w:r>
      <w:r w:rsidRPr="29AD229E" w:rsidR="28C14D3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per urban tree planted</w:t>
      </w:r>
      <w:r w:rsidRPr="29AD229E" w:rsidR="1EFEFD2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(10 years)</w:t>
      </w:r>
    </w:p>
    <w:p w:rsidR="1EFEFD20" w:rsidP="29AD229E" w:rsidRDefault="1EFEFD20" w14:paraId="1CDA130C" w14:textId="03B42EF1">
      <w:pPr>
        <w:pStyle w:val="ListParagraph"/>
        <w:numPr>
          <w:ilvl w:val="2"/>
          <w:numId w:val="33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9AD229E" w:rsidR="1EFEFD2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~0.006 metric ton CO</w:t>
      </w:r>
      <w:r w:rsidRPr="29AD229E" w:rsidR="1EFEFD2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subscript"/>
          <w:lang w:val="en-US"/>
        </w:rPr>
        <w:t>2</w:t>
      </w:r>
      <w:r w:rsidRPr="29AD229E" w:rsidR="1EFEFD2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per urban tree </w:t>
      </w:r>
      <w:r w:rsidRPr="29AD229E" w:rsidR="1EFEFD2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planted</w:t>
      </w:r>
      <w:r w:rsidRPr="29AD229E" w:rsidR="1EFEFD2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(1 year)</w:t>
      </w:r>
    </w:p>
    <w:p w:rsidR="1EFEFD20" w:rsidP="29AD229E" w:rsidRDefault="1EFEFD20" w14:paraId="0E5CBE73" w14:textId="48B4DE4D">
      <w:pPr>
        <w:pStyle w:val="ListParagraph"/>
        <w:numPr>
          <w:ilvl w:val="2"/>
          <w:numId w:val="33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9AD229E" w:rsidR="1EFEFD2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0.006 x 2600 trees= ~15.6 metric tons CO</w:t>
      </w:r>
      <w:r w:rsidRPr="29AD229E" w:rsidR="1EFEFD2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subscript"/>
          <w:lang w:val="en-US"/>
        </w:rPr>
        <w:t xml:space="preserve">2 </w:t>
      </w:r>
      <w:r w:rsidRPr="29AD229E" w:rsidR="1EFEFD2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baseline"/>
          <w:lang w:val="en-US"/>
        </w:rPr>
        <w:t>per year</w:t>
      </w:r>
    </w:p>
    <w:p w:rsidR="547B9169" w:rsidP="7AE8CECF" w:rsidRDefault="547B9169" w14:paraId="4C13447D" w14:textId="18A8015B">
      <w:pPr>
        <w:pStyle w:val="ListParagraph"/>
        <w:numPr>
          <w:ilvl w:val="1"/>
          <w:numId w:val="33"/>
        </w:numPr>
        <w:spacing w:after="160" w:line="259" w:lineRule="auto"/>
        <w:rPr>
          <w:noProof w:val="0"/>
          <w:lang w:val="en-US"/>
        </w:rPr>
      </w:pPr>
      <w:r w:rsidRPr="29AD229E" w:rsidR="547B9169">
        <w:rPr>
          <w:noProof w:val="0"/>
          <w:lang w:val="en-US"/>
        </w:rPr>
        <w:t xml:space="preserve">Future calculations </w:t>
      </w:r>
      <w:r w:rsidRPr="29AD229E" w:rsidR="12513AC0">
        <w:rPr>
          <w:noProof w:val="0"/>
          <w:lang w:val="en-US"/>
        </w:rPr>
        <w:t xml:space="preserve">could </w:t>
      </w:r>
      <w:r w:rsidRPr="29AD229E" w:rsidR="547B9169">
        <w:rPr>
          <w:noProof w:val="0"/>
          <w:lang w:val="en-US"/>
        </w:rPr>
        <w:t>utilize</w:t>
      </w:r>
      <w:r w:rsidRPr="29AD229E" w:rsidR="547B9169">
        <w:rPr>
          <w:noProof w:val="0"/>
          <w:lang w:val="en-US"/>
        </w:rPr>
        <w:t xml:space="preserve"> the EPA’s Sequestration worksheet:  </w:t>
      </w:r>
      <w:hyperlink r:id="R491ab7e9070e4c9a">
        <w:r w:rsidRPr="29AD229E" w:rsidR="547B9169">
          <w:rPr>
            <w:rStyle w:val="Hyperlink"/>
            <w:noProof w:val="0"/>
            <w:lang w:val="en-US"/>
          </w:rPr>
          <w:t>https://www3.epa.gov/climatechange/Downloads/method-calculating-carbon-sequestration-trees-urban-and-suburban-settings.pdf</w:t>
        </w:r>
      </w:hyperlink>
      <w:r w:rsidRPr="29AD229E" w:rsidR="547B9169">
        <w:rPr>
          <w:noProof w:val="0"/>
          <w:lang w:val="en-US"/>
        </w:rPr>
        <w:t xml:space="preserve"> or another m</w:t>
      </w:r>
      <w:r w:rsidRPr="29AD229E" w:rsidR="547B9169">
        <w:rPr>
          <w:noProof w:val="0"/>
          <w:lang w:val="en-US"/>
        </w:rPr>
        <w:t>ore accu</w:t>
      </w:r>
      <w:r w:rsidRPr="29AD229E" w:rsidR="547B9169">
        <w:rPr>
          <w:noProof w:val="0"/>
          <w:lang w:val="en-US"/>
        </w:rPr>
        <w:t>rate data source</w:t>
      </w:r>
    </w:p>
    <w:p w:rsidR="379222ED" w:rsidP="7AE8CECF" w:rsidRDefault="379222ED" w14:paraId="17C56111" w14:textId="4074BEC7">
      <w:pPr>
        <w:pStyle w:val="ListParagraph"/>
        <w:numPr>
          <w:ilvl w:val="1"/>
          <w:numId w:val="33"/>
        </w:numPr>
        <w:spacing w:after="160" w:line="259" w:lineRule="auto"/>
        <w:rPr>
          <w:noProof w:val="0"/>
          <w:lang w:val="en-US"/>
        </w:rPr>
      </w:pPr>
      <w:r w:rsidRPr="7AE8CECF" w:rsidR="547B9169">
        <w:rPr>
          <w:noProof w:val="0"/>
          <w:lang w:val="en-US"/>
        </w:rPr>
        <w:t xml:space="preserve">The Wichita Parks department has </w:t>
      </w:r>
      <w:r w:rsidRPr="7AE8CECF" w:rsidR="547B9169">
        <w:rPr>
          <w:noProof w:val="0"/>
          <w:lang w:val="en-US"/>
        </w:rPr>
        <w:t>identified</w:t>
      </w:r>
      <w:r w:rsidRPr="7AE8CECF" w:rsidR="547B9169">
        <w:rPr>
          <w:noProof w:val="0"/>
          <w:lang w:val="en-US"/>
        </w:rPr>
        <w:t xml:space="preserve"> which species they will be planting as part of their Tree Policy: </w:t>
      </w:r>
      <w:hyperlink r:id="Re130daced20e4de0">
        <w:r w:rsidRPr="7AE8CECF" w:rsidR="547B9169">
          <w:rPr>
            <w:rStyle w:val="Hyperlink"/>
            <w:noProof w:val="0"/>
            <w:lang w:val="en-US"/>
          </w:rPr>
          <w:t>https://www.wichita.gov/DocumentCenter/View/9386/Tree-Policy-PDF?bidId=</w:t>
        </w:r>
      </w:hyperlink>
      <w:r w:rsidRPr="7AE8CECF" w:rsidR="547B9169">
        <w:rPr>
          <w:noProof w:val="0"/>
          <w:lang w:val="en-US"/>
        </w:rPr>
        <w:t xml:space="preserve"> </w:t>
      </w:r>
      <w:r w:rsidRPr="7AE8CECF" w:rsidR="379222ED">
        <w:rPr>
          <w:noProof w:val="0"/>
          <w:lang w:val="en-US"/>
        </w:rPr>
        <w:t xml:space="preserve"> Page 19 has </w:t>
      </w:r>
      <w:r w:rsidRPr="7AE8CECF" w:rsidR="70FBBC45">
        <w:rPr>
          <w:noProof w:val="0"/>
          <w:lang w:val="en-US"/>
        </w:rPr>
        <w:t xml:space="preserve">a list of </w:t>
      </w:r>
      <w:r w:rsidRPr="7AE8CECF" w:rsidR="379222ED">
        <w:rPr>
          <w:noProof w:val="0"/>
          <w:lang w:val="en-US"/>
        </w:rPr>
        <w:t>tree species</w:t>
      </w:r>
      <w:r w:rsidRPr="7AE8CECF" w:rsidR="36B4BDDF">
        <w:rPr>
          <w:noProof w:val="0"/>
          <w:lang w:val="en-US"/>
        </w:rPr>
        <w:t xml:space="preserve"> that are native and thrive in the Wichita </w:t>
      </w:r>
      <w:r w:rsidRPr="7AE8CECF" w:rsidR="36B4BDDF">
        <w:rPr>
          <w:noProof w:val="0"/>
          <w:lang w:val="en-US"/>
        </w:rPr>
        <w:t>Climate</w:t>
      </w:r>
      <w:r w:rsidRPr="7AE8CECF" w:rsidR="36B4BDDF">
        <w:rPr>
          <w:noProof w:val="0"/>
          <w:lang w:val="en-US"/>
        </w:rPr>
        <w:t xml:space="preserve"> zone</w:t>
      </w:r>
    </w:p>
    <w:p w:rsidR="0188FF51" w:rsidP="58B6A004" w:rsidRDefault="0188FF51" w14:paraId="59DEC494" w14:textId="2902EC9C">
      <w:pPr>
        <w:pStyle w:val="ListParagraph"/>
        <w:numPr>
          <w:ilvl w:val="0"/>
          <w:numId w:val="33"/>
        </w:num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8B6A004" w:rsidR="0188FF5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Method for tracking GHG reductions</w:t>
      </w:r>
    </w:p>
    <w:p w:rsidR="58B6A004" w:rsidP="7AE8CECF" w:rsidRDefault="58B6A004" w14:paraId="12AC1BE2" w14:textId="60D594D5">
      <w:pPr>
        <w:pStyle w:val="ListParagraph"/>
        <w:numPr>
          <w:ilvl w:val="1"/>
          <w:numId w:val="33"/>
        </w:numPr>
        <w:spacing w:before="0" w:beforeAutospacing="off" w:after="0" w:afterAutospacing="off" w:line="240" w:lineRule="auto"/>
        <w:ind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AE8CECF" w:rsidR="0188FF5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Tracking number of trees planted and where</w:t>
      </w:r>
      <w:r w:rsidRPr="7AE8CECF" w:rsidR="3684399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, with the Parks department </w:t>
      </w:r>
      <w:r w:rsidRPr="7AE8CECF" w:rsidR="3684399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utilizing</w:t>
      </w:r>
      <w:r w:rsidRPr="7AE8CECF" w:rsidR="3684399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their existing system to report and work with the Sustainability </w:t>
      </w:r>
      <w:r w:rsidRPr="7AE8CECF" w:rsidR="3684399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Coordinator</w:t>
      </w:r>
      <w:r w:rsidRPr="7AE8CECF" w:rsidR="3684399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 Data Analyst to report tree plantings and GHG reductions to EPA. </w:t>
      </w:r>
    </w:p>
    <w:p w:rsidR="7F764735" w:rsidP="7AE8CECF" w:rsidRDefault="7F764735" w14:paraId="4448168C" w14:textId="74BDE121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14="http://schemas.microsoft.com/office/word/2010/wordml" xmlns:r="http://schemas.openxmlformats.org/officeDocument/2006/relationships" xmlns:w="http://schemas.openxmlformats.org/wordprocessingml/2006/main">
  <w:footnote w:type="separator" w:id="-1">
    <w:p w:rsidR="5F667D31" w:rsidRDefault="5F667D31" w14:paraId="4A864177" w14:textId="1F4445F9">
      <w:pPr>
        <w:spacing w:after="0" w:line="240" w:lineRule="auto"/>
      </w:pPr>
      <w:r>
        <w:separator/>
      </w:r>
    </w:p>
  </w:footnote>
  <w:footnote w:type="continuationSeparator" w:id="0">
    <w:p w:rsidR="5F667D31" w:rsidRDefault="5F667D31" w14:paraId="163E8089" w14:textId="53503321">
      <w:pPr>
        <w:spacing w:after="0" w:line="240" w:lineRule="auto"/>
      </w:pPr>
      <w:r>
        <w:continuationSeparator/>
      </w:r>
    </w:p>
  </w:footnote>
  <w:footnote w:id="17089">
    <w:p w:rsidR="5F667D31" w:rsidP="5F667D31" w:rsidRDefault="5F667D31" w14:paraId="1CB6D036" w14:textId="5B9EEB86">
      <w:pPr>
        <w:pStyle w:val="FootnoteText"/>
        <w:bidi w:val="0"/>
      </w:pPr>
      <w:r w:rsidRPr="5F667D31">
        <w:rPr>
          <w:rStyle w:val="FootnoteReference"/>
        </w:rPr>
        <w:footnoteRef/>
      </w:r>
      <w:r w:rsidR="5F667D31">
        <w:rPr/>
        <w:t xml:space="preserve"> G. Bauer, C.-W. Hsu, M. </w:t>
      </w:r>
      <w:r w:rsidR="5F667D31">
        <w:rPr/>
        <w:t>Nicholas</w:t>
      </w:r>
      <w:r w:rsidR="5F667D31">
        <w:rPr/>
        <w:t xml:space="preserve"> and N. </w:t>
      </w:r>
      <w:r w:rsidR="5F667D31">
        <w:rPr/>
        <w:t>Lutsey</w:t>
      </w:r>
      <w:r w:rsidR="5F667D31">
        <w:rPr/>
        <w:t xml:space="preserve">, “Charging up America: Assessing the growing need </w:t>
      </w:r>
    </w:p>
    <w:p w:rsidR="5F667D31" w:rsidP="5F667D31" w:rsidRDefault="5F667D31" w14:paraId="57553AE1" w14:textId="2DECF1A7">
      <w:pPr>
        <w:pStyle w:val="FootnoteText"/>
      </w:pPr>
      <w:r w:rsidR="5F667D31">
        <w:rPr/>
        <w:t xml:space="preserve">for U.S. charging infrastructure through 2030,” 7 2021. [Online]. Available: </w:t>
      </w:r>
      <w:r w:rsidR="5F667D31">
        <w:rPr/>
        <w:t>https://theicct.org/sites/</w:t>
      </w:r>
    </w:p>
    <w:p w:rsidR="5F667D31" w:rsidP="5F667D31" w:rsidRDefault="5F667D31" w14:paraId="5613904E" w14:textId="4F1EC6D3">
      <w:pPr>
        <w:pStyle w:val="FootnoteText"/>
      </w:pPr>
      <w:r w:rsidR="5F667D31">
        <w:rPr/>
        <w:t>default/files/publications/charging-up-america-jul2021.pdf.</w:t>
      </w:r>
    </w:p>
  </w:footnote>
  <w:footnote w:id="6005">
    <w:p w:rsidR="5F667D31" w:rsidP="5F667D31" w:rsidRDefault="5F667D31" w14:paraId="1187C260" w14:textId="131B51D5">
      <w:pPr>
        <w:pStyle w:val="FootnoteText"/>
        <w:bidi w:val="0"/>
      </w:pPr>
      <w:r w:rsidRPr="5F667D31">
        <w:rPr>
          <w:rStyle w:val="FootnoteReference"/>
        </w:rPr>
        <w:footnoteRef/>
      </w:r>
      <w:r w:rsidR="5F667D31">
        <w:rPr/>
        <w:t xml:space="preserve"> G. Fitzgerald and C. Nelder, “DCFC Rate Design Study For The Colorado Energy Office,” 2019. </w:t>
      </w:r>
    </w:p>
    <w:p w:rsidR="5F667D31" w:rsidP="5F667D31" w:rsidRDefault="5F667D31" w14:paraId="22035F2D" w14:textId="564607CB">
      <w:pPr>
        <w:pStyle w:val="FootnoteText"/>
      </w:pPr>
      <w:r w:rsidR="5F667D31">
        <w:rPr/>
        <w:t>[Online]. Available: https://rmi.org/insight/dcfc-rate-design-study</w:t>
      </w:r>
    </w:p>
  </w:footnote>
</w:footnotes>
</file>

<file path=word/intelligence2.xml><?xml version="1.0" encoding="utf-8"?>
<int2:intelligence xmlns:int2="http://schemas.microsoft.com/office/intelligence/2020/intelligence">
  <int2:observations>
    <int2:textHash int2:hashCode="ztUXKvzY/hibek" int2:id="LKloX84F">
      <int2:state int2:type="AugLoop_Text_Critique" int2:value="Rejected"/>
    </int2:textHash>
    <int2:textHash int2:hashCode="mmid2ifFehZbrv" int2:id="pkVXGVAG">
      <int2:state int2:type="AugLoop_Text_Critique" int2:value="Rejected"/>
    </int2:textHash>
    <int2:textHash int2:hashCode="+G+L6oFS/4NZBN" int2:id="kNFQVol6">
      <int2:state int2:type="AugLoop_Text_Critique" int2:value="Rejected"/>
    </int2:textHash>
    <int2:textHash int2:hashCode="v9lE/tE4Nr53c6" int2:id="8hfKsrSu">
      <int2:state int2:type="AugLoop_Text_Critique" int2:value="Rejected"/>
    </int2:textHash>
  </int2:observations>
  <int2:intelligenceSettings/>
</int2:intelligence>
</file>

<file path=word/numbering.xml><?xml version="1.0" encoding="utf-8"?>
<w:numbering xmlns:w="http://schemas.openxmlformats.org/wordprocessingml/2006/main">
  <w:abstractNum xmlns:w="http://schemas.openxmlformats.org/wordprocessingml/2006/main" w:abstractNumId="42">
    <w:nsid w:val="6870e3f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o"/>
      <w:lvlJc w:val="left"/>
      <w:pPr>
        <w:ind w:left="720" w:hanging="360"/>
      </w:pPr>
      <w:rPr>
        <w:rFonts w:hint="default" w:ascii="&quot;Courier New&quot;" w:hAnsi="&quot;Courier New&quot;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1">
    <w:nsid w:val="571bbe8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§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0">
    <w:nsid w:val="7ee99c5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o"/>
      <w:lvlJc w:val="left"/>
      <w:pPr>
        <w:ind w:left="720" w:hanging="360"/>
      </w:pPr>
      <w:rPr>
        <w:rFonts w:hint="default" w:ascii="&quot;Courier New&quot;" w:hAnsi="&quot;Courier New&quot;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9">
    <w:nsid w:val="2757612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8">
    <w:nsid w:val="30e52ea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7">
    <w:nsid w:val="18a2425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6">
    <w:nsid w:val="71e6446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5">
    <w:nsid w:val="3ac4740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4">
    <w:nsid w:val="31fdc4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3">
    <w:nsid w:val="50a2b9c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2">
    <w:nsid w:val="1cdb661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1">
    <w:nsid w:val="26dccbd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0">
    <w:nsid w:val="6881e60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9">
    <w:nsid w:val="1c171f5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8">
    <w:nsid w:val="4dda248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7">
    <w:nsid w:val="13b8878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6">
    <w:nsid w:val="2cd6ac7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5">
    <w:nsid w:val="6cedfde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4">
    <w:nsid w:val="678769a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3">
    <w:nsid w:val="2be1340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2">
    <w:nsid w:val="43d9e97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1">
    <w:nsid w:val="537743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0">
    <w:nsid w:val="5febf8e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9">
    <w:nsid w:val="68892e9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8">
    <w:nsid w:val="261be20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7">
    <w:nsid w:val="1c0e6e0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6">
    <w:nsid w:val="152fa57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5">
    <w:nsid w:val="1983746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4">
    <w:nsid w:val="56e0ff5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97da56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54f1298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145526f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211e97c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612abd5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60e8c1f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db2383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64e2d52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40b0097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6d9879a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2b451fc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749bd06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17d3929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42">
    <w:abstractNumId w:val="42"/>
  </w:num>
  <w:num w:numId="41">
    <w:abstractNumId w:val="41"/>
  </w:num>
  <w:num w:numId="40">
    <w:abstractNumId w:val="40"/>
  </w:num>
  <w:num w:numId="39">
    <w:abstractNumId w:val="39"/>
  </w:num>
  <w:num w:numId="38">
    <w:abstractNumId w:val="38"/>
  </w:num>
  <w:num w:numId="37">
    <w:abstractNumId w:val="37"/>
  </w:num>
  <w:num w:numId="36">
    <w:abstractNumId w:val="36"/>
  </w:num>
  <w:num w:numId="35">
    <w:abstractNumId w:val="35"/>
  </w:num>
  <w:num w:numId="34">
    <w:abstractNumId w:val="34"/>
  </w:num>
  <w:num w:numId="33">
    <w:abstractNumId w:val="33"/>
  </w:num>
  <w:num w:numId="32">
    <w:abstractNumId w:val="32"/>
  </w:num>
  <w:num w:numId="31">
    <w:abstractNumId w:val="31"/>
  </w:num>
  <w:num w:numId="30">
    <w:abstractNumId w:val="30"/>
  </w:num>
  <w:num w:numId="29">
    <w:abstractNumId w:val="29"/>
  </w:num>
  <w:num w:numId="28">
    <w:abstractNumId w:val="28"/>
  </w:num>
  <w:num w:numId="27">
    <w:abstractNumId w:val="27"/>
  </w:num>
  <w:num w:numId="26">
    <w:abstractNumId w:val="26"/>
  </w:num>
  <w:num w:numId="25">
    <w:abstractNumId w:val="25"/>
  </w:num>
  <w:num w:numId="24">
    <w:abstractNumId w:val="24"/>
  </w:num>
  <w:num w:numId="23">
    <w:abstractNumId w:val="23"/>
  </w:num>
  <w:num w:numId="22">
    <w:abstractNumId w:val="22"/>
  </w:num>
  <w:num w:numId="21">
    <w:abstractNumId w:val="21"/>
  </w:num>
  <w:num w:numId="20">
    <w:abstractNumId w:val="20"/>
  </w:num>
  <w:num w:numId="19">
    <w:abstractNumId w:val="19"/>
  </w:num>
  <w:num w:numId="18">
    <w:abstractNumId w:val="18"/>
  </w:num>
  <w:num w:numId="17">
    <w:abstractNumId w:val="17"/>
  </w:num>
  <w:num w:numId="16">
    <w:abstractNumId w:val="16"/>
  </w:num>
  <w:num w:numId="15">
    <w:abstractNumId w:val="15"/>
  </w:num>
  <w:num w:numId="14">
    <w:abstractNumId w:val="14"/>
  </w:num>
  <w:num w:numId="13">
    <w:abstractNumId w:val="13"/>
  </w:num>
  <w:num w:numId="12">
    <w:abstractNumId w:val="12"/>
  </w:num>
  <w:num w:numId="11">
    <w:abstractNumId w:val="11"/>
  </w: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footnote w:id="-1"/>
    <w:footnote w:id="0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FB8BCDD"/>
    <w:rsid w:val="003895D2"/>
    <w:rsid w:val="00AA9D09"/>
    <w:rsid w:val="00B4D661"/>
    <w:rsid w:val="00D89CA5"/>
    <w:rsid w:val="00E95CBD"/>
    <w:rsid w:val="0135E374"/>
    <w:rsid w:val="0188FF51"/>
    <w:rsid w:val="01C4086B"/>
    <w:rsid w:val="01CB30AC"/>
    <w:rsid w:val="02839891"/>
    <w:rsid w:val="029C185E"/>
    <w:rsid w:val="02AC234D"/>
    <w:rsid w:val="031FAC4D"/>
    <w:rsid w:val="03504D71"/>
    <w:rsid w:val="0357869F"/>
    <w:rsid w:val="03C0586B"/>
    <w:rsid w:val="03E30D27"/>
    <w:rsid w:val="041F68F2"/>
    <w:rsid w:val="042E6932"/>
    <w:rsid w:val="04333C56"/>
    <w:rsid w:val="04DAAA6B"/>
    <w:rsid w:val="050A0A99"/>
    <w:rsid w:val="050AE092"/>
    <w:rsid w:val="050B3E5F"/>
    <w:rsid w:val="0519D868"/>
    <w:rsid w:val="05945852"/>
    <w:rsid w:val="0649F291"/>
    <w:rsid w:val="066E8E41"/>
    <w:rsid w:val="06E432B6"/>
    <w:rsid w:val="07080033"/>
    <w:rsid w:val="07212E65"/>
    <w:rsid w:val="0740596A"/>
    <w:rsid w:val="076F8981"/>
    <w:rsid w:val="07A5C431"/>
    <w:rsid w:val="089A72A3"/>
    <w:rsid w:val="08C354DA"/>
    <w:rsid w:val="09843B9D"/>
    <w:rsid w:val="09900BA3"/>
    <w:rsid w:val="0A3FF4F2"/>
    <w:rsid w:val="0AC5F263"/>
    <w:rsid w:val="0AD111F1"/>
    <w:rsid w:val="0B8BC7A5"/>
    <w:rsid w:val="0CB9E037"/>
    <w:rsid w:val="0D139502"/>
    <w:rsid w:val="0D5AC9E0"/>
    <w:rsid w:val="0D8641DA"/>
    <w:rsid w:val="0D888C43"/>
    <w:rsid w:val="0DB1ABC5"/>
    <w:rsid w:val="0DE6773A"/>
    <w:rsid w:val="0E9FEFB2"/>
    <w:rsid w:val="0FDDF9EA"/>
    <w:rsid w:val="101597CA"/>
    <w:rsid w:val="1043056D"/>
    <w:rsid w:val="108B70AC"/>
    <w:rsid w:val="10C8AE59"/>
    <w:rsid w:val="10DEECF5"/>
    <w:rsid w:val="1138ED0A"/>
    <w:rsid w:val="11F9B19E"/>
    <w:rsid w:val="1227410D"/>
    <w:rsid w:val="122D3A59"/>
    <w:rsid w:val="12513AC0"/>
    <w:rsid w:val="126C0F3B"/>
    <w:rsid w:val="129718E4"/>
    <w:rsid w:val="1309ADF1"/>
    <w:rsid w:val="13398222"/>
    <w:rsid w:val="13427880"/>
    <w:rsid w:val="134CA92E"/>
    <w:rsid w:val="1380FF3C"/>
    <w:rsid w:val="13E726BE"/>
    <w:rsid w:val="142E3838"/>
    <w:rsid w:val="147AE948"/>
    <w:rsid w:val="14C6E917"/>
    <w:rsid w:val="152AE7CF"/>
    <w:rsid w:val="160212C5"/>
    <w:rsid w:val="162432B8"/>
    <w:rsid w:val="16C787A1"/>
    <w:rsid w:val="18A65BA6"/>
    <w:rsid w:val="1924084F"/>
    <w:rsid w:val="1939B387"/>
    <w:rsid w:val="199F350B"/>
    <w:rsid w:val="19FDE42F"/>
    <w:rsid w:val="1A3A2EA2"/>
    <w:rsid w:val="1A5DB245"/>
    <w:rsid w:val="1AB78683"/>
    <w:rsid w:val="1AD583E8"/>
    <w:rsid w:val="1AE7EDAF"/>
    <w:rsid w:val="1B0C71B7"/>
    <w:rsid w:val="1BE4643D"/>
    <w:rsid w:val="1C6CD2D0"/>
    <w:rsid w:val="1C83BE10"/>
    <w:rsid w:val="1CEF9AB8"/>
    <w:rsid w:val="1D69F3B4"/>
    <w:rsid w:val="1DBE56EB"/>
    <w:rsid w:val="1DEF2745"/>
    <w:rsid w:val="1EC90C8C"/>
    <w:rsid w:val="1EFEFD20"/>
    <w:rsid w:val="1FA8F50B"/>
    <w:rsid w:val="1FBB5ED2"/>
    <w:rsid w:val="1FD09D74"/>
    <w:rsid w:val="1FDE4B35"/>
    <w:rsid w:val="20118E71"/>
    <w:rsid w:val="20B47866"/>
    <w:rsid w:val="20EB55C1"/>
    <w:rsid w:val="20EED5F9"/>
    <w:rsid w:val="216CB6A0"/>
    <w:rsid w:val="2180C1C3"/>
    <w:rsid w:val="21B89253"/>
    <w:rsid w:val="226DE646"/>
    <w:rsid w:val="226DE921"/>
    <w:rsid w:val="226E358A"/>
    <w:rsid w:val="22D1FCBA"/>
    <w:rsid w:val="22DE73DB"/>
    <w:rsid w:val="23247B62"/>
    <w:rsid w:val="238A7ABB"/>
    <w:rsid w:val="23B7DE6E"/>
    <w:rsid w:val="23BF5DE5"/>
    <w:rsid w:val="23F1C61D"/>
    <w:rsid w:val="247FD23B"/>
    <w:rsid w:val="24C92EED"/>
    <w:rsid w:val="24F8577E"/>
    <w:rsid w:val="25202118"/>
    <w:rsid w:val="25F11419"/>
    <w:rsid w:val="267581DC"/>
    <w:rsid w:val="26956F8E"/>
    <w:rsid w:val="26C21B7D"/>
    <w:rsid w:val="26F29E16"/>
    <w:rsid w:val="2710F313"/>
    <w:rsid w:val="27769F5B"/>
    <w:rsid w:val="278C603B"/>
    <w:rsid w:val="27A213DE"/>
    <w:rsid w:val="27B13BEF"/>
    <w:rsid w:val="285DEBDE"/>
    <w:rsid w:val="28C14D31"/>
    <w:rsid w:val="29452EBF"/>
    <w:rsid w:val="29AA7BDB"/>
    <w:rsid w:val="29AD229E"/>
    <w:rsid w:val="29D0FCE8"/>
    <w:rsid w:val="29E78B4C"/>
    <w:rsid w:val="2A9517C0"/>
    <w:rsid w:val="2ABB8B0C"/>
    <w:rsid w:val="2AD5EB62"/>
    <w:rsid w:val="2ADD0407"/>
    <w:rsid w:val="2B464C3C"/>
    <w:rsid w:val="2B8E6737"/>
    <w:rsid w:val="2C1049F3"/>
    <w:rsid w:val="2C5608BD"/>
    <w:rsid w:val="2C7FD33E"/>
    <w:rsid w:val="2C843BB5"/>
    <w:rsid w:val="2D036963"/>
    <w:rsid w:val="2D5D9C49"/>
    <w:rsid w:val="2DAE7CA8"/>
    <w:rsid w:val="2DBF0702"/>
    <w:rsid w:val="2E0D8C24"/>
    <w:rsid w:val="2E189FE2"/>
    <w:rsid w:val="2E56E8D6"/>
    <w:rsid w:val="2E5AB214"/>
    <w:rsid w:val="2F3D463B"/>
    <w:rsid w:val="2F6CB40F"/>
    <w:rsid w:val="2F8DA97F"/>
    <w:rsid w:val="2FB8BCDD"/>
    <w:rsid w:val="2FC284E2"/>
    <w:rsid w:val="304FE774"/>
    <w:rsid w:val="309531F2"/>
    <w:rsid w:val="30D9169C"/>
    <w:rsid w:val="30FAEC92"/>
    <w:rsid w:val="310D893E"/>
    <w:rsid w:val="312979E0"/>
    <w:rsid w:val="31399E98"/>
    <w:rsid w:val="3148A295"/>
    <w:rsid w:val="31D05E58"/>
    <w:rsid w:val="31F5602D"/>
    <w:rsid w:val="3226F296"/>
    <w:rsid w:val="328DAE42"/>
    <w:rsid w:val="32E472F6"/>
    <w:rsid w:val="3307A961"/>
    <w:rsid w:val="33890AB5"/>
    <w:rsid w:val="33A88C0B"/>
    <w:rsid w:val="33E32AF7"/>
    <w:rsid w:val="34549D6F"/>
    <w:rsid w:val="34862B99"/>
    <w:rsid w:val="34A2FB81"/>
    <w:rsid w:val="3562C2BB"/>
    <w:rsid w:val="35708DEF"/>
    <w:rsid w:val="35A908C3"/>
    <w:rsid w:val="361C13B8"/>
    <w:rsid w:val="3648039C"/>
    <w:rsid w:val="36506C92"/>
    <w:rsid w:val="36554FA1"/>
    <w:rsid w:val="3684399F"/>
    <w:rsid w:val="36B4BDDF"/>
    <w:rsid w:val="36CB48A9"/>
    <w:rsid w:val="36E02CCD"/>
    <w:rsid w:val="3766585F"/>
    <w:rsid w:val="379222ED"/>
    <w:rsid w:val="37B7E419"/>
    <w:rsid w:val="37C799FE"/>
    <w:rsid w:val="37C95A65"/>
    <w:rsid w:val="38701284"/>
    <w:rsid w:val="3A4193DD"/>
    <w:rsid w:val="3A420C84"/>
    <w:rsid w:val="3AEF84DB"/>
    <w:rsid w:val="3AFCBF6B"/>
    <w:rsid w:val="3B221E84"/>
    <w:rsid w:val="3B2D787F"/>
    <w:rsid w:val="3B3FB5AD"/>
    <w:rsid w:val="3B716871"/>
    <w:rsid w:val="3C1DA4DB"/>
    <w:rsid w:val="3C4348AE"/>
    <w:rsid w:val="3CB84829"/>
    <w:rsid w:val="3CF09AE6"/>
    <w:rsid w:val="3D0F64F3"/>
    <w:rsid w:val="3D23A5F3"/>
    <w:rsid w:val="3D3C0E22"/>
    <w:rsid w:val="3E012492"/>
    <w:rsid w:val="3E0A45D3"/>
    <w:rsid w:val="3E124753"/>
    <w:rsid w:val="3E6BE452"/>
    <w:rsid w:val="3E7EBCB0"/>
    <w:rsid w:val="3EB7501B"/>
    <w:rsid w:val="3ED69F3F"/>
    <w:rsid w:val="408CAFEF"/>
    <w:rsid w:val="410A7BBF"/>
    <w:rsid w:val="4125E45B"/>
    <w:rsid w:val="418F0228"/>
    <w:rsid w:val="42711AE1"/>
    <w:rsid w:val="42D3FDC5"/>
    <w:rsid w:val="42F92ABD"/>
    <w:rsid w:val="4337690C"/>
    <w:rsid w:val="43DB1998"/>
    <w:rsid w:val="445FEA4C"/>
    <w:rsid w:val="4470DC37"/>
    <w:rsid w:val="457364AA"/>
    <w:rsid w:val="458BF494"/>
    <w:rsid w:val="459D9FA5"/>
    <w:rsid w:val="45DDAA5F"/>
    <w:rsid w:val="45DE8967"/>
    <w:rsid w:val="4625957D"/>
    <w:rsid w:val="465086AF"/>
    <w:rsid w:val="46751EA9"/>
    <w:rsid w:val="469D461F"/>
    <w:rsid w:val="47115F1F"/>
    <w:rsid w:val="472284C6"/>
    <w:rsid w:val="4727C4F5"/>
    <w:rsid w:val="47D0EB2D"/>
    <w:rsid w:val="4815B4F0"/>
    <w:rsid w:val="481FA5AA"/>
    <w:rsid w:val="48AD2F80"/>
    <w:rsid w:val="48B04088"/>
    <w:rsid w:val="4919D76F"/>
    <w:rsid w:val="493EB1B4"/>
    <w:rsid w:val="497652D1"/>
    <w:rsid w:val="4A095F83"/>
    <w:rsid w:val="4A0BF75A"/>
    <w:rsid w:val="4A6CFA58"/>
    <w:rsid w:val="4B1AE99F"/>
    <w:rsid w:val="4B5005FB"/>
    <w:rsid w:val="4C4F03BA"/>
    <w:rsid w:val="4C69E0AF"/>
    <w:rsid w:val="4CAA7256"/>
    <w:rsid w:val="4CAF6E90"/>
    <w:rsid w:val="4D172C1D"/>
    <w:rsid w:val="4D51BD56"/>
    <w:rsid w:val="4D71F582"/>
    <w:rsid w:val="4D774E3F"/>
    <w:rsid w:val="4DE55E06"/>
    <w:rsid w:val="4DF52B4A"/>
    <w:rsid w:val="4EC40997"/>
    <w:rsid w:val="4F321824"/>
    <w:rsid w:val="4F8CF391"/>
    <w:rsid w:val="505FD9F8"/>
    <w:rsid w:val="50D72F18"/>
    <w:rsid w:val="515E12C4"/>
    <w:rsid w:val="517DE379"/>
    <w:rsid w:val="519ADE75"/>
    <w:rsid w:val="51FBAA59"/>
    <w:rsid w:val="5282C6B5"/>
    <w:rsid w:val="529407D8"/>
    <w:rsid w:val="52981316"/>
    <w:rsid w:val="5304647B"/>
    <w:rsid w:val="536BB4CA"/>
    <w:rsid w:val="53A2FE21"/>
    <w:rsid w:val="547B9169"/>
    <w:rsid w:val="54D2F2C9"/>
    <w:rsid w:val="54F84070"/>
    <w:rsid w:val="55BEAAFF"/>
    <w:rsid w:val="55C0B22F"/>
    <w:rsid w:val="55D3AFE7"/>
    <w:rsid w:val="55F17146"/>
    <w:rsid w:val="55FCA5B8"/>
    <w:rsid w:val="55FEA4F5"/>
    <w:rsid w:val="562203E5"/>
    <w:rsid w:val="5644192D"/>
    <w:rsid w:val="5656962A"/>
    <w:rsid w:val="567C7583"/>
    <w:rsid w:val="56B3AF02"/>
    <w:rsid w:val="56E2112D"/>
    <w:rsid w:val="56E757E9"/>
    <w:rsid w:val="56E87024"/>
    <w:rsid w:val="578ADE3B"/>
    <w:rsid w:val="57EB5417"/>
    <w:rsid w:val="58293C6C"/>
    <w:rsid w:val="58481B95"/>
    <w:rsid w:val="58B6A004"/>
    <w:rsid w:val="5942D5FA"/>
    <w:rsid w:val="5972A8EC"/>
    <w:rsid w:val="5982DF58"/>
    <w:rsid w:val="59DBA648"/>
    <w:rsid w:val="5A1E3AD9"/>
    <w:rsid w:val="5A4D095B"/>
    <w:rsid w:val="5A5F0E7B"/>
    <w:rsid w:val="5AA504B5"/>
    <w:rsid w:val="5AFE5132"/>
    <w:rsid w:val="5B4AE3E8"/>
    <w:rsid w:val="5B9E0324"/>
    <w:rsid w:val="5BFE548B"/>
    <w:rsid w:val="5C1E056C"/>
    <w:rsid w:val="5C6BDC3B"/>
    <w:rsid w:val="5D30B80A"/>
    <w:rsid w:val="5DCF47FA"/>
    <w:rsid w:val="5DD289B6"/>
    <w:rsid w:val="5EAEB1F9"/>
    <w:rsid w:val="5EFF05FC"/>
    <w:rsid w:val="5F327F9E"/>
    <w:rsid w:val="5F4A5FBE"/>
    <w:rsid w:val="5F667D31"/>
    <w:rsid w:val="5FA3BADE"/>
    <w:rsid w:val="60D652B5"/>
    <w:rsid w:val="61024D92"/>
    <w:rsid w:val="611E40DA"/>
    <w:rsid w:val="613F8B3F"/>
    <w:rsid w:val="618AE8E6"/>
    <w:rsid w:val="619DE174"/>
    <w:rsid w:val="626D960F"/>
    <w:rsid w:val="63BE32DA"/>
    <w:rsid w:val="63C41572"/>
    <w:rsid w:val="63C77804"/>
    <w:rsid w:val="63FF4856"/>
    <w:rsid w:val="641A7CE7"/>
    <w:rsid w:val="641CDC01"/>
    <w:rsid w:val="645CE06C"/>
    <w:rsid w:val="64A10029"/>
    <w:rsid w:val="64BE220B"/>
    <w:rsid w:val="64F647A7"/>
    <w:rsid w:val="652B9DD1"/>
    <w:rsid w:val="65857D2A"/>
    <w:rsid w:val="65D5BEB5"/>
    <w:rsid w:val="65EDEFCF"/>
    <w:rsid w:val="6624097B"/>
    <w:rsid w:val="66522FA9"/>
    <w:rsid w:val="66D1F066"/>
    <w:rsid w:val="6706BF55"/>
    <w:rsid w:val="671F9897"/>
    <w:rsid w:val="673BFCF6"/>
    <w:rsid w:val="67FCEED8"/>
    <w:rsid w:val="68137A23"/>
    <w:rsid w:val="6867F07E"/>
    <w:rsid w:val="686F2732"/>
    <w:rsid w:val="68AC36C2"/>
    <w:rsid w:val="68C3AF36"/>
    <w:rsid w:val="690D5F77"/>
    <w:rsid w:val="699935EE"/>
    <w:rsid w:val="69AE08BC"/>
    <w:rsid w:val="69D682C8"/>
    <w:rsid w:val="69E5D2AA"/>
    <w:rsid w:val="6AD32D6D"/>
    <w:rsid w:val="6AD48F2B"/>
    <w:rsid w:val="6B0C1980"/>
    <w:rsid w:val="6B348F9A"/>
    <w:rsid w:val="6BC2D478"/>
    <w:rsid w:val="6BE8040F"/>
    <w:rsid w:val="6C2141F2"/>
    <w:rsid w:val="6D6BC106"/>
    <w:rsid w:val="6D8232AC"/>
    <w:rsid w:val="6D9B6A6C"/>
    <w:rsid w:val="6E939E6E"/>
    <w:rsid w:val="6F2C1AF8"/>
    <w:rsid w:val="6F3BA562"/>
    <w:rsid w:val="6F9FD1C3"/>
    <w:rsid w:val="706271A7"/>
    <w:rsid w:val="70B28B5B"/>
    <w:rsid w:val="70E2DF3C"/>
    <w:rsid w:val="70FBBC45"/>
    <w:rsid w:val="7118715C"/>
    <w:rsid w:val="71208596"/>
    <w:rsid w:val="715D9C8F"/>
    <w:rsid w:val="71637359"/>
    <w:rsid w:val="72221A46"/>
    <w:rsid w:val="72300BBE"/>
    <w:rsid w:val="7415A24A"/>
    <w:rsid w:val="74226D84"/>
    <w:rsid w:val="75555163"/>
    <w:rsid w:val="75B172AB"/>
    <w:rsid w:val="75BB259E"/>
    <w:rsid w:val="75BF85C4"/>
    <w:rsid w:val="77010A98"/>
    <w:rsid w:val="77406497"/>
    <w:rsid w:val="78365299"/>
    <w:rsid w:val="7894BD0F"/>
    <w:rsid w:val="78DC34F8"/>
    <w:rsid w:val="79720A74"/>
    <w:rsid w:val="79BD9A9E"/>
    <w:rsid w:val="79BFD424"/>
    <w:rsid w:val="79D01061"/>
    <w:rsid w:val="79FA33E1"/>
    <w:rsid w:val="7AE8CECF"/>
    <w:rsid w:val="7B0F295B"/>
    <w:rsid w:val="7B659D16"/>
    <w:rsid w:val="7C8B9DB5"/>
    <w:rsid w:val="7D01C106"/>
    <w:rsid w:val="7D5E74EC"/>
    <w:rsid w:val="7D72FC46"/>
    <w:rsid w:val="7D9C4035"/>
    <w:rsid w:val="7F436A1E"/>
    <w:rsid w:val="7F579E58"/>
    <w:rsid w:val="7F764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B8BCDD"/>
  <w15:chartTrackingRefBased/>
  <w15:docId w15:val="{AD8C0E32-76D6-4222-8967-18F7016D822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character" w:styleId="FootnoteReference" mc:Ignorable="w14">
    <w:basedOn xmlns:w="http://schemas.openxmlformats.org/wordprocessingml/2006/main" w:val="DefaultParagraphFont"/>
    <w:name xmlns:w="http://schemas.openxmlformats.org/wordprocessingml/2006/main" w:val="footnote reference"/>
    <w:rPr xmlns:w="http://schemas.openxmlformats.org/wordprocessingml/2006/main">
      <w:vertAlign w:val="superscript"/>
    </w:rPr>
    <w:semiHidden xmlns:w="http://schemas.openxmlformats.org/wordprocessingml/2006/main"/>
    <w:uiPriority xmlns:w="http://schemas.openxmlformats.org/wordprocessingml/2006/main" w:val="99"/>
    <w:unhideWhenUsed xmlns:w="http://schemas.openxmlformats.org/wordprocessingml/2006/main"/>
  </w:style>
  <w:style xmlns:w14="http://schemas.microsoft.com/office/word/2010/wordml" xmlns:mc="http://schemas.openxmlformats.org/markup-compatibility/2006" xmlns:w="http://schemas.openxmlformats.org/wordprocessingml/2006/main" w:type="character" w:styleId="FootnoteTextChar" w:customStyle="1" mc:Ignorable="w14">
    <w:name xmlns:w="http://schemas.openxmlformats.org/wordprocessingml/2006/main" w:val="Footnote Text Char"/>
    <w:basedOn xmlns:w="http://schemas.openxmlformats.org/wordprocessingml/2006/main" w:val="DefaultParagraphFont"/>
    <w:link xmlns:w="http://schemas.openxmlformats.org/wordprocessingml/2006/main" w:val="FootnoteText"/>
    <w:rPr xmlns:w="http://schemas.openxmlformats.org/wordprocessingml/2006/main">
      <w:sz w:val="20"/>
      <w:szCs w:val="20"/>
    </w:rPr>
    <w:semiHidden xmlns:w="http://schemas.openxmlformats.org/wordprocessingml/2006/main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noteText" mc:Ignorable="w14">
    <w:basedOn xmlns:w="http://schemas.openxmlformats.org/wordprocessingml/2006/main" w:val="Normal"/>
    <w:link xmlns:w="http://schemas.openxmlformats.org/wordprocessingml/2006/main" w:val="FootnoteTextChar"/>
    <w:name xmlns:w="http://schemas.openxmlformats.org/wordprocessingml/2006/main" w:val="footnote text"/>
    <w:pPr xmlns:w="http://schemas.openxmlformats.org/wordprocessingml/2006/main">
      <w:spacing xmlns:w="http://schemas.openxmlformats.org/wordprocessingml/2006/main" w:after="0" w:line="240" w:lineRule="auto"/>
    </w:pPr>
    <w:rPr xmlns:w="http://schemas.openxmlformats.org/wordprocessingml/2006/main">
      <w:sz w:val="20"/>
      <w:szCs w:val="20"/>
    </w:rPr>
    <w:semiHidden xmlns:w="http://schemas.openxmlformats.org/wordprocessingml/2006/main"/>
    <w:uiPriority xmlns:w="http://schemas.openxmlformats.org/wordprocessingml/2006/main" w:val="99"/>
    <w:unhideWhenUsed xmlns:w="http://schemas.openxmlformats.org/wordprocessingml/2006/mai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9ccdfe35f09f494c" /><Relationship Type="http://schemas.openxmlformats.org/officeDocument/2006/relationships/footnotes" Target="footnotes.xml" Id="Rddd196af698f427a" /><Relationship Type="http://schemas.openxmlformats.org/officeDocument/2006/relationships/hyperlink" Target="https://edocs-public.dot.state.mn.us/edocs_public/DMResultSet/download?docId=36928262" TargetMode="External" Id="R5395ae6e2ae64537" /><Relationship Type="http://schemas.openxmlformats.org/officeDocument/2006/relationships/hyperlink" Target="https://www.epa.gov/energy/greenhouse-gases-equivalencies-calculator-calculations-and-references" TargetMode="External" Id="R560d0c1df4ff4b38" /><Relationship Type="http://schemas.openxmlformats.org/officeDocument/2006/relationships/image" Target="/media/image3.png" Id="R659f14ba03a44c3d" /><Relationship Type="http://schemas.openxmlformats.org/officeDocument/2006/relationships/hyperlink" Target="https://data-cityofwichita.hub.arcgis.com/datasets/7d9b84c73ce3477da02ac5adde478ecb_0/explore?location=37.713939%2C-97.229593%2C13.90" TargetMode="External" Id="Rb0e7a8602dbb41e1" /><Relationship Type="http://schemas.openxmlformats.org/officeDocument/2006/relationships/image" Target="/media/image4.png" Id="Reb5c5f21d8264d16" /><Relationship Type="http://schemas.openxmlformats.org/officeDocument/2006/relationships/hyperlink" Target="https://ww2.arb.ca.gov/sites/default/files/auction-proceeds/sgc_ahsc_finalqm_121423.pdf" TargetMode="External" Id="Rb0bc57dd85df4bb4" /><Relationship Type="http://schemas.openxmlformats.org/officeDocument/2006/relationships/hyperlink" Target="https://edocs-public.dot.state.mn.us/edocs_public/DMResultSet/download?docId=36928262" TargetMode="External" Id="Ra40176c530994a3a" /><Relationship Type="http://schemas.openxmlformats.org/officeDocument/2006/relationships/hyperlink" Target="https://www.wichita.gov/DocumentCenter/View/9386/Tree-Policy-PDF?bidId=" TargetMode="External" Id="Re130daced20e4de0" /><Relationship Type="http://schemas.microsoft.com/office/2020/10/relationships/intelligence" Target="intelligence2.xml" Id="R4e09e84da3014b62" /><Relationship Type="http://schemas.openxmlformats.org/officeDocument/2006/relationships/hyperlink" Target="https://www.epa.gov/energy/greenhouse-gases-equivalencies-calculator-calculations-and-references" TargetMode="External" Id="Raa8e77487daf4978" /><Relationship Type="http://schemas.openxmlformats.org/officeDocument/2006/relationships/hyperlink" Target="https://www3.epa.gov/climatechange/Downloads/method-calculating-carbon-sequestration-trees-urban-and-suburban-settings.pdf" TargetMode="External" Id="R491ab7e9070e4c9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2024-01-22T15:42:07.4357371Z</dcterms:created>
  <dcterms:modified xsi:type="dcterms:W3CDTF">2024-02-28T19:26:02.2628967Z</dcterms:modified>
  <dc:creator>Kershaw, Ethan</dc:creator>
  <lastModifiedBy>Kershaw, Ethan</lastModifiedBy>
</coreProperties>
</file>